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2467C5">
              <w:rPr>
                <w:b/>
              </w:rPr>
              <w:t>73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2467C5">
              <w:rPr>
                <w:b/>
              </w:rPr>
              <w:t>12</w:t>
            </w:r>
            <w:r w:rsidR="00371A1F">
              <w:rPr>
                <w:b/>
              </w:rPr>
              <w:t xml:space="preserve"> </w:t>
            </w:r>
            <w:r w:rsidR="00D671C6">
              <w:rPr>
                <w:b/>
              </w:rPr>
              <w:t>ноября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74E8A" w:rsidRDefault="00574E8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2467C5">
        <w:rPr>
          <w:rFonts w:asciiTheme="majorHAnsi" w:hAnsiTheme="majorHAnsi"/>
          <w:b/>
          <w:sz w:val="21"/>
          <w:szCs w:val="21"/>
        </w:rPr>
        <w:t>11.11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2467C5">
        <w:rPr>
          <w:rFonts w:asciiTheme="majorHAnsi" w:hAnsiTheme="majorHAnsi"/>
          <w:b/>
          <w:sz w:val="21"/>
          <w:szCs w:val="21"/>
        </w:rPr>
        <w:t xml:space="preserve"> 1324</w:t>
      </w:r>
    </w:p>
    <w:p w:rsidR="002467C5" w:rsidRDefault="002467C5" w:rsidP="002467C5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2467C5">
        <w:rPr>
          <w:b/>
          <w:i/>
          <w:sz w:val="24"/>
          <w:szCs w:val="24"/>
          <w:lang w:eastAsia="ru-RU"/>
        </w:rPr>
        <w:t>«Об утверждении административного регламента администрации Комсомольского муниципального округа Чувашской Республики предоставления муниципальной услуги «Подготовка проекта внесения изменений в Правила землепользования и застройки Комсомольского муниципального округа Чувашской Республики»</w:t>
      </w:r>
    </w:p>
    <w:p w:rsidR="002467C5" w:rsidRDefault="002467C5" w:rsidP="002467C5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2467C5" w:rsidRPr="002467C5" w:rsidRDefault="002467C5" w:rsidP="002467C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67C5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Комсомольского муниципального округа Чувашской Республики, в целях повышения качества предоставления муниципальной услуги администрация Комсомольского муниципального округа Чувашской Республики п о с т а н о в л я е т:</w:t>
      </w:r>
    </w:p>
    <w:p w:rsidR="002467C5" w:rsidRPr="002467C5" w:rsidRDefault="002467C5" w:rsidP="002467C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67C5">
        <w:rPr>
          <w:sz w:val="20"/>
          <w:szCs w:val="20"/>
        </w:rPr>
        <w:t>1. Утвердить прилагаемый административный регламент администрации Комсомольского муниципального округа Чувашской Республики предоставления муниципальной услуги «Подготовка проекта внесения изменений в Правила землепользования и застройки Комсомольского муниципального округа Чувашской Республики».</w:t>
      </w:r>
    </w:p>
    <w:p w:rsidR="002467C5" w:rsidRPr="002467C5" w:rsidRDefault="002467C5" w:rsidP="002467C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467C5">
        <w:rPr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2467C5" w:rsidRPr="002467C5" w:rsidRDefault="002467C5" w:rsidP="002467C5">
      <w:pPr>
        <w:ind w:firstLine="720"/>
        <w:contextualSpacing/>
        <w:jc w:val="both"/>
        <w:rPr>
          <w:bCs/>
          <w:sz w:val="20"/>
          <w:szCs w:val="20"/>
        </w:rPr>
      </w:pPr>
      <w:r w:rsidRPr="002467C5">
        <w:rPr>
          <w:sz w:val="20"/>
          <w:szCs w:val="20"/>
        </w:rPr>
        <w:t>3.  Контроль за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 Комсомольского муниципального округа Чувашской Республики.</w:t>
      </w:r>
    </w:p>
    <w:p w:rsidR="00E256A6" w:rsidRPr="00E256A6" w:rsidRDefault="00E256A6" w:rsidP="00E256A6">
      <w:pPr>
        <w:tabs>
          <w:tab w:val="left" w:pos="6946"/>
        </w:tabs>
        <w:ind w:right="141"/>
        <w:jc w:val="both"/>
        <w:rPr>
          <w:b/>
          <w:i/>
          <w:sz w:val="24"/>
          <w:szCs w:val="24"/>
        </w:rPr>
      </w:pPr>
    </w:p>
    <w:p w:rsidR="00E256A6" w:rsidRPr="00AB27EF" w:rsidRDefault="00E256A6" w:rsidP="00E256A6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256A6" w:rsidRPr="00712C58" w:rsidRDefault="00E256A6" w:rsidP="00E256A6">
      <w:pPr>
        <w:ind w:right="141"/>
        <w:jc w:val="both"/>
        <w:rPr>
          <w:b/>
          <w:i/>
          <w:sz w:val="24"/>
          <w:szCs w:val="24"/>
        </w:rPr>
      </w:pPr>
    </w:p>
    <w:p w:rsidR="00E256A6" w:rsidRPr="00854972" w:rsidRDefault="00E256A6" w:rsidP="00E256A6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E256A6" w:rsidRPr="00854972" w:rsidRDefault="00E256A6" w:rsidP="00E256A6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BC7EFE" w:rsidRDefault="00E256A6" w:rsidP="0038170D">
      <w:pPr>
        <w:jc w:val="both"/>
      </w:pPr>
      <w:r w:rsidRPr="00854972">
        <w:t xml:space="preserve">пост. № </w:t>
      </w:r>
      <w:r w:rsidR="002467C5">
        <w:t>1324 от 11.11</w:t>
      </w:r>
      <w:r w:rsidRPr="00854972">
        <w:t>.2024</w:t>
      </w:r>
      <w:r>
        <w:t xml:space="preserve"> </w:t>
      </w:r>
      <w:r w:rsidRPr="00854972">
        <w:t>г</w:t>
      </w:r>
    </w:p>
    <w:p w:rsidR="0038170D" w:rsidRPr="0038170D" w:rsidRDefault="0038170D" w:rsidP="0038170D">
      <w:pPr>
        <w:jc w:val="both"/>
      </w:pPr>
    </w:p>
    <w:p w:rsidR="00BC7EFE" w:rsidRDefault="00BC7EFE" w:rsidP="008B6A85">
      <w:pPr>
        <w:jc w:val="both"/>
      </w:pPr>
    </w:p>
    <w:p w:rsidR="002467C5" w:rsidRDefault="002467C5" w:rsidP="002467C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12.11.2024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38170D">
        <w:rPr>
          <w:rFonts w:asciiTheme="majorHAnsi" w:hAnsiTheme="majorHAnsi"/>
          <w:b/>
          <w:sz w:val="21"/>
          <w:szCs w:val="21"/>
        </w:rPr>
        <w:br/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1330</w:t>
      </w:r>
    </w:p>
    <w:p w:rsidR="002467C5" w:rsidRDefault="002467C5" w:rsidP="002467C5">
      <w:pPr>
        <w:autoSpaceDE w:val="0"/>
        <w:autoSpaceDN w:val="0"/>
        <w:adjustRightInd w:val="0"/>
        <w:ind w:right="141"/>
        <w:contextualSpacing/>
        <w:jc w:val="both"/>
        <w:rPr>
          <w:rFonts w:eastAsiaTheme="minorEastAsia"/>
          <w:b/>
          <w:bCs/>
          <w:i/>
          <w:sz w:val="24"/>
          <w:szCs w:val="24"/>
          <w:lang w:eastAsia="ru-RU"/>
        </w:rPr>
      </w:pPr>
      <w:r w:rsidRPr="002467C5">
        <w:rPr>
          <w:rFonts w:eastAsiaTheme="minorEastAsia"/>
          <w:b/>
          <w:bCs/>
          <w:i/>
          <w:sz w:val="24"/>
          <w:szCs w:val="24"/>
          <w:lang w:eastAsia="ru-RU"/>
        </w:rPr>
        <w:t>«О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Республики»</w:t>
      </w:r>
    </w:p>
    <w:p w:rsidR="002467C5" w:rsidRDefault="002467C5" w:rsidP="002467C5">
      <w:pPr>
        <w:autoSpaceDE w:val="0"/>
        <w:autoSpaceDN w:val="0"/>
        <w:adjustRightInd w:val="0"/>
        <w:ind w:right="141"/>
        <w:contextualSpacing/>
        <w:jc w:val="both"/>
        <w:rPr>
          <w:rFonts w:eastAsiaTheme="minorEastAsia"/>
          <w:b/>
          <w:bCs/>
          <w:i/>
          <w:sz w:val="24"/>
          <w:szCs w:val="24"/>
          <w:lang w:eastAsia="ru-RU"/>
        </w:rPr>
      </w:pPr>
    </w:p>
    <w:p w:rsidR="002467C5" w:rsidRPr="002467C5" w:rsidRDefault="002467C5" w:rsidP="002467C5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2467C5">
        <w:rPr>
          <w:rFonts w:eastAsiaTheme="minorEastAsia"/>
          <w:sz w:val="20"/>
          <w:szCs w:val="20"/>
          <w:lang w:eastAsia="ru-RU"/>
        </w:rPr>
        <w:t xml:space="preserve">В соответствии со </w:t>
      </w:r>
      <w:r w:rsidRPr="002467C5">
        <w:rPr>
          <w:rFonts w:eastAsiaTheme="minorEastAsia"/>
          <w:bCs/>
          <w:sz w:val="20"/>
          <w:szCs w:val="20"/>
          <w:lang w:eastAsia="ru-RU"/>
        </w:rPr>
        <w:t>статьей 31</w:t>
      </w:r>
      <w:r w:rsidRPr="002467C5">
        <w:rPr>
          <w:rFonts w:eastAsiaTheme="minorEastAsia"/>
          <w:b/>
          <w:sz w:val="20"/>
          <w:szCs w:val="20"/>
          <w:lang w:eastAsia="ru-RU"/>
        </w:rPr>
        <w:t xml:space="preserve"> </w:t>
      </w:r>
      <w:r w:rsidRPr="002467C5">
        <w:rPr>
          <w:rFonts w:eastAsiaTheme="minorEastAsia"/>
          <w:sz w:val="20"/>
          <w:szCs w:val="20"/>
          <w:lang w:eastAsia="ru-RU"/>
        </w:rPr>
        <w:t>Градостроительного кодекса Российской Федерации, Федеральным</w:t>
      </w:r>
      <w:r w:rsidRPr="002467C5">
        <w:rPr>
          <w:rFonts w:eastAsiaTheme="minorEastAsia"/>
          <w:sz w:val="20"/>
          <w:szCs w:val="20"/>
          <w:shd w:val="clear" w:color="auto" w:fill="FFFFFF"/>
          <w:lang w:eastAsia="ru-RU"/>
        </w:rPr>
        <w:t xml:space="preserve"> законом от 6 октября 2003 г. № 131-ФЗ «Об общих принципах организации местного самоуправления в Российской Федерации»,</w:t>
      </w:r>
      <w:r w:rsidRPr="002467C5">
        <w:rPr>
          <w:rFonts w:eastAsiaTheme="minorEastAsia"/>
          <w:b/>
          <w:bCs/>
          <w:sz w:val="20"/>
          <w:szCs w:val="20"/>
          <w:lang w:eastAsia="ru-RU"/>
        </w:rPr>
        <w:t xml:space="preserve"> </w:t>
      </w:r>
      <w:r w:rsidRPr="002467C5">
        <w:rPr>
          <w:rFonts w:eastAsiaTheme="minorEastAsia"/>
          <w:sz w:val="20"/>
          <w:szCs w:val="20"/>
          <w:shd w:val="clear" w:color="auto" w:fill="FFFFFF"/>
          <w:lang w:eastAsia="ru-RU"/>
        </w:rPr>
        <w:t xml:space="preserve">статьей 16 Закона Чувашской Республики от 4 июня 2007 г. № 11 «О регулировании градостроительной деятельности в Чувашской Республике» администрация </w:t>
      </w:r>
      <w:r w:rsidRPr="002467C5">
        <w:rPr>
          <w:rFonts w:eastAsiaTheme="minorEastAsia"/>
          <w:sz w:val="20"/>
          <w:szCs w:val="20"/>
          <w:lang w:eastAsia="ru-RU"/>
        </w:rPr>
        <w:t>Комсомольского муниципального округа Чувашской Республики п о с т а н о в л я е т:</w:t>
      </w:r>
    </w:p>
    <w:p w:rsidR="002467C5" w:rsidRPr="002467C5" w:rsidRDefault="002467C5" w:rsidP="002467C5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bookmarkStart w:id="0" w:name="sub_1"/>
      <w:r w:rsidRPr="002467C5">
        <w:rPr>
          <w:rFonts w:eastAsiaTheme="minorEastAsia"/>
          <w:sz w:val="20"/>
          <w:szCs w:val="20"/>
          <w:lang w:eastAsia="ru-RU"/>
        </w:rPr>
        <w:t xml:space="preserve">1. </w:t>
      </w:r>
      <w:r w:rsidRPr="002467C5">
        <w:rPr>
          <w:rFonts w:eastAsiaTheme="minorEastAsia"/>
          <w:bCs/>
          <w:sz w:val="20"/>
          <w:szCs w:val="20"/>
          <w:lang w:eastAsia="ru-RU"/>
        </w:rPr>
        <w:t>П</w:t>
      </w:r>
      <w:r w:rsidRPr="002467C5">
        <w:rPr>
          <w:rFonts w:eastAsiaTheme="minorEastAsia"/>
          <w:sz w:val="20"/>
          <w:szCs w:val="20"/>
          <w:lang w:eastAsia="ru-RU"/>
        </w:rPr>
        <w:t>риступить к внесению изменений в генеральный план и правила землепользования и застройки Комсомольского муниципального округа Чувашской Республики.</w:t>
      </w:r>
    </w:p>
    <w:p w:rsidR="002467C5" w:rsidRPr="002467C5" w:rsidRDefault="002467C5" w:rsidP="002467C5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bookmarkStart w:id="1" w:name="sub_2"/>
      <w:bookmarkEnd w:id="0"/>
      <w:r w:rsidRPr="002467C5">
        <w:rPr>
          <w:rFonts w:eastAsiaTheme="minorEastAsia"/>
          <w:sz w:val="20"/>
          <w:szCs w:val="20"/>
          <w:lang w:eastAsia="ru-RU"/>
        </w:rPr>
        <w:t>2. Утвердить:</w:t>
      </w:r>
    </w:p>
    <w:p w:rsidR="002467C5" w:rsidRPr="002467C5" w:rsidRDefault="002467C5" w:rsidP="002467C5">
      <w:pPr>
        <w:shd w:val="clear" w:color="auto" w:fill="FFFFFF"/>
        <w:ind w:firstLine="720"/>
        <w:contextualSpacing/>
        <w:jc w:val="both"/>
        <w:rPr>
          <w:sz w:val="20"/>
          <w:szCs w:val="20"/>
          <w:lang w:eastAsia="ru-RU"/>
        </w:rPr>
      </w:pPr>
      <w:bookmarkStart w:id="2" w:name="sub_3"/>
      <w:bookmarkEnd w:id="1"/>
      <w:r w:rsidRPr="002467C5">
        <w:rPr>
          <w:sz w:val="20"/>
          <w:szCs w:val="20"/>
          <w:lang w:eastAsia="ru-RU"/>
        </w:rPr>
        <w:t>2.1. Состав Комиссии по внесению изменений в генеральный план и правила землепользования и застройки Комсомольского муниципального округа Чувашской Республики согласно приложению № 1 к настоящему постановлению.</w:t>
      </w:r>
    </w:p>
    <w:p w:rsidR="002467C5" w:rsidRPr="002467C5" w:rsidRDefault="002467C5" w:rsidP="002467C5">
      <w:pPr>
        <w:shd w:val="clear" w:color="auto" w:fill="FFFFFF"/>
        <w:ind w:firstLine="720"/>
        <w:contextualSpacing/>
        <w:jc w:val="both"/>
        <w:rPr>
          <w:sz w:val="20"/>
          <w:szCs w:val="20"/>
          <w:lang w:eastAsia="ru-RU"/>
        </w:rPr>
      </w:pPr>
      <w:r w:rsidRPr="002467C5">
        <w:rPr>
          <w:sz w:val="20"/>
          <w:szCs w:val="20"/>
          <w:lang w:eastAsia="ru-RU"/>
        </w:rPr>
        <w:t>2.2. Порядок деятельности Комиссии по внесению изменений в генеральный план и правила землепользования и застройки Комсомольского муниципального округа Чувашской Республики согласно приложению № 2 к настоящему постановлению.</w:t>
      </w:r>
    </w:p>
    <w:p w:rsidR="002467C5" w:rsidRPr="002467C5" w:rsidRDefault="002467C5" w:rsidP="002467C5">
      <w:pPr>
        <w:shd w:val="clear" w:color="auto" w:fill="FFFFFF"/>
        <w:ind w:firstLine="720"/>
        <w:contextualSpacing/>
        <w:jc w:val="both"/>
        <w:rPr>
          <w:sz w:val="20"/>
          <w:szCs w:val="20"/>
          <w:lang w:eastAsia="ru-RU"/>
        </w:rPr>
      </w:pPr>
      <w:r w:rsidRPr="002467C5">
        <w:rPr>
          <w:sz w:val="20"/>
          <w:szCs w:val="20"/>
          <w:lang w:eastAsia="ru-RU"/>
        </w:rPr>
        <w:t xml:space="preserve">2.3. </w:t>
      </w:r>
      <w:r w:rsidRPr="002467C5">
        <w:rPr>
          <w:sz w:val="20"/>
          <w:szCs w:val="20"/>
          <w:shd w:val="clear" w:color="auto" w:fill="FFFFFF"/>
          <w:lang w:eastAsia="ru-RU"/>
        </w:rPr>
        <w:t>Порядок и сроки проведения работ по подготовке проекта внесения изменений в генеральный план и правила землепользования и застройки правил землепользования и застройки Комсомольского муниципального округа Чувашской Республики</w:t>
      </w:r>
      <w:r w:rsidRPr="002467C5">
        <w:rPr>
          <w:sz w:val="20"/>
          <w:szCs w:val="20"/>
          <w:lang w:eastAsia="ru-RU"/>
        </w:rPr>
        <w:t xml:space="preserve"> согласно приложению № 3 к настоящему постановлению.</w:t>
      </w:r>
    </w:p>
    <w:p w:rsidR="002467C5" w:rsidRPr="002467C5" w:rsidRDefault="002467C5" w:rsidP="002467C5">
      <w:pPr>
        <w:shd w:val="clear" w:color="auto" w:fill="FFFFFF"/>
        <w:ind w:firstLine="720"/>
        <w:contextualSpacing/>
        <w:jc w:val="both"/>
        <w:rPr>
          <w:sz w:val="20"/>
          <w:szCs w:val="20"/>
          <w:lang w:eastAsia="ru-RU"/>
        </w:rPr>
      </w:pPr>
      <w:r w:rsidRPr="002467C5">
        <w:rPr>
          <w:sz w:val="20"/>
          <w:szCs w:val="20"/>
          <w:lang w:eastAsia="ru-RU"/>
        </w:rPr>
        <w:t>2.4. Порядок направления в Комиссию по внесению изменений в генеральный план и правила</w:t>
      </w:r>
      <w:r w:rsidRPr="002467C5">
        <w:rPr>
          <w:sz w:val="20"/>
          <w:szCs w:val="20"/>
          <w:shd w:val="clear" w:color="auto" w:fill="FFFFFF"/>
          <w:lang w:eastAsia="ru-RU"/>
        </w:rPr>
        <w:t xml:space="preserve"> </w:t>
      </w:r>
      <w:r w:rsidRPr="002467C5">
        <w:rPr>
          <w:sz w:val="20"/>
          <w:szCs w:val="20"/>
          <w:lang w:eastAsia="ru-RU"/>
        </w:rPr>
        <w:t xml:space="preserve">землепользования и застройки предложений заинтересованных лиц по внесению изменений в генеральный план и правила землепользования и застройки Комсомольского муниципального округа Чувашской Республики в ходе публичных слушаний (общественных </w:t>
      </w:r>
      <w:r w:rsidRPr="002467C5">
        <w:rPr>
          <w:sz w:val="20"/>
          <w:szCs w:val="20"/>
          <w:lang w:eastAsia="ru-RU"/>
        </w:rPr>
        <w:lastRenderedPageBreak/>
        <w:t xml:space="preserve">обсуждений) согласно </w:t>
      </w:r>
      <w:r w:rsidRPr="002467C5">
        <w:rPr>
          <w:bCs/>
          <w:sz w:val="20"/>
          <w:szCs w:val="20"/>
          <w:lang w:eastAsia="ru-RU"/>
        </w:rPr>
        <w:t>приложению № 4</w:t>
      </w:r>
      <w:r w:rsidRPr="002467C5">
        <w:rPr>
          <w:sz w:val="20"/>
          <w:szCs w:val="20"/>
          <w:lang w:eastAsia="ru-RU"/>
        </w:rPr>
        <w:t xml:space="preserve"> к настоящему постановлению.</w:t>
      </w:r>
    </w:p>
    <w:p w:rsidR="002467C5" w:rsidRPr="002467C5" w:rsidRDefault="002467C5" w:rsidP="002467C5">
      <w:pPr>
        <w:shd w:val="clear" w:color="auto" w:fill="FFFFFF"/>
        <w:ind w:firstLine="720"/>
        <w:contextualSpacing/>
        <w:jc w:val="both"/>
        <w:rPr>
          <w:sz w:val="20"/>
          <w:szCs w:val="20"/>
          <w:lang w:eastAsia="ru-RU"/>
        </w:rPr>
      </w:pPr>
      <w:r w:rsidRPr="002467C5">
        <w:rPr>
          <w:sz w:val="20"/>
          <w:szCs w:val="20"/>
          <w:lang w:eastAsia="ru-RU"/>
        </w:rPr>
        <w:t>3. Признать утратившим силу постановление администрации Комсомольского муниципального округа Чувашской Республики от 01.03.2024 г. № 189 «О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Республики».</w:t>
      </w:r>
    </w:p>
    <w:p w:rsidR="002467C5" w:rsidRPr="002467C5" w:rsidRDefault="002467C5" w:rsidP="002467C5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0"/>
          <w:szCs w:val="20"/>
          <w:lang w:eastAsia="ru-RU"/>
        </w:rPr>
      </w:pPr>
      <w:bookmarkStart w:id="3" w:name="sub_6"/>
      <w:bookmarkEnd w:id="2"/>
      <w:r w:rsidRPr="002467C5">
        <w:rPr>
          <w:rFonts w:eastAsiaTheme="minorEastAsia"/>
          <w:sz w:val="20"/>
          <w:szCs w:val="20"/>
          <w:lang w:eastAsia="ru-RU"/>
        </w:rPr>
        <w:t xml:space="preserve">4.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</w:t>
      </w:r>
      <w:r w:rsidRPr="002467C5">
        <w:rPr>
          <w:sz w:val="20"/>
          <w:szCs w:val="20"/>
          <w:lang w:eastAsia="ru-RU"/>
        </w:rPr>
        <w:t>Чувашской Республики</w:t>
      </w:r>
      <w:r w:rsidRPr="002467C5">
        <w:rPr>
          <w:rFonts w:eastAsiaTheme="minorEastAsia"/>
          <w:sz w:val="20"/>
          <w:szCs w:val="20"/>
          <w:lang w:eastAsia="ru-RU"/>
        </w:rPr>
        <w:t>.</w:t>
      </w:r>
    </w:p>
    <w:p w:rsidR="002467C5" w:rsidRPr="002467C5" w:rsidRDefault="002467C5" w:rsidP="002467C5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bookmarkStart w:id="4" w:name="sub_7"/>
      <w:bookmarkEnd w:id="3"/>
      <w:r w:rsidRPr="002467C5">
        <w:rPr>
          <w:rFonts w:eastAsiaTheme="minorEastAsia"/>
          <w:sz w:val="20"/>
          <w:szCs w:val="20"/>
          <w:lang w:eastAsia="ru-RU"/>
        </w:rPr>
        <w:t>5.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муниципального округа Чувашской Республики в сети «Интернет».</w:t>
      </w:r>
      <w:bookmarkEnd w:id="4"/>
    </w:p>
    <w:p w:rsidR="0038170D" w:rsidRDefault="0038170D" w:rsidP="008B6A85">
      <w:pPr>
        <w:jc w:val="both"/>
      </w:pPr>
      <w:bookmarkStart w:id="5" w:name="_Hlk186063542"/>
    </w:p>
    <w:p w:rsidR="002467C5" w:rsidRPr="00AB27EF" w:rsidRDefault="002467C5" w:rsidP="002467C5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End w:id="5"/>
    </w:p>
    <w:p w:rsidR="002467C5" w:rsidRPr="00712C58" w:rsidRDefault="002467C5" w:rsidP="002467C5">
      <w:pPr>
        <w:ind w:right="141"/>
        <w:jc w:val="both"/>
        <w:rPr>
          <w:b/>
          <w:i/>
          <w:sz w:val="24"/>
          <w:szCs w:val="24"/>
        </w:rPr>
      </w:pPr>
      <w:bookmarkStart w:id="6" w:name="_Hlk186063470"/>
    </w:p>
    <w:p w:rsidR="002467C5" w:rsidRPr="00854972" w:rsidRDefault="002467C5" w:rsidP="002467C5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2467C5" w:rsidRPr="00854972" w:rsidRDefault="002467C5" w:rsidP="002467C5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bookmarkEnd w:id="6"/>
    <w:p w:rsidR="002467C5" w:rsidRDefault="002467C5" w:rsidP="002467C5">
      <w:pPr>
        <w:jc w:val="both"/>
      </w:pPr>
      <w:r w:rsidRPr="00854972">
        <w:t xml:space="preserve">пост. № </w:t>
      </w:r>
      <w:r>
        <w:t>1330 от 12.11</w:t>
      </w:r>
      <w:r w:rsidRPr="00854972">
        <w:t>.2024</w:t>
      </w:r>
      <w:r>
        <w:t xml:space="preserve"> </w:t>
      </w:r>
      <w:r w:rsidRPr="00854972">
        <w:t>г</w:t>
      </w:r>
    </w:p>
    <w:p w:rsidR="0038170D" w:rsidRDefault="0038170D" w:rsidP="002467C5">
      <w:pPr>
        <w:jc w:val="both"/>
      </w:pPr>
    </w:p>
    <w:p w:rsidR="0038170D" w:rsidRDefault="0038170D" w:rsidP="0038170D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38170D">
        <w:rPr>
          <w:b/>
          <w:i/>
          <w:sz w:val="24"/>
          <w:szCs w:val="24"/>
          <w:lang w:eastAsia="ru-RU"/>
        </w:rPr>
        <w:t>Остатки средств маткапитала теперь можно получить в виде единовременной выплаты</w:t>
      </w:r>
    </w:p>
    <w:p w:rsidR="0038170D" w:rsidRPr="0038170D" w:rsidRDefault="0038170D" w:rsidP="0038170D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38170D" w:rsidRPr="0038170D" w:rsidRDefault="0038170D" w:rsidP="0038170D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38170D">
        <w:rPr>
          <w:rFonts w:eastAsiaTheme="minorEastAsia"/>
          <w:sz w:val="20"/>
          <w:szCs w:val="20"/>
          <w:lang w:eastAsia="ru-RU"/>
        </w:rPr>
        <w:t xml:space="preserve">Установлено, что в случае распоряжения средствами маткапитала не в полном объеме лица, получившие сертификат, вправе получить остаток средств маткапитала, если этот остаток не превышает 10 тыс. рублей, в виде единовременной выплаты на основании заявления о распоряжении. </w:t>
      </w:r>
    </w:p>
    <w:p w:rsidR="0038170D" w:rsidRDefault="0038170D" w:rsidP="0038170D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38170D">
        <w:rPr>
          <w:rFonts w:eastAsiaTheme="minorEastAsia"/>
          <w:sz w:val="20"/>
          <w:szCs w:val="20"/>
          <w:lang w:eastAsia="ru-RU"/>
        </w:rPr>
        <w:t xml:space="preserve">Правила направления средств маткапитала на получение единовременной выплаты, в том числе форма заявления о распоряжении средствами маткапитала на получение единовременной выплаты, устанавливаются Правительством РФ. </w:t>
      </w:r>
    </w:p>
    <w:p w:rsidR="0038170D" w:rsidRPr="00712C58" w:rsidRDefault="0038170D" w:rsidP="0038170D">
      <w:pPr>
        <w:ind w:right="141"/>
        <w:jc w:val="both"/>
        <w:rPr>
          <w:b/>
          <w:i/>
          <w:sz w:val="24"/>
          <w:szCs w:val="24"/>
        </w:rPr>
      </w:pPr>
      <w:bookmarkStart w:id="7" w:name="_Hlk186063605"/>
    </w:p>
    <w:p w:rsidR="0038170D" w:rsidRPr="00854972" w:rsidRDefault="0038170D" w:rsidP="0038170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Помощник прокурора</w:t>
      </w:r>
    </w:p>
    <w:p w:rsidR="0038170D" w:rsidRDefault="0038170D" w:rsidP="0038170D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</w:t>
      </w:r>
      <w:r>
        <w:t xml:space="preserve">                               </w:t>
      </w:r>
      <w:r>
        <w:t>Д.А. Столярова</w:t>
      </w:r>
    </w:p>
    <w:p w:rsidR="0038170D" w:rsidRDefault="0038170D" w:rsidP="0038170D">
      <w:pPr>
        <w:jc w:val="both"/>
      </w:pPr>
    </w:p>
    <w:p w:rsidR="0038170D" w:rsidRDefault="0038170D" w:rsidP="0038170D">
      <w:pPr>
        <w:jc w:val="both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7"/>
    <w:p w:rsidR="0038170D" w:rsidRDefault="0038170D" w:rsidP="0038170D">
      <w:pPr>
        <w:pStyle w:val="aff8"/>
        <w:spacing w:before="0" w:beforeAutospacing="0" w:after="0" w:afterAutospacing="0" w:line="288" w:lineRule="atLeast"/>
        <w:jc w:val="both"/>
        <w:rPr>
          <w:sz w:val="22"/>
          <w:szCs w:val="22"/>
          <w:lang w:eastAsia="en-US"/>
        </w:rPr>
      </w:pPr>
    </w:p>
    <w:p w:rsidR="0038170D" w:rsidRDefault="0038170D" w:rsidP="0038170D">
      <w:pPr>
        <w:pStyle w:val="aff8"/>
        <w:spacing w:before="0" w:beforeAutospacing="0" w:after="0" w:afterAutospacing="0" w:line="288" w:lineRule="atLeast"/>
        <w:jc w:val="both"/>
        <w:rPr>
          <w:b/>
          <w:bCs/>
        </w:rPr>
      </w:pPr>
    </w:p>
    <w:p w:rsidR="0038170D" w:rsidRDefault="0038170D" w:rsidP="0038170D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38170D">
        <w:rPr>
          <w:b/>
          <w:i/>
          <w:sz w:val="24"/>
          <w:szCs w:val="24"/>
          <w:lang w:eastAsia="ru-RU"/>
        </w:rPr>
        <w:t>Бюджетные и казенные учреждения будут организовывать ликвидацию накопленного вреда окружающей среде</w:t>
      </w:r>
    </w:p>
    <w:p w:rsidR="0038170D" w:rsidRPr="0038170D" w:rsidRDefault="0038170D" w:rsidP="0038170D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38170D" w:rsidRDefault="0038170D" w:rsidP="0038170D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38170D">
        <w:rPr>
          <w:rFonts w:eastAsiaTheme="minorEastAsia"/>
          <w:sz w:val="20"/>
          <w:szCs w:val="20"/>
          <w:lang w:eastAsia="ru-RU"/>
        </w:rPr>
        <w:t xml:space="preserve">Установлено, что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образования, может осуществляться не только органами местного самоуправления, но и подведомственными им муниципальными бюджетными и казенными учреждениями, а применительно к иным территориям - не только органами государственной власти субъектов РФ, но и государственными бюджетными и казенными учреждениями, подведомственными таким органами. </w:t>
      </w:r>
    </w:p>
    <w:p w:rsidR="0038170D" w:rsidRPr="00712C58" w:rsidRDefault="0038170D" w:rsidP="0038170D">
      <w:pPr>
        <w:ind w:right="141"/>
        <w:jc w:val="both"/>
        <w:rPr>
          <w:b/>
          <w:i/>
          <w:sz w:val="24"/>
          <w:szCs w:val="24"/>
        </w:rPr>
      </w:pPr>
      <w:bookmarkStart w:id="8" w:name="_Hlk186064080"/>
    </w:p>
    <w:p w:rsidR="0038170D" w:rsidRPr="00854972" w:rsidRDefault="0038170D" w:rsidP="0038170D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Помощник прокурора</w:t>
      </w:r>
    </w:p>
    <w:p w:rsidR="0038170D" w:rsidRDefault="0038170D" w:rsidP="0038170D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</w:t>
      </w:r>
      <w:r>
        <w:t xml:space="preserve">                               Д.А. Столярова</w:t>
      </w:r>
    </w:p>
    <w:p w:rsidR="00864FD1" w:rsidRDefault="00864FD1" w:rsidP="0038170D">
      <w:pPr>
        <w:jc w:val="both"/>
      </w:pPr>
    </w:p>
    <w:p w:rsidR="0038170D" w:rsidRDefault="0038170D" w:rsidP="0038170D">
      <w:pPr>
        <w:jc w:val="both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End w:id="8"/>
    </w:p>
    <w:p w:rsidR="0038170D" w:rsidRDefault="0038170D" w:rsidP="0038170D">
      <w:pPr>
        <w:jc w:val="both"/>
        <w:rPr>
          <w:rStyle w:val="af8"/>
          <w:sz w:val="24"/>
          <w:szCs w:val="24"/>
        </w:rPr>
      </w:pPr>
    </w:p>
    <w:p w:rsidR="00864FD1" w:rsidRDefault="00864FD1" w:rsidP="0038170D">
      <w:pPr>
        <w:jc w:val="both"/>
        <w:rPr>
          <w:rStyle w:val="af8"/>
          <w:sz w:val="24"/>
          <w:szCs w:val="24"/>
        </w:rPr>
      </w:pPr>
    </w:p>
    <w:p w:rsidR="0038170D" w:rsidRDefault="0038170D" w:rsidP="00864FD1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864FD1">
        <w:rPr>
          <w:b/>
          <w:i/>
          <w:sz w:val="24"/>
          <w:szCs w:val="24"/>
          <w:lang w:eastAsia="ru-RU"/>
        </w:rPr>
        <w:t>Уточняется Методика разработки нормативов допустимых сбросов загрязняющих веществ в водные объекты для водопользователей</w:t>
      </w:r>
    </w:p>
    <w:p w:rsidR="00864FD1" w:rsidRPr="00864FD1" w:rsidRDefault="00864FD1" w:rsidP="00864FD1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38170D" w:rsidRDefault="0038170D" w:rsidP="00864FD1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864FD1">
        <w:rPr>
          <w:rFonts w:eastAsiaTheme="minorEastAsia"/>
          <w:sz w:val="20"/>
          <w:szCs w:val="20"/>
          <w:lang w:eastAsia="ru-RU"/>
        </w:rPr>
        <w:t xml:space="preserve">В частности, предусмотрено, что в случае если в водном объекте-приемнике сточных вод невозможно установить фоновый створ и невозможно провести расчет условных фоновых концентраций химических веществ в воде данного водного объекта, водопользователь при сбросе теплообменных вод тепловых электростанций, атомных электростанций и других подобных объектов, введенных в эксплуатацию до вступления в силу Закона об охране окружающей среды и Водного кодекса РФ, вправе разрабатывать НДС на уровне фоновых концентраций веществ в створе водозабора. </w:t>
      </w:r>
    </w:p>
    <w:p w:rsidR="00864FD1" w:rsidRPr="00712C58" w:rsidRDefault="00864FD1" w:rsidP="00864FD1">
      <w:pPr>
        <w:ind w:right="141"/>
        <w:jc w:val="both"/>
        <w:rPr>
          <w:b/>
          <w:i/>
          <w:sz w:val="24"/>
          <w:szCs w:val="24"/>
        </w:rPr>
      </w:pPr>
      <w:bookmarkStart w:id="9" w:name="_Hlk186064246"/>
    </w:p>
    <w:p w:rsidR="00864FD1" w:rsidRPr="00854972" w:rsidRDefault="00864FD1" w:rsidP="00864FD1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Старший помощник </w:t>
      </w:r>
      <w:r>
        <w:rPr>
          <w:rFonts w:ascii="Times New Roman" w:hAnsi="Times New Roman" w:cs="Times New Roman"/>
          <w:lang w:val="ru-RU"/>
        </w:rPr>
        <w:t>прокурора</w:t>
      </w:r>
    </w:p>
    <w:p w:rsidR="00864FD1" w:rsidRDefault="00864FD1" w:rsidP="00864FD1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</w:t>
      </w:r>
      <w:r>
        <w:t xml:space="preserve">                               </w:t>
      </w:r>
      <w:r>
        <w:t>Е.С. Егорова</w:t>
      </w:r>
    </w:p>
    <w:p w:rsidR="00864FD1" w:rsidRDefault="00864FD1" w:rsidP="00864FD1">
      <w:pPr>
        <w:jc w:val="both"/>
      </w:pPr>
    </w:p>
    <w:p w:rsidR="00864FD1" w:rsidRPr="00864FD1" w:rsidRDefault="00864FD1" w:rsidP="00864FD1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9"/>
    <w:p w:rsidR="0038170D" w:rsidRPr="0038170D" w:rsidRDefault="0038170D" w:rsidP="0038170D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</w:p>
    <w:p w:rsidR="00864FD1" w:rsidRDefault="00864FD1" w:rsidP="00864FD1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  <w:r w:rsidRPr="00864FD1">
        <w:rPr>
          <w:b/>
          <w:i/>
          <w:sz w:val="24"/>
          <w:szCs w:val="24"/>
          <w:lang w:eastAsia="ru-RU"/>
        </w:rPr>
        <w:lastRenderedPageBreak/>
        <w:t>Периодическое подтверждение соответствия лицензионным требованиям будет проводиться в отношении лицензиатов, осуществляющих деятельность по сбору, транспортированию, обработке, утилизации, обезвреживанию, размещению отходов I - IV классов опасности</w:t>
      </w:r>
    </w:p>
    <w:p w:rsidR="00864FD1" w:rsidRPr="00864FD1" w:rsidRDefault="00864FD1" w:rsidP="00864FD1">
      <w:pPr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864FD1" w:rsidRPr="00864FD1" w:rsidRDefault="00864FD1" w:rsidP="00864FD1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864FD1">
        <w:rPr>
          <w:rFonts w:eastAsiaTheme="minorEastAsia"/>
          <w:sz w:val="20"/>
          <w:szCs w:val="20"/>
          <w:lang w:eastAsia="ru-RU"/>
        </w:rPr>
        <w:t xml:space="preserve">Лицензиаты, которым лицензии на указанные виды деятельности были предоставлены до 1 сентября 2024 года, должны пройти процедуру первичного подтверждения соответствия лицензионным требованиям по истечении трех лет с даты предоставления лицензии или даты проведения последнего планового контрольного (надзорного) мероприятия в части соблюдения лицензионных требований в зависимости от того, какое событие произошло позднее, но не ранее 1 марта 2025 года. </w:t>
      </w:r>
    </w:p>
    <w:p w:rsidR="00864FD1" w:rsidRPr="00712C58" w:rsidRDefault="00864FD1" w:rsidP="00864FD1">
      <w:pPr>
        <w:ind w:right="141"/>
        <w:jc w:val="both"/>
        <w:rPr>
          <w:b/>
          <w:i/>
          <w:sz w:val="24"/>
          <w:szCs w:val="24"/>
        </w:rPr>
      </w:pPr>
    </w:p>
    <w:p w:rsidR="00864FD1" w:rsidRPr="00854972" w:rsidRDefault="00864FD1" w:rsidP="00864FD1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Старший помощник прокурора</w:t>
      </w:r>
    </w:p>
    <w:p w:rsidR="00864FD1" w:rsidRDefault="00864FD1" w:rsidP="00864FD1">
      <w:pPr>
        <w:jc w:val="both"/>
      </w:pPr>
      <w:r>
        <w:t>Комсомольского района</w:t>
      </w:r>
      <w:r w:rsidRPr="00854972">
        <w:t xml:space="preserve">                                                                                                     </w:t>
      </w:r>
      <w:r>
        <w:t xml:space="preserve">                               Е.С. Егорова</w:t>
      </w:r>
    </w:p>
    <w:p w:rsidR="00864FD1" w:rsidRDefault="00864FD1" w:rsidP="00864FD1">
      <w:pPr>
        <w:jc w:val="both"/>
      </w:pPr>
    </w:p>
    <w:p w:rsidR="00864FD1" w:rsidRPr="00864FD1" w:rsidRDefault="00864FD1" w:rsidP="00864FD1">
      <w:pPr>
        <w:autoSpaceDE w:val="0"/>
        <w:autoSpaceDN w:val="0"/>
        <w:adjustRightInd w:val="0"/>
        <w:ind w:firstLine="720"/>
        <w:contextualSpacing/>
        <w:jc w:val="both"/>
        <w:rPr>
          <w:rFonts w:eastAsiaTheme="minorEastAsia"/>
          <w:sz w:val="20"/>
          <w:szCs w:val="20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64FD1" w:rsidRDefault="00864FD1" w:rsidP="002467C5">
      <w:pPr>
        <w:jc w:val="both"/>
      </w:pPr>
    </w:p>
    <w:p w:rsidR="002467C5" w:rsidRPr="008B6A85" w:rsidRDefault="002467C5" w:rsidP="008B6A85">
      <w:pPr>
        <w:jc w:val="both"/>
      </w:pPr>
      <w:bookmarkStart w:id="10" w:name="_GoBack"/>
      <w:bookmarkEnd w:id="10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8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3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7"/>
  </w:num>
  <w:num w:numId="5">
    <w:abstractNumId w:val="22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4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21"/>
  </w:num>
  <w:num w:numId="19">
    <w:abstractNumId w:val="18"/>
  </w:num>
  <w:num w:numId="20">
    <w:abstractNumId w:val="13"/>
  </w:num>
  <w:num w:numId="21">
    <w:abstractNumId w:val="3"/>
  </w:num>
  <w:num w:numId="22">
    <w:abstractNumId w:val="5"/>
  </w:num>
  <w:num w:numId="23">
    <w:abstractNumId w:val="20"/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467C5"/>
    <w:rsid w:val="002660E9"/>
    <w:rsid w:val="002844D2"/>
    <w:rsid w:val="002D0911"/>
    <w:rsid w:val="002D30B6"/>
    <w:rsid w:val="00302469"/>
    <w:rsid w:val="00371A1F"/>
    <w:rsid w:val="00380CBB"/>
    <w:rsid w:val="0038170D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64FD1"/>
    <w:rsid w:val="00896859"/>
    <w:rsid w:val="008B6A85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816E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3B53-C785-4CCD-883F-79701CED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40</cp:revision>
  <dcterms:created xsi:type="dcterms:W3CDTF">2024-08-01T10:23:00Z</dcterms:created>
  <dcterms:modified xsi:type="dcterms:W3CDTF">2024-12-25T21:12:00Z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