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8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Кадастровые показатели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Кадастровая информация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</w:t>
            </w:r>
            <w:r>
              <w:rPr>
                <w:rFonts w:ascii="Times New Roman" w:hAnsi="Times New Roman"/>
              </w:rPr>
              <w:t xml:space="preserve">Кошкинское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Р-ПП-0</w:t>
            </w: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29.12.2005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сохранение </w:t>
            </w:r>
            <w:r>
              <w:rPr>
                <w:rFonts w:ascii="Times New Roman" w:hAnsi="Times New Roman"/>
              </w:rPr>
              <w:t xml:space="preserve">природного объекта - карстового озера, имеющего экологическое, научное и рекреационное значение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29 декабря 2005 г. № 342 «Вопросы особо охраняемы</w:t>
            </w:r>
            <w:r>
              <w:rPr>
                <w:rFonts w:ascii="Times New Roman" w:hAnsi="Times New Roman"/>
                <w:spacing w:val="-6"/>
              </w:rPr>
              <w:t xml:space="preserve">х природных территорий»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11.05.2006 № 116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"http://rdocs3.cntd.ru/document/444768897"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26.09.2013 № 389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"http://rdocs3.cntd.ru/document/424074014"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25.03.2015 № 96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"http://rdocs3.cntd.ru/document/444786770"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23.11.2016 № 485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"http://rdocs3.cntd.ru/document/550183843"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12.09.2018 № 361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от 10.06.2020 № 309, от 03.04.2024 № 167);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none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4 декабря 2023 г. № 185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     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земли </w:t>
            </w:r>
            <w:r>
              <w:rPr>
                <w:rFonts w:ascii="Times New Roman" w:hAnsi="Times New Roman"/>
              </w:rPr>
              <w:t xml:space="preserve">водного фонда и земли </w:t>
            </w:r>
            <w:r>
              <w:rPr>
                <w:rFonts w:ascii="Times New Roman" w:hAnsi="Times New Roman"/>
              </w:rPr>
              <w:t xml:space="preserve">сельскохозяйственного назначения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87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Красноармейский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муниципальный округ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r>
              <w:rPr>
                <w:rFonts w:ascii="Times New Roman" w:hAnsi="Times New Roman"/>
              </w:rPr>
              <w:t xml:space="preserve">800 м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восточнее д. Кошки Красноармей</w:t>
            </w:r>
            <w:r>
              <w:rPr>
                <w:rFonts w:ascii="Times New Roman" w:hAnsi="Times New Roman"/>
              </w:rPr>
              <w:t xml:space="preserve">ского муниципального округа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17,87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1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 местоположении границ памятника природы «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</w:rPr>
              <w:t xml:space="preserve">Озеро </w:t>
            </w:r>
            <w:r>
              <w:rPr>
                <w:rFonts w:ascii="Times New Roman" w:hAnsi="Times New Roman"/>
              </w:rPr>
              <w:t xml:space="preserve">Кошкинское»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представлены в </w:t>
            </w:r>
            <w:r>
              <w:rPr>
                <w:rFonts w:ascii="Times New Roman" w:hAnsi="Times New Roman"/>
              </w:rPr>
              <w:t xml:space="preserve">разделе 2</w:t>
            </w:r>
            <w:r>
              <w:rPr>
                <w:rFonts w:ascii="Times New Roman" w:hAnsi="Times New Roman"/>
              </w:rPr>
              <w:t xml:space="preserve"> приложения к границам и режиму особой охраны, утвержденными п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</w:rPr>
              <w:t xml:space="preserve">остановлением Кабинета Министров Чувашской Республики от 29 декабря 2005 г. № 342,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и внесены в Единый государственный реестр недвижимости (реестровый номер 21:14-6.53). </w:t>
            </w:r>
            <w:r>
              <w:rPr>
                <w:rFonts w:ascii="Times New Roman" w:hAnsi="Times New Roman"/>
              </w:rPr>
            </w:r>
            <w:r/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55°47'17,11"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E 47°04'10,01"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сглаженный, неглубоко расчлененный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</w:t>
            </w: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  <w:t xml:space="preserve">,5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+19,0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669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зима – ю-з, лето -ю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Преобладают серые лесные почвы – 85 %, аллювиально-дерновые – 10 %. Почвообразующие породы – мергели и глины татарского яруса.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карстового происхождения, овальной формы, площадью 3,9 га, расположено в чашеобразном понижении равнины. Максимальная глубина – 12,6 м. Берега обрывистые, высото</w:t>
            </w:r>
            <w:r>
              <w:rPr>
                <w:rFonts w:ascii="Times New Roman" w:hAnsi="Times New Roman"/>
              </w:rPr>
              <w:t xml:space="preserve">й в среднем 0,5 м. Озеро лежит на высоте 90 м над уровнем моря в правобережье р. Б. Шатьма – левого притока р. Б. Цивиль. С северной стороны к озеру почти вплотную подходит р. Б. Шатьма, отделенная от озера острым узким (7 м) водоразделом с обрывом к реке.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Водная (6,7 га) и прибрежно-водная – 50%, луговая растительность – 50%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 зарастает гидрофитами: рдестами пронзеннолистным и гребенчатым, роголистником погруженным, рясками малой и трехдольной. Северный берег является суходоль</w:t>
            </w:r>
            <w:r>
              <w:rPr>
                <w:rFonts w:ascii="Times New Roman" w:hAnsi="Times New Roman"/>
              </w:rPr>
              <w:t xml:space="preserve">ным склоном, где доминируют вейник наземный, земляника зеленая, зопник клубненосный. На восточном берегу у кромки воды возвышаются кочки осоки острой, сменяемой камышом лесным, и далее от воды – мезофитной сорно-луговой растительностью. Южный берег болотис</w:t>
            </w:r>
            <w:r>
              <w:rPr>
                <w:rFonts w:ascii="Times New Roman" w:hAnsi="Times New Roman"/>
              </w:rPr>
              <w:t xml:space="preserve">тый, с прибрежно-водной (манник большой, рогоз широколистный, хвощ приречный) и болотной растительностью (белокрыльник болотный, осока острая, кизляк кистецветковый). Далее от берега находится сырой луг, а затем мезофитный луг, окружающий озеро и с запада.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Флора представлена типичными водными, околоводными и луговыми видами. Довольно редки в районе болотные виды белокрыльник обыкновенный и кизляк кистецветковый.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фауне беспозвоночных преобладают типичные обитатели водных и околоводных биотопов, представлены также луговые виды. Отмечены редкие виды жуков: Lixus iridis Olivier и Anaesthetis testacea (F.).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фауне зоопланктона преобладают индикаторы низкой сапробности вод. Индексы разнообразия свидетельствуют об относительно высоком богатстве и выравненности сообщества зоопланктона.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Самыми массовыми видами птиц являются трясогузка желтая, береговушка, жаворонок полевой, чекан луговой.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рдест гребенчатый – Potamogeton pectinatus L. (4)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(2019) 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животные: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источники: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жуки: жужелица золотоямчатая – Carabus clathratus L. (3)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бабочки: махаон – Papilio machaon L. (3), руссия – Melanargia russiae (Esper) (прил.)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птицы: перепел – Coturnix coturnix (L.) (прил.)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(2023)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138 видов сосудистых растений, 40 видов зоопланктонных организмов, 71 вид жуков, 4 вида рыб, 25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озеро, редкие виды растений и животных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 отдыха и рыбалки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</w:t>
            </w:r>
            <w:r>
              <w:rPr>
                <w:rFonts w:ascii="Times New Roman" w:hAnsi="Times New Roman"/>
              </w:rPr>
              <w:t xml:space="preserve"> территорий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</w:t>
            </w:r>
            <w:r>
              <w:rPr>
                <w:rFonts w:ascii="Times New Roman" w:hAnsi="Times New Roman"/>
              </w:rPr>
              <w:t xml:space="preserve">астьба скота, мойка автомашин, проезд автотранспорта в прибрежной полосе</w:t>
            </w:r>
            <w:r>
              <w:rPr>
                <w:rFonts w:ascii="Times New Roman" w:hAnsi="Times New Roman"/>
              </w:rPr>
              <w:t xml:space="preserve"> озера</w:t>
            </w:r>
            <w:r>
              <w:rPr>
                <w:rFonts w:ascii="Times New Roman" w:hAnsi="Times New Roman"/>
              </w:rPr>
              <w:t xml:space="preserve">, распашка водоохраной зоны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35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647"/>
                <w:rFonts w:ascii="Times New Roman" w:hAnsi="Times New Roman"/>
              </w:rPr>
              <w:t xml:space="preserve">@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647"/>
                <w:rFonts w:ascii="Times New Roman" w:hAnsi="Times New Roman"/>
              </w:rPr>
              <w:t xml:space="preserve">.</w:t>
            </w:r>
            <w:r>
              <w:rPr>
                <w:rStyle w:val="647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0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Большешатьминский</w:t>
            </w:r>
            <w:r>
              <w:rPr>
                <w:rFonts w:ascii="Times New Roman" w:hAnsi="Times New Roman"/>
                <w:highlight w:val="none"/>
              </w:rPr>
              <w:t xml:space="preserve"> территориальный отдел Красноармейского муниципального округа Чувашской Республики 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429635, </w:t>
            </w:r>
            <w:r>
              <w:rPr>
                <w:rFonts w:ascii="Times New Roman" w:hAnsi="Times New Roman"/>
                <w:highlight w:val="none"/>
              </w:rPr>
              <w:t xml:space="preserve">ЧР</w:t>
            </w:r>
            <w:r>
              <w:rPr>
                <w:rFonts w:ascii="Times New Roman" w:hAnsi="Times New Roman"/>
                <w:highlight w:val="none"/>
              </w:rPr>
              <w:t xml:space="preserve">, Красноармейский район, с. Большая Шатьма, тел.:(8-835-30) 37-2-21,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sao-bshatma@krarm.cap.ru,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  <w:highlight w:val="none"/>
              </w:rPr>
              <w:t xml:space="preserve">Иванова Галина Ивановна</w:t>
            </w:r>
            <w:r>
              <w:rPr>
                <w:rFonts w:ascii="Times New Roman" w:hAnsi="Times New Roman"/>
                <w:highlight w:val="none"/>
              </w:rPr>
              <w:t xml:space="preserve">, начальник отдела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vMerge w:val="continue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ind w:left="0" w:right="0" w:firstLine="142"/>
              <w:spacing w:after="0" w:line="240" w:lineRule="auto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  <w:spacing w:val="-6"/>
              </w:rPr>
              <w:t xml:space="preserve">Постановление Кабинета Министров Чувашской Республики от 29 декабря 2005 г. № 342 «Вопросы особо охраняемы</w:t>
            </w:r>
            <w:r>
              <w:rPr>
                <w:rFonts w:ascii="Times New Roman" w:hAnsi="Times New Roman"/>
                <w:spacing w:val="-6"/>
              </w:rPr>
              <w:t xml:space="preserve">х природных территорий»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11.05.2006 № 116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"http://rdocs3.cntd.ru/document/444768897"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26.09.2013 № 389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"http://rdocs3.cntd.ru/document/424074014"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25.03.2015 № 96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"http://rdocs3.cntd.ru/document/444786770"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23.11.2016 № 485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"http://rdocs3.cntd.ru/document/550183843"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от 12.09.2018 № 361</w:t>
            </w:r>
            <w:r>
              <w:rPr>
                <w:rFonts w:ascii="Times New Roman" w:hAnsi="Times New Roman"/>
                <w:spacing w:val="-6"/>
              </w:rPr>
              <w:fldChar w:fldCharType="end"/>
            </w:r>
            <w:r>
              <w:rPr>
                <w:rFonts w:ascii="Times New Roman" w:hAnsi="Times New Roman"/>
                <w:spacing w:val="-6"/>
              </w:rPr>
              <w:t xml:space="preserve">, от 10.06.2020 № 309, от 03.04.2024 № 167): </w:t>
            </w:r>
            <w:r>
              <w:rPr>
                <w:rFonts w:ascii="Times New Roman" w:hAnsi="Times New Roman"/>
                <w:highlight w:val="none"/>
                <w:u w:val="single"/>
              </w:rPr>
            </w:r>
            <w:r>
              <w:rPr>
                <w:rFonts w:ascii="Times New Roman" w:hAnsi="Times New Roman"/>
                <w:highlight w:val="none"/>
                <w:u w:val="single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роды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Кошкинское»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постоянн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 или временно запрещается или ограничивается любая деятельность, если она противоречит целям его создания, в том числе: 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стоянок транспортных средств, садовых и огородных земельных участков, летних лагерей скота, палаточных городков;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строительство дорог, трубопроводов, линий электропередачи и иных коммуникаций;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распашка земель;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применение ядохимикатов, химических средств защиты растений и стимуляторов роста, удобрений;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загрязнение почв, замусоривание территорий, захоронение мусора, устройство снегосвалок;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самовольные рубки деревьев и кустарников;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выпас скота и транзитный прогон домашних животных вне дорог общего пользования;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сплошные рубки лесных насаждений;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иные виды хозяйственной деятельности, влекущие за собой загрязнение памятника природы и (или) нарушение его сохранности.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textDirection w:val="lrTb"/>
            <w:noWrap w:val="false"/>
          </w:tcPr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разрешенные виды деятель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ности: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Кошкинское»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разрешается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природоохранная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эколого-просветительская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рекреационная и туристская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научные исследования;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highlight w:val="none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рубки при проведении санитарно-оздоровительных мероприятий, рубки, проводимые в целях ухода за лесными насаждениями, очень слабой и слабой интенсивности, рубки аварийных деревьев, рубки в целях использования линейных объектов;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highlight w:val="none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по обеспечению санитарной и противопожарной безопасности природных комплексов и объектов.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«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Озеро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Кошкинское»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определяются следующие вспомогательные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(максимальная) площадь земельных участков - 16 м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метров;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метров;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653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максимальный процент застройки в границах земельного участка - до 75%. 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highlight w:val="none"/>
                <w:lang w:eastAsia="en-US"/>
              </w:rPr>
            </w:r>
            <w:r/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392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  <w:t xml:space="preserve">Указ Главы Чувашской Республики от 4 декабря 2023 г. № 185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Описание границ охранной зоны памятника прир</w:t>
            </w:r>
            <w:r>
              <w:rPr>
                <w:rFonts w:ascii="Times New Roman" w:hAnsi="Times New Roman"/>
                <w:spacing w:val="-6"/>
              </w:rPr>
              <w:t xml:space="preserve">оды «</w:t>
            </w:r>
            <w:r>
              <w:rPr>
                <w:rFonts w:ascii="Times New Roman" w:hAnsi="Times New Roman"/>
                <w:spacing w:val="-6"/>
                <w:lang w:eastAsia="en-US"/>
              </w:rPr>
              <w:t xml:space="preserve">Озеро </w:t>
            </w:r>
            <w:r>
              <w:rPr>
                <w:rFonts w:ascii="Times New Roman" w:hAnsi="Times New Roman"/>
                <w:spacing w:val="-6"/>
                <w:lang w:eastAsia="en-US"/>
              </w:rPr>
              <w:t xml:space="preserve">Кошкинское» </w:t>
            </w:r>
            <w:r>
              <w:rPr>
                <w:rFonts w:ascii="Times New Roman" w:hAnsi="Times New Roman"/>
                <w:spacing w:val="-6"/>
              </w:rPr>
              <w:t xml:space="preserve">: 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северная, северо-восточная - от места впадения ручья в р. Большая Шатьма в 350 м северо-западнее озера вниз по урезу р. Большая Шатьма до места впадения ручья в р. Большая Шатьма в 200 м восточнее озера;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восточная - от места впадения ручья в 200 м восточнее от озера в р. Большая Шатьма вверх по ручью до пересечения его с дорогой, идущей из д. Кошки в юго-восточном направлении;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юго-западная - от места пересечения ручья с дорогой в д. Кошки по дороге до оси плотины на ручье в 350 м западнее озера;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западная - от оси плотины на ручье в 350 м западнее озера вниз по ручью до места впадения его в р. Большая Шатьма в 350 </w:t>
            </w:r>
            <w:r>
              <w:rPr>
                <w:rFonts w:ascii="Times New Roman" w:hAnsi="Times New Roman"/>
                <w:spacing w:val="-6"/>
              </w:rPr>
              <w:t xml:space="preserve">м западнее озера.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 границах охранной зоны «</w:t>
            </w:r>
            <w:r>
              <w:rPr>
                <w:rFonts w:ascii="Times New Roman" w:hAnsi="Times New Roman"/>
                <w:spacing w:val="-6"/>
                <w:lang w:eastAsia="en-US"/>
              </w:rPr>
              <w:t xml:space="preserve">Озеро </w:t>
            </w:r>
            <w:r>
              <w:rPr>
                <w:rFonts w:ascii="Times New Roman" w:hAnsi="Times New Roman"/>
                <w:spacing w:val="-6"/>
                <w:lang w:eastAsia="en-US"/>
              </w:rPr>
              <w:t xml:space="preserve">Кошкинское» </w:t>
            </w:r>
            <w:r>
              <w:rPr>
                <w:rFonts w:ascii="Times New Roman" w:hAnsi="Times New Roman"/>
                <w:spacing w:val="-6"/>
              </w:rPr>
              <w:t xml:space="preserve">запрещает</w:t>
            </w:r>
            <w:r>
              <w:rPr>
                <w:rFonts w:ascii="Times New Roman" w:hAnsi="Times New Roman"/>
                <w:spacing w:val="-6"/>
              </w:rPr>
              <w:t xml:space="preserve">ся всякая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 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использование сточных вод в целях регулирования плодородия почв;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осуществление авиационных мер по борьбе с вредными организмами;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</w:t>
            </w:r>
            <w:r>
              <w:rPr>
                <w:rFonts w:ascii="Times New Roman" w:hAnsi="Times New Roman"/>
                <w:spacing w:val="-6"/>
              </w:rPr>
              <w:t xml:space="preserve">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сброс сточных, в том числе дренажных, вод;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разведка и добыча общераспространенных полезных ископаемых;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сплошные и выборочные рубки,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использования лине</w:t>
            </w:r>
            <w:r>
              <w:rPr>
                <w:rFonts w:ascii="Times New Roman" w:hAnsi="Times New Roman"/>
                <w:spacing w:val="-6"/>
              </w:rPr>
              <w:t xml:space="preserve">йных объектов;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повреждение лесных насаждений, растительного покрова и почв;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разведение костров, разбивка палаток, стоянок (кроме специально оборудованных мест), организация туристских стоянок;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выжигание растительности;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установление сплошных, не имеющих специальных проходов заграждений и сооружений на путях массовой миграции животных.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Запрещаются уничтожение и повреждение предупредительных аншлагов и информационных знаков.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Граница охранной зоны памятника природы обозначается на местности специальными предупредительными аншлагами и информационными знаками.</w:t>
            </w:r>
            <w:r>
              <w:rPr>
                <w:rFonts w:ascii="Times New Roman" w:hAnsi="Times New Roman"/>
                <w:spacing w:val="-6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В границах охранной зоны памятника природы хозяйственная деятельность должна осуществляться с соблюдением требований настоящего Положения и </w:t>
            </w:r>
            <w:r>
              <w:rPr>
                <w:rFonts w:ascii="Times New Roman" w:hAnsi="Times New Roman"/>
                <w:spacing w:val="-6"/>
              </w:rPr>
              <w:t xml:space="preserve">Требований</w:t>
            </w:r>
            <w:r>
              <w:rPr>
                <w:rFonts w:ascii="Times New Roman" w:hAnsi="Times New Roman"/>
                <w:spacing w:val="-6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  <w:spacing w:val="-6"/>
              </w:rPr>
              <w:t xml:space="preserve">от 13 августа 1996 г. N 997. 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Большешатьминский</w:t>
            </w:r>
            <w:r>
              <w:rPr>
                <w:rFonts w:ascii="Times New Roman" w:hAnsi="Times New Roman"/>
              </w:rPr>
              <w:t xml:space="preserve"> территориальный отдел Красноармейского муниципального округа Чувашской Республики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429635,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Красноармейский район, с. Большая Шатьма, тел.:(8-835-30) 37-2-21,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sao-bshatma@krarm.cap.ru,</w:t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</w:rPr>
              <w:t xml:space="preserve">Иванова Галина Ивановна</w:t>
            </w:r>
            <w:r>
              <w:rPr>
                <w:rFonts w:ascii="Times New Roman" w:hAnsi="Times New Roman"/>
              </w:rPr>
              <w:t xml:space="preserve">, начальник отдела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4887" w:type="dxa"/>
            <w:vAlign w:val="top"/>
            <w:textDirection w:val="lrTb"/>
            <w:noWrap w:val="false"/>
          </w:tcPr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636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 </w:t>
            </w:r>
            <w:r>
              <w:rPr>
                <w:rFonts w:ascii="Times New Roman" w:hAnsi="Times New Roman"/>
              </w:rPr>
              <w:t xml:space="preserve">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636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36"/>
        <w:spacing w:after="0" w:line="240" w:lineRule="auto"/>
        <w:rPr>
          <w:rFonts w:ascii="Times New Roman" w:hAnsi="Times New Roman"/>
        </w:rPr>
        <w:sectPr>
          <w:footnotePr/>
          <w:endnotePr/>
          <w:type w:val="nextPage"/>
          <w:pgSz w:w="11906" w:h="16838" w:orient="portrait"/>
          <w:pgMar w:top="851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636"/>
        <w:spacing w:after="0" w:line="240" w:lineRule="auto"/>
      </w:pPr>
      <w:r>
        <w:rPr>
          <w:rFonts w:ascii="Times New Roman" w:hAnsi="Times New Roman"/>
        </w:rPr>
        <w:t xml:space="preserve">E47°04'10,01"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-327659</wp:posOffset>
                </wp:positionV>
                <wp:extent cx="9286875" cy="6305550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rcRect l="0" t="909" r="1236" b="5066"/>
                        <a:stretch/>
                      </pic:blipFill>
                      <pic:spPr bwMode="auto">
                        <a:xfrm>
                          <a:off x="0" y="0"/>
                          <a:ext cx="9286875" cy="630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3.30pt;mso-position-horizontal:absolute;mso-position-vertical-relative:text;margin-top:-25.80pt;mso-position-vertical:absolute;width:731.25pt;height:496.50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851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6"/>
    <w:next w:val="63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6"/>
    <w:next w:val="63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6"/>
    <w:next w:val="63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6"/>
    <w:next w:val="63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6"/>
    <w:next w:val="63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6"/>
    <w:next w:val="63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6"/>
    <w:next w:val="63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6"/>
    <w:next w:val="63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6"/>
    <w:next w:val="63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6"/>
    <w:next w:val="63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6"/>
    <w:next w:val="63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6"/>
    <w:next w:val="63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6"/>
    <w:next w:val="63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6"/>
    <w:next w:val="63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6"/>
    <w:next w:val="63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6"/>
    <w:next w:val="63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6"/>
    <w:next w:val="63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6"/>
    <w:next w:val="63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6"/>
    <w:next w:val="63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6"/>
    <w:next w:val="63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6"/>
    <w:next w:val="63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6"/>
    <w:next w:val="63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6"/>
    <w:next w:val="63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6"/>
    <w:next w:val="636"/>
    <w:uiPriority w:val="99"/>
    <w:unhideWhenUsed/>
    <w:pPr>
      <w:spacing w:after="0" w:afterAutospacing="0"/>
    </w:pPr>
  </w:style>
  <w:style w:type="paragraph" w:styleId="636" w:default="1">
    <w:name w:val="Normal"/>
    <w:next w:val="636"/>
    <w:link w:val="636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637">
    <w:name w:val="Заголовок 1, Знак"/>
    <w:basedOn w:val="636"/>
    <w:next w:val="636"/>
    <w:link w:val="641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character" w:styleId="638">
    <w:name w:val="Основной шрифт абзаца"/>
    <w:next w:val="638"/>
    <w:link w:val="636"/>
    <w:uiPriority w:val="1"/>
    <w:semiHidden/>
    <w:unhideWhenUsed/>
  </w:style>
  <w:style w:type="table" w:styleId="639">
    <w:name w:val="Обычная таблица"/>
    <w:next w:val="639"/>
    <w:link w:val="636"/>
    <w:uiPriority w:val="99"/>
    <w:semiHidden/>
    <w:unhideWhenUsed/>
    <w:qFormat/>
    <w:tblPr/>
  </w:style>
  <w:style w:type="numbering" w:styleId="640">
    <w:name w:val="Нет списка"/>
    <w:next w:val="640"/>
    <w:link w:val="636"/>
    <w:uiPriority w:val="99"/>
    <w:semiHidden/>
    <w:unhideWhenUsed/>
  </w:style>
  <w:style w:type="character" w:styleId="641">
    <w:name w:val="Заголовок 1 Знак, Знак Знак"/>
    <w:next w:val="641"/>
    <w:link w:val="637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642">
    <w:name w:val="Верхний колонтитул"/>
    <w:basedOn w:val="636"/>
    <w:next w:val="642"/>
    <w:link w:val="643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643">
    <w:name w:val="Верхний колонтитул Знак"/>
    <w:next w:val="643"/>
    <w:link w:val="64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44">
    <w:name w:val="Основной текст"/>
    <w:basedOn w:val="636"/>
    <w:next w:val="644"/>
    <w:link w:val="646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645">
    <w:name w:val="Основной текст Знак"/>
    <w:next w:val="645"/>
    <w:link w:val="636"/>
    <w:uiPriority w:val="99"/>
    <w:semiHidden/>
    <w:rPr>
      <w:rFonts w:ascii="Calibri" w:hAnsi="Calibri" w:eastAsia="Calibri" w:cs="Times New Roman"/>
    </w:rPr>
  </w:style>
  <w:style w:type="character" w:styleId="646">
    <w:name w:val="Основной текст Знак1"/>
    <w:next w:val="646"/>
    <w:link w:val="64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647">
    <w:name w:val="Гиперссылка"/>
    <w:next w:val="647"/>
    <w:link w:val="636"/>
    <w:uiPriority w:val="99"/>
    <w:rPr>
      <w:color w:val="0000ff"/>
      <w:u w:val="single"/>
    </w:rPr>
  </w:style>
  <w:style w:type="character" w:styleId="648">
    <w:name w:val="Знак примечания"/>
    <w:next w:val="648"/>
    <w:link w:val="636"/>
    <w:semiHidden/>
    <w:rPr>
      <w:sz w:val="16"/>
      <w:szCs w:val="16"/>
    </w:rPr>
  </w:style>
  <w:style w:type="paragraph" w:styleId="649">
    <w:name w:val="Текст примечания"/>
    <w:basedOn w:val="636"/>
    <w:next w:val="649"/>
    <w:link w:val="636"/>
    <w:semiHidden/>
    <w:rPr>
      <w:sz w:val="20"/>
      <w:szCs w:val="20"/>
    </w:rPr>
  </w:style>
  <w:style w:type="paragraph" w:styleId="650">
    <w:name w:val="Тема примечания"/>
    <w:basedOn w:val="649"/>
    <w:next w:val="649"/>
    <w:link w:val="636"/>
    <w:semiHidden/>
    <w:rPr>
      <w:b/>
      <w:bCs/>
    </w:rPr>
  </w:style>
  <w:style w:type="paragraph" w:styleId="651">
    <w:name w:val="Текст выноски"/>
    <w:basedOn w:val="636"/>
    <w:next w:val="651"/>
    <w:link w:val="636"/>
    <w:semiHidden/>
    <w:rPr>
      <w:rFonts w:ascii="Tahoma" w:hAnsi="Tahoma" w:cs="Tahoma"/>
      <w:sz w:val="16"/>
      <w:szCs w:val="16"/>
    </w:rPr>
  </w:style>
  <w:style w:type="paragraph" w:styleId="652">
    <w:name w:val="ConsPlusNormal"/>
    <w:next w:val="652"/>
    <w:link w:val="636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653">
    <w:name w:val="formattext"/>
    <w:basedOn w:val="636"/>
    <w:next w:val="653"/>
    <w:link w:val="63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3889" w:default="1">
    <w:name w:val="Default Paragraph Font"/>
    <w:uiPriority w:val="1"/>
    <w:semiHidden/>
    <w:unhideWhenUsed/>
  </w:style>
  <w:style w:type="numbering" w:styleId="3890" w:default="1">
    <w:name w:val="No List"/>
    <w:uiPriority w:val="99"/>
    <w:semiHidden/>
    <w:unhideWhenUsed/>
  </w:style>
  <w:style w:type="table" w:styleId="389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39</cp:revision>
  <dcterms:created xsi:type="dcterms:W3CDTF">2014-02-04T08:35:00Z</dcterms:created>
  <dcterms:modified xsi:type="dcterms:W3CDTF">2024-12-27T04:57:28Z</dcterms:modified>
  <cp:version>786432</cp:version>
</cp:coreProperties>
</file>