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заявлению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внесении изменений в сведения,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содержащиеся в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информационной системе "Реестр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организаций, осуществляющих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образовательную деятельность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имеющим государственную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аккредитацию образовательным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программам", в связи с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аккредитацией образовательной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деятельности в отношении ранее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 аккредитованных основных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образовательных программ,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утвержденному 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Федеральной службы по надзору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реализации основных образовательных программ, заявленных для государственной аккредитации образовательной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2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>
        <w:trPr>
          <w:jc w:val="left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общеобразовательных программ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по каждому учебному предмету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учебного предмета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Автор, название, место издания, издательство, год издания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экземпляров, 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обучающихся, одновременно изучающих учебный предмет,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экземпляров учебной литературы на одного обучающегося, 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цифровой (электронной) библиотеке и (или) иным электронным образовательным ресурсам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портфолио обучающихся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личный кабинет в федеральной государственной информационной системе "Моя школа"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2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953"/>
      </w:tblGrid>
      <w:tr>
        <w:trPr>
          <w:jc w:val="left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образовательных программ 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и 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наличии в образовательной программе сведений, составляющих государственную тайну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педагогических работниках, обеспечивающих освоение обучающимися профессиональных модулей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профессиональных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привлечения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трудовом стаже,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Объем учебной нагрузки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часов, час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ставки, 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цифровой (электронной) библиотеке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личный кабинет в федеральной государственной информационной системе "Моя школа"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36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36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 внутренней системе оценки качества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1843"/>
        <w:gridCol w:w="1218"/>
        <w:gridCol w:w="619"/>
        <w:gridCol w:w="401"/>
        <w:gridCol w:w="426"/>
        <w:gridCol w:w="878"/>
        <w:gridCol w:w="400"/>
        <w:gridCol w:w="620"/>
        <w:gridCol w:w="1134"/>
        <w:gridCol w:w="978"/>
      </w:tblGrid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образовательных программ высшего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и 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утвержденном самостоятельно образовательном стандарте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локального нормативного акта, которым утвержден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наличии в образовательной программе сведений, составляющих государственную тайну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курсов, дисциплин (модулей), практики, иных видов учебной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привлечения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ученой степени и (или) ученого звания (в том числе богословских ученой степени и звания)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трудовом стаже,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Объем учебной нагрузки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часов, час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ставки, 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Общее количество ставок, занимаемых лицами, участвующими в реализации образовательной программы, ставка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библиотечной системе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формирования электронного портфолио обучающегося, в том числе сохранения его работ и оценок за эти работы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 внутренней системе оценки качества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Федеральный перечень учебников, доп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Часть 4 статьи 91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2024-06-10T06:33:13Z</dcterms:modified>
</cp:coreProperties>
</file>