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222"/>
        <w:gridCol w:w="183"/>
        <w:gridCol w:w="907"/>
        <w:gridCol w:w="180"/>
        <w:gridCol w:w="4006"/>
      </w:tblGrid>
      <w:tr>
        <w:tblPrEx/>
        <w:trPr>
          <w:trHeight w:val="719"/>
        </w:trPr>
        <w:tc>
          <w:tcPr>
            <w:tcW w:w="4222" w:type="dxa"/>
            <w:textDirection w:val="lrTb"/>
            <w:noWrap w:val="false"/>
          </w:tcPr>
          <w:p>
            <w:pPr>
              <w:jc w:val="right"/>
              <w:spacing w:line="360" w:lineRule="atLeast"/>
              <w:widowControl w:val="off"/>
              <w:rPr>
                <w:lang w:val="en-US" w:eastAsia="zh-CN"/>
              </w:rPr>
            </w:pPr>
            <w:r>
              <w:rPr>
                <w:lang w:val="en-US" w:eastAsia="zh-CN"/>
              </w:rPr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</w:r>
          </w:p>
          <w:p>
            <w:pPr>
              <w:jc w:val="right"/>
              <w:spacing w:line="360" w:lineRule="atLeast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jc w:val="right"/>
              <w:spacing w:line="360" w:lineRule="atLeast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right"/>
              <w:spacing w:line="360" w:lineRule="atLeast"/>
              <w:widowControl w:val="off"/>
              <w:rPr>
                <w:lang w:eastAsia="zh-CN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7225" cy="647700"/>
                      <wp:effectExtent l="0" t="0" r="9525" b="0"/>
                      <wp:docPr id="1" name="Рисунок 7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4006" w:type="dxa"/>
            <w:textDirection w:val="lrTb"/>
            <w:noWrap w:val="false"/>
          </w:tcPr>
          <w:p>
            <w:pPr>
              <w:jc w:val="right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2"/>
            <w:tcW w:w="4405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ЧĂВАШ РЕСПУБЛИКИН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Baltica Chv" w:hAnsi="Baltica Chv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ТРАНСПОРТ  ТАТА</w:t>
            </w:r>
            <w:r>
              <w:rPr>
                <w:rFonts w:ascii="Baltica Chv" w:hAnsi="Baltica Chv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ÇУЛ-ЙĔ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 ХУÇАЛĂХ</w:t>
            </w:r>
            <w:r>
              <w:rPr>
                <w:rFonts w:ascii="Baltica Chv" w:hAnsi="Baltica Chv"/>
                <w:b/>
                <w:sz w:val="18"/>
                <w:szCs w:val="18"/>
              </w:rPr>
            </w:r>
            <w:r>
              <w:rPr>
                <w:rFonts w:ascii="Baltica Chv" w:hAnsi="Baltica Chv"/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altica Chv" w:hAnsi="Baltica Chv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МИНИСТЕРСТВИ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</w:r>
            <w:r>
              <w:rPr>
                <w:b/>
                <w:bCs/>
                <w:sz w:val="18"/>
                <w:szCs w:val="18"/>
                <w:lang w:eastAsia="zh-CN"/>
              </w:rPr>
            </w:r>
            <w:r>
              <w:rPr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2"/>
            <w:tcW w:w="4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МИНИСТЕРСТВО </w: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widowControl w:val="off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ТРАНСПОРТА И ДОРОЖНОГО ХОЗЯЙСТВА ЧУВАШСКОЙ РЕСПУБЛИКИ</w: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widowControl w:val="off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/>
        <w:tc>
          <w:tcPr>
            <w:gridSpan w:val="2"/>
            <w:tcW w:w="440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  <w:outlineLvl w:val="0"/>
            </w:pP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  <w:t xml:space="preserve">ПРИКАЗ</w:t>
            </w: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</w: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  <w:outlineLvl w:val="0"/>
            </w:pP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</w: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</w: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tabs>
                <w:tab w:val="num" w:pos="0" w:leader="none"/>
              </w:tabs>
              <w:rPr>
                <w:bCs/>
                <w:sz w:val="16"/>
                <w:szCs w:val="16"/>
                <w:lang w:eastAsia="zh-CN"/>
              </w:rPr>
              <w:outlineLvl w:val="0"/>
            </w:pPr>
            <w:r>
              <w:rPr>
                <w:bCs/>
                <w:sz w:val="16"/>
                <w:szCs w:val="16"/>
                <w:lang w:eastAsia="zh-CN"/>
              </w:rPr>
              <w:t xml:space="preserve">_______</w:t>
            </w:r>
            <w:r>
              <w:rPr>
                <w:bCs/>
                <w:sz w:val="16"/>
                <w:szCs w:val="16"/>
                <w:lang w:eastAsia="zh-CN"/>
              </w:rPr>
              <w:t xml:space="preserve">_______</w:t>
            </w:r>
            <w:r>
              <w:rPr>
                <w:bCs/>
                <w:sz w:val="16"/>
                <w:szCs w:val="16"/>
                <w:lang w:eastAsia="zh-CN"/>
              </w:rPr>
              <w:t xml:space="preserve">_____        </w:t>
            </w:r>
            <w:r>
              <w:rPr>
                <w:bCs/>
                <w:sz w:val="16"/>
                <w:szCs w:val="16"/>
                <w:lang w:eastAsia="zh-CN"/>
              </w:rPr>
              <w:t xml:space="preserve">_______</w:t>
            </w:r>
            <w:r>
              <w:rPr>
                <w:bCs/>
                <w:sz w:val="16"/>
                <w:szCs w:val="16"/>
                <w:lang w:eastAsia="zh-CN"/>
              </w:rPr>
              <w:t xml:space="preserve">________№</w:t>
            </w:r>
            <w:r>
              <w:rPr>
                <w:bCs/>
                <w:sz w:val="16"/>
                <w:szCs w:val="16"/>
                <w:lang w:eastAsia="zh-CN"/>
              </w:rPr>
            </w:r>
            <w:r>
              <w:rPr>
                <w:bCs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Шупашкар</w:t>
            </w:r>
            <w:r>
              <w:rPr>
                <w:sz w:val="16"/>
                <w:szCs w:val="16"/>
                <w:lang w:eastAsia="zh-CN"/>
              </w:rPr>
              <w:t xml:space="preserve"> хули </w:t>
            </w: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</w:p>
        </w:tc>
        <w:tc>
          <w:tcPr>
            <w:gridSpan w:val="2"/>
            <w:tcW w:w="4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ET" w:hAnsi="TimesET"/>
                <w:b/>
                <w:sz w:val="16"/>
                <w:szCs w:val="16"/>
                <w:lang w:eastAsia="zh-CN"/>
              </w:rPr>
            </w:pP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  <w:t xml:space="preserve">ПРИКАЗ</w:t>
            </w: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</w: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rFonts w:ascii="TimesET" w:hAnsi="TimesET"/>
                <w:b/>
                <w:sz w:val="16"/>
                <w:szCs w:val="16"/>
                <w:lang w:eastAsia="zh-CN"/>
              </w:rPr>
            </w:pP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</w: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</w: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__</w:t>
            </w:r>
            <w:r>
              <w:rPr>
                <w:sz w:val="16"/>
                <w:szCs w:val="16"/>
                <w:lang w:eastAsia="zh-CN"/>
              </w:rPr>
              <w:t xml:space="preserve">_______</w:t>
            </w:r>
            <w:r>
              <w:rPr>
                <w:sz w:val="16"/>
                <w:szCs w:val="16"/>
                <w:lang w:eastAsia="zh-CN"/>
              </w:rPr>
              <w:t xml:space="preserve">____________        № _</w:t>
            </w:r>
            <w:r>
              <w:rPr>
                <w:sz w:val="16"/>
                <w:szCs w:val="16"/>
                <w:lang w:eastAsia="zh-CN"/>
              </w:rPr>
              <w:t xml:space="preserve">________</w:t>
            </w:r>
            <w:r>
              <w:rPr>
                <w:sz w:val="16"/>
                <w:szCs w:val="16"/>
                <w:lang w:eastAsia="zh-CN"/>
              </w:rPr>
              <w:t xml:space="preserve">______</w:t>
            </w: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г. Чебоксары</w:t>
            </w: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</w:p>
        </w:tc>
      </w:tr>
    </w:tbl>
    <w:p>
      <w:pPr>
        <w:jc w:val="both"/>
        <w:widowControl w:val="off"/>
        <w:tabs>
          <w:tab w:val="left" w:pos="2794" w:leader="none"/>
        </w:tabs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</w:p>
    <w:p>
      <w:pPr>
        <w:pStyle w:val="864"/>
        <w:ind w:left="0" w:right="5243"/>
        <w:jc w:val="both"/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64"/>
        <w:contextualSpacing w:val="0"/>
        <w:ind w:left="0" w:right="5243"/>
        <w:jc w:val="both"/>
        <w:spacing w:before="0" w:after="0" w:line="300" w:lineRule="auto"/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О непроведении в 2025 и 2026 годах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6"/>
          <w:szCs w:val="26"/>
        </w:rPr>
      </w:r>
    </w:p>
    <w:p>
      <w:pPr>
        <w:pStyle w:val="864"/>
        <w:contextualSpacing w:val="0"/>
        <w:ind w:left="0" w:right="5243"/>
        <w:jc w:val="both"/>
        <w:spacing w:before="0" w:after="0" w:line="300" w:lineRule="auto"/>
        <w:rPr>
          <w:rFonts w:ascii="PT Astra Serif" w:hAnsi="PT Astra Serif" w:cs="PT Astra Serif"/>
          <w:b w:val="0"/>
          <w:bCs w:val="0"/>
          <w:i w:val="0"/>
          <w:strike w:val="0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конкурсов на замещение вакантных должностей государственной гражданской службы Министерства транспорта и дорожного хозяйства Чувашской Республики при назначении на должности государственной гражданской службы, относящиеся к ведущей и старшей группам должностей категории «специалиста»  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6"/>
          <w:szCs w:val="26"/>
        </w:rPr>
      </w:r>
      <w:r/>
    </w:p>
    <w:p>
      <w:pPr>
        <w:contextualSpacing w:val="0"/>
        <w:ind w:right="5385"/>
        <w:jc w:val="both"/>
        <w:spacing w:before="0" w:line="300" w:lineRule="auto"/>
        <w:widowControl w:val="off"/>
        <w:tabs>
          <w:tab w:val="left" w:pos="2794" w:leader="none"/>
        </w:tabs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lang w:eastAsia="zh-CN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ind w:firstLine="851"/>
        <w:jc w:val="both"/>
        <w:spacing w:before="0" w:after="57" w:line="300" w:lineRule="auto"/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соответствии с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 статьей 2 Федерального закона от 04 ноября 2022 года    № 424-ФЗ «О внесении изменений в статьи 22 и 25.1 Федерального закона «О государственной гражданской службе Российской Федерации», приказываю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: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contextualSpacing w:val="0"/>
        <w:ind w:firstLine="851"/>
        <w:jc w:val="both"/>
        <w:spacing w:before="0" w:after="57" w:line="30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1.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Не проводить в Министерстве транспорта и дорожного хозяйства Чувашской Республики в 2025 и 2026 годах конкурсы на замещение вакантных должностей государственной гражданской службы, предусмотренные Указом Президента Российской Федерации от 01 февраля 2005 г. № 112 «О конкурсе на замещение вакантной должности государственной гражданской службы Российской Федерации», при назначении на должности государственной гражданской службы, относящиеся к главной и старшей группам должностей категории «специалисты».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ind w:firstLine="851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2. Контроль за исполнением настоящего приказа оставляю за собой.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/>
    </w:p>
    <w:p>
      <w:pPr>
        <w:contextualSpacing w:val="0"/>
        <w:ind w:firstLine="851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3.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Настоящий приказ вступает в силу через 10 дней после дня его официального опубликования.           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ind w:firstLine="851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ind w:firstLine="851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Министр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  <w:tab/>
        <w:t xml:space="preserve"> М.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.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Петров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r>
    </w:p>
    <w:p>
      <w:pPr>
        <w:contextualSpacing w:val="0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contextualSpacing w:val="0"/>
        <w:jc w:val="both"/>
        <w:spacing w:before="0" w:after="57" w:line="300" w:lineRule="auto"/>
        <w:rPr>
          <w:rFonts w:ascii="PT Astra Serif" w:hAnsi="PT Astra Serif" w:cs="PT Astra Serif"/>
          <w:color w:val="000000" w:themeColor="text1"/>
          <w:sz w:val="26"/>
          <w:szCs w:val="26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 Chv">
    <w:panose1 w:val="02000603000000000000"/>
  </w:font>
  <w:font w:name="TimesET">
    <w:panose1 w:val="02000603000000000000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2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2"/>
    <w:link w:val="860"/>
    <w:uiPriority w:val="99"/>
  </w:style>
  <w:style w:type="character" w:styleId="704">
    <w:name w:val="Footer Char"/>
    <w:basedOn w:val="852"/>
    <w:link w:val="862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2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1"/>
    <w:link w:val="856"/>
    <w:uiPriority w:val="99"/>
    <w:semiHidden/>
    <w:unhideWhenUsed/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8">
    <w:name w:val="Body Text 2"/>
    <w:basedOn w:val="851"/>
    <w:link w:val="859"/>
    <w:pPr>
      <w:spacing w:after="120" w:line="480" w:lineRule="auto"/>
    </w:pPr>
    <w:rPr>
      <w:rFonts w:ascii="TimesET" w:hAnsi="TimesET"/>
      <w:szCs w:val="20"/>
    </w:rPr>
  </w:style>
  <w:style w:type="character" w:styleId="859" w:customStyle="1">
    <w:name w:val="Основной текст 2 Знак"/>
    <w:basedOn w:val="852"/>
    <w:link w:val="858"/>
    <w:rPr>
      <w:rFonts w:ascii="TimesET" w:hAnsi="TimesET" w:eastAsia="Times New Roman" w:cs="Times New Roman"/>
      <w:sz w:val="24"/>
      <w:szCs w:val="20"/>
      <w:lang w:eastAsia="ru-RU"/>
    </w:rPr>
  </w:style>
  <w:style w:type="paragraph" w:styleId="860">
    <w:name w:val="Header"/>
    <w:basedOn w:val="851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2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1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2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ody Text Indent"/>
    <w:basedOn w:val="851"/>
    <w:link w:val="865"/>
    <w:pPr>
      <w:ind w:left="283"/>
      <w:spacing w:after="120"/>
    </w:pPr>
    <w:rPr>
      <w:rFonts w:ascii="TimesET" w:hAnsi="TimesET"/>
      <w:szCs w:val="20"/>
    </w:rPr>
  </w:style>
  <w:style w:type="character" w:styleId="865" w:customStyle="1">
    <w:name w:val="Основной текст с отступом Знак"/>
    <w:basedOn w:val="852"/>
    <w:link w:val="864"/>
    <w:rPr>
      <w:rFonts w:ascii="TimesET" w:hAnsi="TimesET" w:eastAsia="Times New Roman" w:cs="Times New Roman"/>
      <w:sz w:val="24"/>
      <w:szCs w:val="20"/>
      <w:lang w:eastAsia="ru-RU"/>
    </w:rPr>
  </w:style>
  <w:style w:type="paragraph" w:styleId="866">
    <w:name w:val="List Paragraph"/>
    <w:basedOn w:val="851"/>
    <w:uiPriority w:val="34"/>
    <w:qFormat/>
    <w:pPr>
      <w:contextualSpacing/>
      <w:ind w:left="720"/>
    </w:pPr>
  </w:style>
  <w:style w:type="paragraph" w:styleId="86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revision>13</cp:revision>
  <dcterms:created xsi:type="dcterms:W3CDTF">2024-09-03T07:13:00Z</dcterms:created>
  <dcterms:modified xsi:type="dcterms:W3CDTF">2025-01-21T11:57:00Z</dcterms:modified>
</cp:coreProperties>
</file>