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A65" w:rsidRPr="008D3E4E" w:rsidRDefault="008D3E4E" w:rsidP="008D3E4E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8D3E4E">
        <w:rPr>
          <w:rFonts w:ascii="Times New Roman" w:hAnsi="Times New Roman" w:cs="Times New Roman"/>
          <w:sz w:val="24"/>
          <w:szCs w:val="24"/>
        </w:rPr>
        <w:t>В 2024 году отсутствуют дела, возбужденные Управлением Федеральной антимонопольной службы по Чувашской Республике – Чувашии за нарушение антимонопольного законодательства  в отношении  администрации города Чебоксары</w:t>
      </w:r>
      <w:bookmarkEnd w:id="0"/>
    </w:p>
    <w:sectPr w:rsidR="00C23A65" w:rsidRPr="008D3E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E4E"/>
    <w:rsid w:val="008D3E4E"/>
    <w:rsid w:val="00A6586D"/>
    <w:rsid w:val="00B97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gcheb_gkh7</dc:creator>
  <cp:lastModifiedBy>gcheb_gkh7</cp:lastModifiedBy>
  <cp:revision>1</cp:revision>
  <dcterms:created xsi:type="dcterms:W3CDTF">2025-02-03T06:06:00Z</dcterms:created>
  <dcterms:modified xsi:type="dcterms:W3CDTF">2025-02-03T06:11:00Z</dcterms:modified>
</cp:coreProperties>
</file>