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7B" w:rsidRDefault="00A4507B" w:rsidP="009F1A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8B9" w:rsidRPr="00E72F6D" w:rsidRDefault="002E577F" w:rsidP="009F1A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DA34E7" w:rsidRPr="00E72F6D" w:rsidRDefault="001048B9" w:rsidP="009F1A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слушаний </w:t>
      </w:r>
      <w:r w:rsidR="00DB1665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F7F12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</w:t>
      </w:r>
      <w:r w:rsidR="00DB1665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DAE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B1665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хемы теплоснабжения </w:t>
      </w:r>
      <w:r w:rsidR="00DB1665" w:rsidRPr="00E72F6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«город Новочебоксарск» до 20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DB1665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FC71A0" w:rsidRDefault="00FC71A0" w:rsidP="009F1A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4507B" w:rsidRPr="00E72F6D" w:rsidRDefault="00A4507B" w:rsidP="009F1A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34E7" w:rsidRPr="00E72F6D" w:rsidRDefault="00E05630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DA34E7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510DAE" w:rsidRPr="00E72F6D">
        <w:rPr>
          <w:rFonts w:ascii="Times New Roman" w:hAnsi="Times New Roman" w:cs="Times New Roman"/>
          <w:bCs/>
          <w:sz w:val="24"/>
          <w:szCs w:val="24"/>
        </w:rPr>
        <w:t>25</w:t>
      </w:r>
      <w:r w:rsidR="00D7518F" w:rsidRPr="00E72F6D">
        <w:rPr>
          <w:rFonts w:ascii="Times New Roman" w:hAnsi="Times New Roman" w:cs="Times New Roman"/>
          <w:sz w:val="24"/>
          <w:szCs w:val="24"/>
        </w:rPr>
        <w:t xml:space="preserve"> июн</w:t>
      </w:r>
      <w:r w:rsidR="00FC71A0" w:rsidRPr="00E72F6D">
        <w:rPr>
          <w:rFonts w:ascii="Times New Roman" w:hAnsi="Times New Roman" w:cs="Times New Roman"/>
          <w:sz w:val="24"/>
          <w:szCs w:val="24"/>
        </w:rPr>
        <w:t>я</w:t>
      </w:r>
      <w:r w:rsidR="00DA34E7" w:rsidRPr="00E72F6D">
        <w:rPr>
          <w:rFonts w:ascii="Times New Roman" w:hAnsi="Times New Roman" w:cs="Times New Roman"/>
          <w:sz w:val="24"/>
          <w:szCs w:val="24"/>
        </w:rPr>
        <w:t xml:space="preserve"> 20</w:t>
      </w:r>
      <w:r w:rsidR="00FF6DCD" w:rsidRPr="00E72F6D">
        <w:rPr>
          <w:rFonts w:ascii="Times New Roman" w:hAnsi="Times New Roman" w:cs="Times New Roman"/>
          <w:sz w:val="24"/>
          <w:szCs w:val="24"/>
        </w:rPr>
        <w:t>2</w:t>
      </w:r>
      <w:r w:rsidR="00510DAE" w:rsidRPr="00E72F6D">
        <w:rPr>
          <w:rFonts w:ascii="Times New Roman" w:hAnsi="Times New Roman" w:cs="Times New Roman"/>
          <w:sz w:val="24"/>
          <w:szCs w:val="24"/>
        </w:rPr>
        <w:t>4</w:t>
      </w:r>
      <w:r w:rsidR="00DA34E7" w:rsidRPr="00E72F6D">
        <w:rPr>
          <w:rFonts w:ascii="Times New Roman" w:hAnsi="Times New Roman" w:cs="Times New Roman"/>
          <w:sz w:val="24"/>
          <w:szCs w:val="24"/>
        </w:rPr>
        <w:t xml:space="preserve"> г.</w:t>
      </w:r>
      <w:r w:rsidR="00DA34E7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34E7" w:rsidRPr="00E72F6D" w:rsidRDefault="00E05630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DA34E7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  <w:r w:rsidR="00DA34E7" w:rsidRPr="00E72F6D">
        <w:rPr>
          <w:rFonts w:ascii="Times New Roman" w:hAnsi="Times New Roman" w:cs="Times New Roman"/>
          <w:sz w:val="24"/>
          <w:szCs w:val="24"/>
        </w:rPr>
        <w:t>17.00 часов</w:t>
      </w:r>
      <w:r w:rsidR="00DA34E7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34E7" w:rsidRPr="00E72F6D" w:rsidRDefault="00E05630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DA34E7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DA34E7" w:rsidRPr="00E72F6D">
        <w:rPr>
          <w:rFonts w:ascii="Times New Roman" w:hAnsi="Times New Roman" w:cs="Times New Roman"/>
          <w:sz w:val="24"/>
          <w:szCs w:val="24"/>
        </w:rPr>
        <w:t>актовый зал</w:t>
      </w:r>
    </w:p>
    <w:p w:rsidR="00DA34E7" w:rsidRPr="00E72F6D" w:rsidRDefault="00E05630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администрации </w:t>
      </w:r>
      <w:r w:rsidR="00DA34E7" w:rsidRPr="00E72F6D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633E56" w:rsidRDefault="00633E56" w:rsidP="009F1A5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56" w:rsidRDefault="00633E56" w:rsidP="009F1A5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4E7" w:rsidRPr="00E72F6D" w:rsidRDefault="00DA34E7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>Председательствует:</w:t>
      </w:r>
    </w:p>
    <w:p w:rsidR="00DA34E7" w:rsidRPr="00E72F6D" w:rsidRDefault="00510DAE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>Дмитриев Е.Ю.</w:t>
      </w:r>
      <w:r w:rsidR="00DA34E7" w:rsidRPr="00E72F6D">
        <w:rPr>
          <w:rFonts w:ascii="Times New Roman" w:hAnsi="Times New Roman" w:cs="Times New Roman"/>
          <w:sz w:val="24"/>
          <w:szCs w:val="24"/>
        </w:rPr>
        <w:t xml:space="preserve"> – </w:t>
      </w:r>
      <w:r w:rsidRPr="00E72F6D">
        <w:rPr>
          <w:rFonts w:ascii="Times New Roman" w:hAnsi="Times New Roman" w:cs="Times New Roman"/>
          <w:sz w:val="24"/>
          <w:szCs w:val="24"/>
        </w:rPr>
        <w:t>Заместитель главы администрации - руководитель аппарата администрации города Новочебоксарска Чувашской Республики</w:t>
      </w:r>
      <w:r w:rsidR="00DA34E7" w:rsidRPr="00E72F6D">
        <w:rPr>
          <w:rFonts w:ascii="Times New Roman" w:hAnsi="Times New Roman" w:cs="Times New Roman"/>
          <w:sz w:val="24"/>
          <w:szCs w:val="24"/>
        </w:rPr>
        <w:t>.</w:t>
      </w:r>
    </w:p>
    <w:p w:rsidR="00FF076D" w:rsidRPr="00E72F6D" w:rsidRDefault="00FF076D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6389" w:rsidRPr="00E72F6D" w:rsidRDefault="00A66389" w:rsidP="009F1A5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Добрый вечер, уважаемые </w:t>
      </w:r>
      <w:r w:rsidR="009068A0"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жители города Новочебоксарска и </w:t>
      </w:r>
      <w:r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приглашенные!</w:t>
      </w:r>
    </w:p>
    <w:p w:rsidR="00EB63F5" w:rsidRPr="00E72F6D" w:rsidRDefault="00EB63F5" w:rsidP="009F1A5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BB5" w:rsidRPr="00E72F6D" w:rsidRDefault="006F5BB5" w:rsidP="009F1A56">
      <w:pPr>
        <w:pStyle w:val="ab"/>
        <w:spacing w:line="240" w:lineRule="atLeast"/>
        <w:ind w:firstLine="0"/>
        <w:rPr>
          <w:rFonts w:ascii="Times New Roman" w:hAnsi="Times New Roman"/>
        </w:rPr>
      </w:pPr>
      <w:r w:rsidRPr="00E72F6D">
        <w:rPr>
          <w:rFonts w:ascii="Times New Roman" w:hAnsi="Times New Roman"/>
          <w:b/>
        </w:rPr>
        <w:t>Председательствующий</w:t>
      </w:r>
      <w:r w:rsidRPr="00E72F6D">
        <w:rPr>
          <w:rFonts w:ascii="Times New Roman" w:hAnsi="Times New Roman"/>
        </w:rPr>
        <w:t xml:space="preserve"> </w:t>
      </w:r>
      <w:r w:rsidR="009068A0" w:rsidRPr="00E72F6D">
        <w:rPr>
          <w:rFonts w:ascii="Times New Roman" w:hAnsi="Times New Roman"/>
        </w:rPr>
        <w:t xml:space="preserve">- </w:t>
      </w:r>
      <w:r w:rsidRPr="00E72F6D">
        <w:rPr>
          <w:rFonts w:ascii="Times New Roman" w:hAnsi="Times New Roman"/>
        </w:rPr>
        <w:t xml:space="preserve">объявляет </w:t>
      </w:r>
      <w:r w:rsidRPr="00E72F6D">
        <w:rPr>
          <w:rFonts w:ascii="Times New Roman" w:hAnsi="Times New Roman"/>
          <w:bCs/>
        </w:rPr>
        <w:t>повестку</w:t>
      </w:r>
      <w:r w:rsidRPr="00E72F6D">
        <w:rPr>
          <w:rFonts w:ascii="Times New Roman" w:hAnsi="Times New Roman"/>
          <w:b/>
          <w:bCs/>
        </w:rPr>
        <w:t xml:space="preserve"> </w:t>
      </w:r>
      <w:r w:rsidRPr="00E72F6D">
        <w:rPr>
          <w:rFonts w:ascii="Times New Roman" w:hAnsi="Times New Roman"/>
        </w:rPr>
        <w:t>публичных слушаний:</w:t>
      </w:r>
    </w:p>
    <w:p w:rsidR="006F5BB5" w:rsidRPr="00E72F6D" w:rsidRDefault="006F5BB5" w:rsidP="009F1A56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FC71A0" w:rsidRPr="00E72F6D">
        <w:rPr>
          <w:rFonts w:ascii="Times New Roman" w:hAnsi="Times New Roman" w:cs="Times New Roman"/>
          <w:b/>
          <w:bCs/>
          <w:sz w:val="24"/>
          <w:szCs w:val="24"/>
        </w:rPr>
        <w:t>схемы теплоснабжения муниципального образования «город Новочебоксарск» до 20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FC71A0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DA34E7" w:rsidRPr="00E72F6D" w:rsidRDefault="00AA5C0A" w:rsidP="009F1A56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>В зале п</w:t>
      </w:r>
      <w:r w:rsidR="00DA34E7" w:rsidRPr="00E72F6D">
        <w:rPr>
          <w:rFonts w:ascii="Times New Roman" w:hAnsi="Times New Roman" w:cs="Times New Roman"/>
          <w:b/>
          <w:bCs/>
          <w:sz w:val="24"/>
          <w:szCs w:val="24"/>
        </w:rPr>
        <w:t>рисутств</w:t>
      </w:r>
      <w:r w:rsidRPr="00E72F6D">
        <w:rPr>
          <w:rFonts w:ascii="Times New Roman" w:hAnsi="Times New Roman" w:cs="Times New Roman"/>
          <w:b/>
          <w:bCs/>
          <w:sz w:val="24"/>
          <w:szCs w:val="24"/>
        </w:rPr>
        <w:t>уют</w:t>
      </w:r>
      <w:r w:rsidR="00DA34E7" w:rsidRPr="00E72F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34E7" w:rsidRPr="00E72F6D" w:rsidRDefault="00DA34E7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>-</w:t>
      </w:r>
      <w:r w:rsidR="00D60ED3" w:rsidRPr="00E72F6D">
        <w:rPr>
          <w:rFonts w:ascii="Times New Roman" w:hAnsi="Times New Roman" w:cs="Times New Roman"/>
          <w:sz w:val="24"/>
          <w:szCs w:val="24"/>
        </w:rPr>
        <w:t xml:space="preserve"> </w:t>
      </w:r>
      <w:r w:rsidRPr="00E72F6D">
        <w:rPr>
          <w:rFonts w:ascii="Times New Roman" w:hAnsi="Times New Roman" w:cs="Times New Roman"/>
          <w:sz w:val="24"/>
          <w:szCs w:val="24"/>
        </w:rPr>
        <w:t>руководители структурных и подведомственных подразделений и работники администрации города Новочебоксарска;</w:t>
      </w:r>
    </w:p>
    <w:p w:rsidR="00FA2A80" w:rsidRPr="00E72F6D" w:rsidRDefault="00FA2A80" w:rsidP="009F1A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бюджетных организаций и учреждений города;</w:t>
      </w:r>
    </w:p>
    <w:p w:rsidR="00D7518F" w:rsidRPr="00E72F6D" w:rsidRDefault="00D7518F" w:rsidP="009F1A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ED3"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ЕТО;</w:t>
      </w:r>
    </w:p>
    <w:p w:rsidR="00FA2A80" w:rsidRPr="00E72F6D" w:rsidRDefault="00FA2A80" w:rsidP="009F1A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средств массовой информации;</w:t>
      </w:r>
    </w:p>
    <w:p w:rsidR="00FA2A80" w:rsidRPr="00E72F6D" w:rsidRDefault="00FA2A80" w:rsidP="009F1A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жители города Новочебоксарска.</w:t>
      </w:r>
    </w:p>
    <w:p w:rsidR="00134EE9" w:rsidRPr="00E72F6D" w:rsidRDefault="00134EE9" w:rsidP="009F1A5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4E7" w:rsidRPr="00E72F6D" w:rsidRDefault="00BB5D3A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</w:t>
      </w:r>
      <w:r w:rsidR="00DA34E7" w:rsidRPr="00E72F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A34E7" w:rsidRPr="00E72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E7" w:rsidRPr="00E72F6D" w:rsidRDefault="00DA34E7" w:rsidP="009F1A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>Уважаемые жители города, приглашенные!</w:t>
      </w:r>
    </w:p>
    <w:p w:rsidR="006A1350" w:rsidRPr="00E72F6D" w:rsidRDefault="006A1350" w:rsidP="009F1A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A34E7" w:rsidRPr="00E72F6D" w:rsidRDefault="00F03E00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 xml:space="preserve">1. </w:t>
      </w:r>
      <w:r w:rsidR="00DA34E7" w:rsidRPr="00E72F6D">
        <w:rPr>
          <w:rFonts w:ascii="Times New Roman" w:hAnsi="Times New Roman" w:cs="Times New Roman"/>
          <w:sz w:val="24"/>
          <w:szCs w:val="24"/>
        </w:rPr>
        <w:t>Настоящие публичные слушания по вопросу</w:t>
      </w:r>
      <w:r w:rsidR="009F1A56" w:rsidRPr="00E72F6D">
        <w:rPr>
          <w:rFonts w:ascii="Times New Roman" w:hAnsi="Times New Roman" w:cs="Times New Roman"/>
          <w:sz w:val="24"/>
          <w:szCs w:val="24"/>
        </w:rPr>
        <w:t xml:space="preserve"> утверждения</w:t>
      </w:r>
      <w:r w:rsidR="00FC71A0" w:rsidRPr="00E72F6D">
        <w:rPr>
          <w:rFonts w:ascii="Times New Roman" w:hAnsi="Times New Roman" w:cs="Times New Roman"/>
          <w:sz w:val="24"/>
          <w:szCs w:val="24"/>
        </w:rPr>
        <w:t xml:space="preserve"> </w:t>
      </w:r>
      <w:r w:rsidR="00FC71A0" w:rsidRPr="00E72F6D">
        <w:rPr>
          <w:rFonts w:ascii="Times New Roman" w:hAnsi="Times New Roman" w:cs="Times New Roman"/>
          <w:b/>
          <w:bCs/>
          <w:sz w:val="24"/>
          <w:szCs w:val="24"/>
        </w:rPr>
        <w:t>схемы теплоснабжения муниципального образования «город Новочебоксарск» до 20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FC71A0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A34E7" w:rsidRPr="00E72F6D">
        <w:rPr>
          <w:rFonts w:ascii="Times New Roman" w:hAnsi="Times New Roman" w:cs="Times New Roman"/>
          <w:sz w:val="24"/>
          <w:szCs w:val="24"/>
        </w:rPr>
        <w:t xml:space="preserve"> проводятся в соответствии с:</w:t>
      </w:r>
    </w:p>
    <w:p w:rsidR="00F54619" w:rsidRPr="00E72F6D" w:rsidRDefault="00FC71A0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 xml:space="preserve">- Федеральным законом от 06 октября 2003 г. № 131-ФЗ «Об общих принципах организации местного самоуправления в Российской Федерации», </w:t>
      </w:r>
      <w:r w:rsidR="00B45BFA" w:rsidRPr="00E72F6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4619" w:rsidRPr="00E72F6D" w:rsidRDefault="00B45BFA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 xml:space="preserve"> - </w:t>
      </w:r>
      <w:r w:rsidR="00FC71A0" w:rsidRPr="00E72F6D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года № 190-ФЗ «О теплоснабжении», </w:t>
      </w:r>
    </w:p>
    <w:p w:rsidR="00B45BFA" w:rsidRPr="00E72F6D" w:rsidRDefault="00F54619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 xml:space="preserve">- </w:t>
      </w:r>
      <w:r w:rsidR="00FC71A0" w:rsidRPr="00E72F6D">
        <w:rPr>
          <w:rFonts w:ascii="Times New Roman" w:hAnsi="Times New Roman" w:cs="Times New Roman"/>
          <w:sz w:val="24"/>
          <w:szCs w:val="24"/>
        </w:rPr>
        <w:t>постановлением Правительства от 03.04.2018 года № 405 «О внесении изменений в не</w:t>
      </w:r>
      <w:r w:rsidR="001243C7" w:rsidRPr="00E72F6D">
        <w:rPr>
          <w:rFonts w:ascii="Times New Roman" w:hAnsi="Times New Roman" w:cs="Times New Roman"/>
          <w:sz w:val="24"/>
          <w:szCs w:val="24"/>
        </w:rPr>
        <w:t>которые акты Правительства РФ».</w:t>
      </w:r>
    </w:p>
    <w:p w:rsidR="00983678" w:rsidRPr="00E72F6D" w:rsidRDefault="00983678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>Уведомление о проведении публичных слушаний по проекту схемы теплоснабжения муниципального образования «город Новочебоксарск» до 20</w:t>
      </w:r>
      <w:r w:rsidR="00510DAE" w:rsidRPr="00E72F6D">
        <w:rPr>
          <w:rFonts w:ascii="Times New Roman" w:hAnsi="Times New Roman" w:cs="Times New Roman"/>
          <w:sz w:val="24"/>
          <w:szCs w:val="24"/>
        </w:rPr>
        <w:t>34</w:t>
      </w:r>
      <w:r w:rsidRPr="00E72F6D">
        <w:rPr>
          <w:rFonts w:ascii="Times New Roman" w:hAnsi="Times New Roman" w:cs="Times New Roman"/>
          <w:sz w:val="24"/>
          <w:szCs w:val="24"/>
        </w:rPr>
        <w:t xml:space="preserve"> года было размещено </w:t>
      </w:r>
      <w:r w:rsidR="00510DAE" w:rsidRPr="00E72F6D">
        <w:rPr>
          <w:rFonts w:ascii="Times New Roman" w:hAnsi="Times New Roman" w:cs="Times New Roman"/>
          <w:sz w:val="24"/>
          <w:szCs w:val="24"/>
        </w:rPr>
        <w:t>28</w:t>
      </w:r>
      <w:r w:rsidRPr="00E72F6D">
        <w:rPr>
          <w:rFonts w:ascii="Times New Roman" w:hAnsi="Times New Roman" w:cs="Times New Roman"/>
          <w:sz w:val="24"/>
          <w:szCs w:val="24"/>
        </w:rPr>
        <w:t>.0</w:t>
      </w:r>
      <w:r w:rsidR="00510DAE" w:rsidRPr="00E72F6D">
        <w:rPr>
          <w:rFonts w:ascii="Times New Roman" w:hAnsi="Times New Roman" w:cs="Times New Roman"/>
          <w:sz w:val="24"/>
          <w:szCs w:val="24"/>
        </w:rPr>
        <w:t>5</w:t>
      </w:r>
      <w:r w:rsidRPr="00E72F6D">
        <w:rPr>
          <w:rFonts w:ascii="Times New Roman" w:hAnsi="Times New Roman" w:cs="Times New Roman"/>
          <w:sz w:val="24"/>
          <w:szCs w:val="24"/>
        </w:rPr>
        <w:t>.202</w:t>
      </w:r>
      <w:r w:rsidR="00510DAE" w:rsidRPr="00E72F6D">
        <w:rPr>
          <w:rFonts w:ascii="Times New Roman" w:hAnsi="Times New Roman" w:cs="Times New Roman"/>
          <w:sz w:val="24"/>
          <w:szCs w:val="24"/>
        </w:rPr>
        <w:t>4</w:t>
      </w:r>
      <w:r w:rsidRPr="00E72F6D">
        <w:rPr>
          <w:rFonts w:ascii="Times New Roman" w:hAnsi="Times New Roman" w:cs="Times New Roman"/>
          <w:sz w:val="24"/>
          <w:szCs w:val="24"/>
        </w:rPr>
        <w:t xml:space="preserve"> на официальном сайте г.</w:t>
      </w:r>
      <w:r w:rsidR="00143017" w:rsidRPr="00E72F6D">
        <w:rPr>
          <w:rFonts w:ascii="Times New Roman" w:hAnsi="Times New Roman" w:cs="Times New Roman"/>
          <w:sz w:val="24"/>
          <w:szCs w:val="24"/>
        </w:rPr>
        <w:t xml:space="preserve"> </w:t>
      </w:r>
      <w:r w:rsidRPr="00E72F6D">
        <w:rPr>
          <w:rFonts w:ascii="Times New Roman" w:hAnsi="Times New Roman" w:cs="Times New Roman"/>
          <w:sz w:val="24"/>
          <w:szCs w:val="24"/>
        </w:rPr>
        <w:t>Новочебоксарска.</w:t>
      </w:r>
    </w:p>
    <w:p w:rsidR="006F5BB5" w:rsidRPr="00E72F6D" w:rsidRDefault="006F5BB5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>Участники публичных слушаний могли представить свои предложения и замечания, ка</w:t>
      </w:r>
      <w:r w:rsidR="001243C7" w:rsidRPr="00E72F6D">
        <w:rPr>
          <w:rFonts w:ascii="Times New Roman" w:hAnsi="Times New Roman" w:cs="Times New Roman"/>
          <w:sz w:val="24"/>
          <w:szCs w:val="24"/>
        </w:rPr>
        <w:t>сающиеся вышеуказанного вопроса</w:t>
      </w:r>
      <w:r w:rsidRPr="00E72F6D">
        <w:rPr>
          <w:rFonts w:ascii="Times New Roman" w:hAnsi="Times New Roman" w:cs="Times New Roman"/>
          <w:sz w:val="24"/>
          <w:szCs w:val="24"/>
        </w:rPr>
        <w:t xml:space="preserve"> (по адресу: город Новочебоксарск, улица Винокурова, 14, </w:t>
      </w:r>
      <w:r w:rsidR="00143017" w:rsidRPr="00E72F6D">
        <w:rPr>
          <w:rFonts w:ascii="Times New Roman" w:hAnsi="Times New Roman" w:cs="Times New Roman"/>
          <w:sz w:val="24"/>
          <w:szCs w:val="24"/>
        </w:rPr>
        <w:t>кабинет №</w:t>
      </w:r>
      <w:r w:rsidR="000B22F1" w:rsidRPr="00E72F6D">
        <w:rPr>
          <w:rFonts w:ascii="Times New Roman" w:hAnsi="Times New Roman" w:cs="Times New Roman"/>
          <w:sz w:val="24"/>
          <w:szCs w:val="24"/>
        </w:rPr>
        <w:t xml:space="preserve"> </w:t>
      </w:r>
      <w:r w:rsidR="00B45BFA" w:rsidRPr="00E72F6D">
        <w:rPr>
          <w:rFonts w:ascii="Times New Roman" w:hAnsi="Times New Roman" w:cs="Times New Roman"/>
          <w:sz w:val="24"/>
          <w:szCs w:val="24"/>
        </w:rPr>
        <w:t>201</w:t>
      </w:r>
      <w:r w:rsidRPr="00E72F6D">
        <w:rPr>
          <w:rFonts w:ascii="Times New Roman" w:hAnsi="Times New Roman" w:cs="Times New Roman"/>
          <w:sz w:val="24"/>
          <w:szCs w:val="24"/>
        </w:rPr>
        <w:t>) для включения их в протокол публичных слушаний.</w:t>
      </w:r>
    </w:p>
    <w:p w:rsidR="00DA34E7" w:rsidRDefault="00AC50AB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>Предложения и замечания к проекту</w:t>
      </w:r>
      <w:r w:rsidR="006F5BB5" w:rsidRPr="00E72F6D">
        <w:rPr>
          <w:rFonts w:ascii="Times New Roman" w:hAnsi="Times New Roman" w:cs="Times New Roman"/>
          <w:sz w:val="24"/>
          <w:szCs w:val="24"/>
        </w:rPr>
        <w:t xml:space="preserve"> </w:t>
      </w:r>
      <w:r w:rsidR="007C0B5A" w:rsidRPr="00E72F6D">
        <w:rPr>
          <w:rFonts w:ascii="Times New Roman" w:hAnsi="Times New Roman" w:cs="Times New Roman"/>
          <w:sz w:val="24"/>
          <w:szCs w:val="24"/>
        </w:rPr>
        <w:t xml:space="preserve">актуализированной схемы </w:t>
      </w:r>
      <w:r w:rsidR="00143017" w:rsidRPr="00E72F6D">
        <w:rPr>
          <w:rFonts w:ascii="Times New Roman" w:hAnsi="Times New Roman" w:cs="Times New Roman"/>
          <w:sz w:val="24"/>
          <w:szCs w:val="24"/>
        </w:rPr>
        <w:t xml:space="preserve">теплоснабжения муниципального образования «город </w:t>
      </w:r>
      <w:r w:rsidR="007C0B5A" w:rsidRPr="00E72F6D">
        <w:rPr>
          <w:rFonts w:ascii="Times New Roman" w:hAnsi="Times New Roman" w:cs="Times New Roman"/>
          <w:sz w:val="24"/>
          <w:szCs w:val="24"/>
        </w:rPr>
        <w:t>Новочебоксарск</w:t>
      </w:r>
      <w:r w:rsidR="00143017" w:rsidRPr="00E72F6D">
        <w:rPr>
          <w:rFonts w:ascii="Times New Roman" w:hAnsi="Times New Roman" w:cs="Times New Roman"/>
          <w:sz w:val="24"/>
          <w:szCs w:val="24"/>
        </w:rPr>
        <w:t>»</w:t>
      </w:r>
      <w:r w:rsidR="00AD6602" w:rsidRPr="00E72F6D">
        <w:rPr>
          <w:rFonts w:ascii="Times New Roman" w:hAnsi="Times New Roman" w:cs="Times New Roman"/>
          <w:sz w:val="24"/>
          <w:szCs w:val="24"/>
        </w:rPr>
        <w:t xml:space="preserve"> </w:t>
      </w:r>
      <w:r w:rsidR="006F5BB5" w:rsidRPr="00E72F6D">
        <w:rPr>
          <w:rFonts w:ascii="Times New Roman" w:hAnsi="Times New Roman" w:cs="Times New Roman"/>
          <w:sz w:val="24"/>
          <w:szCs w:val="24"/>
        </w:rPr>
        <w:t xml:space="preserve">после опубликования в средствах </w:t>
      </w:r>
      <w:r w:rsidRPr="00E72F6D">
        <w:rPr>
          <w:rFonts w:ascii="Times New Roman" w:hAnsi="Times New Roman" w:cs="Times New Roman"/>
          <w:sz w:val="24"/>
          <w:szCs w:val="24"/>
        </w:rPr>
        <w:t xml:space="preserve">массовой информации </w:t>
      </w:r>
      <w:r w:rsidR="00510DAE" w:rsidRPr="00E72F6D">
        <w:rPr>
          <w:rFonts w:ascii="Times New Roman" w:hAnsi="Times New Roman" w:cs="Times New Roman"/>
          <w:sz w:val="24"/>
          <w:szCs w:val="24"/>
        </w:rPr>
        <w:t xml:space="preserve">не </w:t>
      </w:r>
      <w:r w:rsidR="00EB63F5" w:rsidRPr="00E72F6D">
        <w:rPr>
          <w:rFonts w:ascii="Times New Roman" w:hAnsi="Times New Roman" w:cs="Times New Roman"/>
          <w:sz w:val="24"/>
          <w:szCs w:val="24"/>
        </w:rPr>
        <w:t>поступали.</w:t>
      </w:r>
    </w:p>
    <w:p w:rsidR="00E05630" w:rsidRPr="00E72F6D" w:rsidRDefault="00D7518F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>По вопросу «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>Разработка</w:t>
      </w:r>
      <w:r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схемы теплоснабжения муниципального образования «город Новочебоксарск» до 20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года» доложит разработчик схемы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- руководитель проектов</w:t>
      </w:r>
      <w:r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ООО «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>Генерация и сети</w:t>
      </w:r>
      <w:r w:rsidRPr="00E72F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9460549"/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>Сёмочкин Дмитрий Игоревич</w:t>
      </w:r>
      <w:r w:rsidRPr="00E72F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:rsidR="00B238E2" w:rsidRPr="00E72F6D" w:rsidRDefault="00B238E2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665" w:rsidRPr="00E72F6D" w:rsidRDefault="00DB1665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Доклад 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>Сёмочкина Дмитрия Игоревича</w:t>
      </w:r>
      <w:r w:rsidR="00216DB4" w:rsidRPr="00E72F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518F" w:rsidRPr="00E72F6D" w:rsidRDefault="00D7518F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E2" w:rsidRPr="00E72F6D" w:rsidRDefault="00B238E2" w:rsidP="009F1A5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вашему вниманию проект схемы теплоснабжения Муниципального образования город Новочебоксарск до 2034 г.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pStyle w:val="20"/>
        <w:spacing w:line="240" w:lineRule="atLeast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>Проект схемы теплоснабжения разработан в соответствии со следующими документами:</w:t>
      </w:r>
    </w:p>
    <w:p w:rsidR="00B238E2" w:rsidRPr="00E72F6D" w:rsidRDefault="00B238E2" w:rsidP="009F1A56">
      <w:pPr>
        <w:pStyle w:val="20"/>
        <w:numPr>
          <w:ilvl w:val="0"/>
          <w:numId w:val="35"/>
        </w:numPr>
        <w:spacing w:line="240" w:lineRule="atLeast"/>
        <w:ind w:left="357" w:hanging="357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 xml:space="preserve">Федеральный закон от 27.07.2010 № 190-ФЗ «О теплоснабжении» </w:t>
      </w:r>
    </w:p>
    <w:p w:rsidR="00B238E2" w:rsidRPr="00E72F6D" w:rsidRDefault="00B238E2" w:rsidP="009F1A56">
      <w:pPr>
        <w:pStyle w:val="20"/>
        <w:numPr>
          <w:ilvl w:val="0"/>
          <w:numId w:val="35"/>
        </w:numPr>
        <w:spacing w:line="240" w:lineRule="atLeast"/>
        <w:ind w:left="357" w:hanging="357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 xml:space="preserve">Постановление Правительства Российской Федерации от 22.02.2012 № 154 </w:t>
      </w:r>
      <w:r w:rsidR="00633E56">
        <w:rPr>
          <w:szCs w:val="24"/>
          <w:lang w:eastAsia="ru-RU" w:bidi="ar-SA"/>
        </w:rPr>
        <w:t xml:space="preserve">                        </w:t>
      </w:r>
      <w:r w:rsidRPr="00E72F6D">
        <w:rPr>
          <w:szCs w:val="24"/>
          <w:lang w:eastAsia="ru-RU" w:bidi="ar-SA"/>
        </w:rPr>
        <w:t>«О требованиях к схемам теплоснабжения, порядку их разработки и утверждения»</w:t>
      </w:r>
    </w:p>
    <w:p w:rsidR="00B238E2" w:rsidRPr="00E72F6D" w:rsidRDefault="00B238E2" w:rsidP="009F1A56">
      <w:pPr>
        <w:pStyle w:val="20"/>
        <w:numPr>
          <w:ilvl w:val="0"/>
          <w:numId w:val="35"/>
        </w:numPr>
        <w:spacing w:line="240" w:lineRule="atLeast"/>
        <w:ind w:left="357" w:hanging="357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 xml:space="preserve">Постановление Правительства РФ от 08.08.2012 N 808 «Об организации теплоснабжения в Российской Федерации и о внесении изменений в некоторые акты Правительства Российской Федерации» </w:t>
      </w:r>
    </w:p>
    <w:p w:rsidR="00B238E2" w:rsidRPr="00E72F6D" w:rsidRDefault="00B238E2" w:rsidP="009F1A56">
      <w:pPr>
        <w:pStyle w:val="20"/>
        <w:numPr>
          <w:ilvl w:val="0"/>
          <w:numId w:val="35"/>
        </w:numPr>
        <w:spacing w:line="240" w:lineRule="atLeast"/>
        <w:ind w:left="357" w:hanging="357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 xml:space="preserve">«Методические указания по разработке схем теплоснабжения». Утверждены приказом Минэнерго России и Минрегиона России от 05.03.2019 г. № 212 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pStyle w:val="20"/>
        <w:spacing w:line="240" w:lineRule="atLeast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>Основной целью схемы теплоснабжения является разработка планов развития систем теплоснабжения для удовлетворения спроса на тепловую энергию максимально надежно и экономично, как с точки зрения финансового вопроса, так и с минимизацией потребления тепловой энергии при сохранении всех требуемых параметров комфортного теплоснабжения.</w:t>
      </w:r>
    </w:p>
    <w:p w:rsidR="00B238E2" w:rsidRPr="00E72F6D" w:rsidRDefault="00B238E2" w:rsidP="009F1A56">
      <w:pPr>
        <w:pStyle w:val="20"/>
        <w:spacing w:line="240" w:lineRule="atLeast"/>
        <w:ind w:firstLine="0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>Физически схема теплоснабжения состоит из:</w:t>
      </w:r>
    </w:p>
    <w:p w:rsidR="00B238E2" w:rsidRPr="00E72F6D" w:rsidRDefault="00B238E2" w:rsidP="009F1A56">
      <w:pPr>
        <w:pStyle w:val="20"/>
        <w:numPr>
          <w:ilvl w:val="0"/>
          <w:numId w:val="36"/>
        </w:numPr>
        <w:spacing w:line="240" w:lineRule="atLeast"/>
        <w:ind w:left="357" w:hanging="357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>19 глав обосновывающих материалов, каждая из которых является отдельной книгой.</w:t>
      </w:r>
    </w:p>
    <w:p w:rsidR="00B238E2" w:rsidRPr="00E72F6D" w:rsidRDefault="00B238E2" w:rsidP="009F1A56">
      <w:pPr>
        <w:pStyle w:val="20"/>
        <w:numPr>
          <w:ilvl w:val="0"/>
          <w:numId w:val="36"/>
        </w:numPr>
        <w:spacing w:line="240" w:lineRule="atLeast"/>
        <w:ind w:left="357" w:hanging="357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>Электронной модели систем теплоснабжения для расчета гидравлических режимов.</w:t>
      </w:r>
    </w:p>
    <w:p w:rsidR="00B238E2" w:rsidRPr="00E72F6D" w:rsidRDefault="00B238E2" w:rsidP="009F1A56">
      <w:pPr>
        <w:pStyle w:val="20"/>
        <w:numPr>
          <w:ilvl w:val="0"/>
          <w:numId w:val="36"/>
        </w:numPr>
        <w:spacing w:line="240" w:lineRule="atLeast"/>
        <w:ind w:left="357" w:hanging="357"/>
        <w:rPr>
          <w:szCs w:val="24"/>
          <w:lang w:eastAsia="ru-RU" w:bidi="ar-SA"/>
        </w:rPr>
      </w:pPr>
      <w:r w:rsidRPr="00E72F6D">
        <w:rPr>
          <w:szCs w:val="24"/>
          <w:lang w:eastAsia="ru-RU" w:bidi="ar-SA"/>
        </w:rPr>
        <w:t>Утверждаемой части, которая является сводом всех обосновывающих материалов в одной книги.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схемы осуществляется с горизонтом планирования до 2034 года. 2023 г. является базовым годом, т. е. описание фактического состояние систем теплоснабжения осуществляется на этот год.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теплоснабжения содержит 3 единые теплоснабжающие организации (ЕТО), </w:t>
      </w:r>
      <w:r w:rsidR="006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4 системы теплоснабжения и 4 источника тепловой энергии в этих системах.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прогнозирования потребления тепловой энергии до 2034 года определяется его перспективный прирост, который состоит из двух блоков.</w:t>
      </w: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это точечная застройка, которая основана на выданных разрешениях на строительство и технических условий на подключение на 2024-2026 гг. 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блок – застройка площадок в соответствии с генеральным планом городского округа Новочебоксарск.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CB66F1"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об исполнении схемы теплоснабжения Муниципального образования «город Новочебоксарск»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г. выполнено 134 мероприятия на сумму 171 млн. рублей. Реализовано 100 % мероприятий, утвержденных в СТ МО г. Новочебоксарск при актуализации в 2023 г. Из которых:</w:t>
      </w:r>
    </w:p>
    <w:p w:rsidR="00B238E2" w:rsidRPr="00E72F6D" w:rsidRDefault="00B238E2" w:rsidP="009F1A56">
      <w:pPr>
        <w:numPr>
          <w:ilvl w:val="0"/>
          <w:numId w:val="38"/>
        </w:numPr>
        <w:spacing w:after="0" w:line="24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Концессионные мероприятия (94 млн. руб.)</w:t>
      </w:r>
    </w:p>
    <w:p w:rsidR="00B238E2" w:rsidRPr="00E72F6D" w:rsidRDefault="00B238E2" w:rsidP="009F1A56">
      <w:pPr>
        <w:numPr>
          <w:ilvl w:val="0"/>
          <w:numId w:val="38"/>
        </w:numPr>
        <w:spacing w:after="0" w:line="24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 магистральных тепловых сетях (20 млн. руб.)</w:t>
      </w:r>
    </w:p>
    <w:p w:rsidR="00B238E2" w:rsidRPr="00E72F6D" w:rsidRDefault="00B238E2" w:rsidP="009F1A56">
      <w:pPr>
        <w:numPr>
          <w:ilvl w:val="0"/>
          <w:numId w:val="38"/>
        </w:numPr>
        <w:spacing w:after="0" w:line="24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 ТЭЦ-3 (57 млн. руб.)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концессионного соглашения на 2022-2023 гг. выполнены филиалом «Марий Эл и Чувашии» ПАО «Т Плюс» в полном объеме:</w:t>
      </w:r>
    </w:p>
    <w:p w:rsidR="00B238E2" w:rsidRPr="00E72F6D" w:rsidRDefault="00B238E2" w:rsidP="009F1A56">
      <w:pPr>
        <w:pStyle w:val="new"/>
        <w:spacing w:line="240" w:lineRule="atLeast"/>
        <w:ind w:left="357" w:hanging="357"/>
        <w:jc w:val="both"/>
        <w:rPr>
          <w:color w:val="auto"/>
          <w:szCs w:val="24"/>
          <w:lang w:eastAsia="ru-RU" w:bidi="ar-SA"/>
        </w:rPr>
      </w:pPr>
      <w:r w:rsidRPr="00E72F6D">
        <w:rPr>
          <w:color w:val="auto"/>
          <w:szCs w:val="24"/>
          <w:lang w:eastAsia="ru-RU" w:bidi="ar-SA"/>
        </w:rPr>
        <w:lastRenderedPageBreak/>
        <w:t xml:space="preserve">Превышение количества фактически переложенных тепловых сетей над планом на 1,52 км или +15% </w:t>
      </w:r>
    </w:p>
    <w:p w:rsidR="00B238E2" w:rsidRPr="00E72F6D" w:rsidRDefault="00B238E2" w:rsidP="009F1A56">
      <w:pPr>
        <w:pStyle w:val="new"/>
        <w:spacing w:line="240" w:lineRule="atLeast"/>
        <w:ind w:left="357" w:hanging="357"/>
        <w:jc w:val="both"/>
        <w:rPr>
          <w:color w:val="auto"/>
          <w:szCs w:val="24"/>
          <w:lang w:eastAsia="ru-RU" w:bidi="ar-SA"/>
        </w:rPr>
      </w:pPr>
      <w:r w:rsidRPr="00E72F6D">
        <w:rPr>
          <w:color w:val="auto"/>
          <w:szCs w:val="24"/>
          <w:lang w:eastAsia="ru-RU" w:bidi="ar-SA"/>
        </w:rPr>
        <w:t>Снижение технологических потерь при передаче тепловой энергии по тепловым сетям на 2 тыс.</w:t>
      </w:r>
      <w:r w:rsidR="009F1A56" w:rsidRPr="00E72F6D">
        <w:rPr>
          <w:color w:val="auto"/>
          <w:szCs w:val="24"/>
          <w:lang w:eastAsia="ru-RU" w:bidi="ar-SA"/>
        </w:rPr>
        <w:t xml:space="preserve"> </w:t>
      </w:r>
      <w:r w:rsidRPr="00E72F6D">
        <w:rPr>
          <w:color w:val="auto"/>
          <w:szCs w:val="24"/>
          <w:lang w:eastAsia="ru-RU" w:bidi="ar-SA"/>
        </w:rPr>
        <w:t xml:space="preserve">Гкал или -2% </w:t>
      </w:r>
    </w:p>
    <w:p w:rsidR="00B238E2" w:rsidRPr="00E72F6D" w:rsidRDefault="00B238E2" w:rsidP="009F1A56">
      <w:pPr>
        <w:pStyle w:val="new"/>
        <w:spacing w:line="240" w:lineRule="atLeast"/>
        <w:ind w:left="357" w:hanging="357"/>
        <w:jc w:val="both"/>
        <w:rPr>
          <w:color w:val="auto"/>
          <w:szCs w:val="24"/>
          <w:lang w:eastAsia="ru-RU" w:bidi="ar-SA"/>
        </w:rPr>
      </w:pPr>
      <w:r w:rsidRPr="00E72F6D">
        <w:rPr>
          <w:color w:val="auto"/>
          <w:szCs w:val="24"/>
          <w:lang w:eastAsia="ru-RU" w:bidi="ar-SA"/>
        </w:rPr>
        <w:t xml:space="preserve">Снижение прекращений подачи тепловой энергии в результате технологических нарушений на тепловых сетях на 0,4 ед. на 1 км или -60% </w:t>
      </w:r>
    </w:p>
    <w:p w:rsidR="00B238E2" w:rsidRPr="00E72F6D" w:rsidRDefault="00B238E2" w:rsidP="009F1A5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приведена информация по размерам инвестиций в модернизацию/реконструкцию объектов теплоснабжения до 2034 г. За период с 2024 по 2034 гг. запланировано инвестиций в размере 2,88 млрд. рублей. (из которых 2,4 млрд. – тепловые сети)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2034 г. за счет инвестиций планируется снизить потери тепловой энергии в сетевой воде в тепловых сетях до 16,7 % c 20,2 % по отношению к базовому году. Планируется увеличить долю присоединённой нагрузки к генерации. </w:t>
      </w:r>
    </w:p>
    <w:p w:rsidR="00B238E2" w:rsidRPr="00E72F6D" w:rsidRDefault="00B238E2" w:rsidP="009F1A56">
      <w:pPr>
        <w:pStyle w:val="1"/>
        <w:spacing w:line="240" w:lineRule="atLeast"/>
        <w:ind w:left="0" w:firstLine="0"/>
        <w:rPr>
          <w:szCs w:val="24"/>
          <w:lang w:eastAsia="ru-RU"/>
        </w:rPr>
      </w:pPr>
    </w:p>
    <w:p w:rsidR="00B238E2" w:rsidRPr="00E72F6D" w:rsidRDefault="00B238E2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схеме отображены следующие ЕТО</w:t>
      </w:r>
    </w:p>
    <w:p w:rsidR="00B238E2" w:rsidRPr="00E72F6D" w:rsidRDefault="00B238E2" w:rsidP="009F1A56">
      <w:pPr>
        <w:pStyle w:val="new"/>
        <w:spacing w:line="240" w:lineRule="atLeast"/>
        <w:ind w:left="357" w:hanging="357"/>
        <w:jc w:val="both"/>
        <w:rPr>
          <w:color w:val="auto"/>
          <w:szCs w:val="24"/>
          <w:lang w:eastAsia="ru-RU" w:bidi="ar-SA"/>
        </w:rPr>
      </w:pPr>
      <w:r w:rsidRPr="00E72F6D">
        <w:rPr>
          <w:color w:val="auto"/>
          <w:szCs w:val="24"/>
          <w:lang w:eastAsia="ru-RU" w:bidi="ar-SA"/>
        </w:rPr>
        <w:t>Филиал «Марий Эл и Чувашии» ПАО «Т Плюс» (система теплоснабжения – ТЭЦ-3);</w:t>
      </w:r>
    </w:p>
    <w:p w:rsidR="00B238E2" w:rsidRPr="00E72F6D" w:rsidRDefault="00B238E2" w:rsidP="009F1A56">
      <w:pPr>
        <w:pStyle w:val="new"/>
        <w:spacing w:line="240" w:lineRule="atLeast"/>
        <w:ind w:left="357" w:hanging="357"/>
        <w:jc w:val="both"/>
        <w:rPr>
          <w:color w:val="auto"/>
          <w:szCs w:val="24"/>
          <w:lang w:eastAsia="ru-RU" w:bidi="ar-SA"/>
        </w:rPr>
      </w:pPr>
      <w:r w:rsidRPr="00E72F6D">
        <w:rPr>
          <w:color w:val="auto"/>
          <w:szCs w:val="24"/>
          <w:lang w:eastAsia="ru-RU" w:bidi="ar-SA"/>
        </w:rPr>
        <w:t xml:space="preserve">ГУП «Чувашгаз» Минстроя Чувашии (системы теплоснабжения – Котельная, </w:t>
      </w:r>
      <w:r w:rsidR="00AB5D02">
        <w:rPr>
          <w:color w:val="auto"/>
          <w:szCs w:val="24"/>
          <w:lang w:eastAsia="ru-RU" w:bidi="ar-SA"/>
        </w:rPr>
        <w:t xml:space="preserve">                  </w:t>
      </w:r>
      <w:r w:rsidRPr="00E72F6D">
        <w:rPr>
          <w:color w:val="auto"/>
          <w:szCs w:val="24"/>
          <w:lang w:eastAsia="ru-RU" w:bidi="ar-SA"/>
        </w:rPr>
        <w:t>ул. Ж. Крутовой, вл. 1А, Котельная, ул. Советская, вл. 48)</w:t>
      </w:r>
    </w:p>
    <w:p w:rsidR="00B238E2" w:rsidRPr="00E72F6D" w:rsidRDefault="00B238E2" w:rsidP="009F1A56">
      <w:pPr>
        <w:pStyle w:val="new"/>
        <w:spacing w:line="240" w:lineRule="atLeast"/>
        <w:ind w:left="357" w:hanging="357"/>
        <w:jc w:val="both"/>
        <w:rPr>
          <w:color w:val="auto"/>
          <w:szCs w:val="24"/>
          <w:lang w:eastAsia="ru-RU" w:bidi="ar-SA"/>
        </w:rPr>
      </w:pPr>
      <w:r w:rsidRPr="00E72F6D">
        <w:rPr>
          <w:color w:val="auto"/>
          <w:szCs w:val="24"/>
          <w:lang w:eastAsia="ru-RU" w:bidi="ar-SA"/>
        </w:rPr>
        <w:t>ООО «Тепло» (система теплоснабжения – Котельная, ул. Промышленная, 73)</w:t>
      </w:r>
    </w:p>
    <w:p w:rsidR="00B238E2" w:rsidRPr="00E72F6D" w:rsidRDefault="00B238E2" w:rsidP="009F1A56">
      <w:pPr>
        <w:pStyle w:val="1"/>
        <w:numPr>
          <w:ilvl w:val="0"/>
          <w:numId w:val="0"/>
        </w:numPr>
        <w:spacing w:line="240" w:lineRule="atLeast"/>
        <w:ind w:left="360"/>
        <w:rPr>
          <w:szCs w:val="24"/>
          <w:lang w:eastAsia="ru-RU"/>
        </w:rPr>
      </w:pPr>
    </w:p>
    <w:p w:rsidR="00B238E2" w:rsidRPr="00E72F6D" w:rsidRDefault="00B238E2" w:rsidP="009F1A56">
      <w:pPr>
        <w:pStyle w:val="new"/>
        <w:numPr>
          <w:ilvl w:val="0"/>
          <w:numId w:val="0"/>
        </w:numPr>
        <w:spacing w:line="240" w:lineRule="atLeast"/>
        <w:rPr>
          <w:color w:val="auto"/>
          <w:szCs w:val="24"/>
          <w:lang w:eastAsia="ru-RU" w:bidi="ar-SA"/>
        </w:rPr>
      </w:pPr>
      <w:r w:rsidRPr="00E72F6D">
        <w:rPr>
          <w:color w:val="auto"/>
          <w:szCs w:val="24"/>
          <w:lang w:eastAsia="ru-RU" w:bidi="ar-SA"/>
        </w:rPr>
        <w:t>Спасибо за внимание!</w:t>
      </w:r>
    </w:p>
    <w:p w:rsidR="00F47521" w:rsidRPr="00E72F6D" w:rsidRDefault="00F47521" w:rsidP="009F1A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7DC" w:rsidRPr="00E72F6D" w:rsidRDefault="00BB5D3A" w:rsidP="009F1A5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F6D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="000C27DC"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C27DC" w:rsidRPr="00E72F6D" w:rsidRDefault="000C27DC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</w:t>
      </w:r>
      <w:r w:rsidR="00510DAE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941B6" w:rsidRPr="00E72F6D">
        <w:rPr>
          <w:rFonts w:ascii="Times New Roman" w:hAnsi="Times New Roman" w:cs="Times New Roman"/>
          <w:b/>
          <w:bCs/>
          <w:sz w:val="24"/>
          <w:szCs w:val="24"/>
        </w:rPr>
        <w:t>хем</w:t>
      </w:r>
      <w:r w:rsidR="00510DAE" w:rsidRPr="00E72F6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941B6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теплоснабжения муниципального образования «город Новочебоксарск» до 20</w:t>
      </w:r>
      <w:r w:rsidR="00B238E2" w:rsidRPr="00E72F6D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9941B6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на ваше обсуждение.</w:t>
      </w:r>
    </w:p>
    <w:p w:rsidR="000C27DC" w:rsidRPr="00E72F6D" w:rsidRDefault="000C27DC" w:rsidP="009F1A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предложения и замечания относительно рассматриваемого вопроса?</w:t>
      </w:r>
    </w:p>
    <w:p w:rsidR="00FF076D" w:rsidRPr="00E72F6D" w:rsidRDefault="00FF076D" w:rsidP="009F1A5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73" w:rsidRPr="00E72F6D" w:rsidRDefault="00BB5D3A" w:rsidP="009F1A5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F6D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="006A3973"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A3973" w:rsidRPr="00E72F6D" w:rsidRDefault="006A3973" w:rsidP="009F1A5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 желающих выступить, </w:t>
      </w:r>
      <w:r w:rsidR="00DD6EDF"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и замечаний нет, 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предлагаю подвести итоги публичных слушаний.</w:t>
      </w:r>
    </w:p>
    <w:p w:rsidR="00DD6EDF" w:rsidRPr="00E72F6D" w:rsidRDefault="00DD6EDF" w:rsidP="009F1A5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F1" w:rsidRPr="00E72F6D" w:rsidRDefault="00CB66F1" w:rsidP="009F1A5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F1" w:rsidRPr="00E72F6D" w:rsidRDefault="00CB66F1" w:rsidP="009F1A5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4E7" w:rsidRPr="00E72F6D" w:rsidRDefault="00DA34E7" w:rsidP="009F1A5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>ВЫВОДЫ публичных слушаний:</w:t>
      </w:r>
    </w:p>
    <w:p w:rsidR="00DD1AF4" w:rsidRPr="00E72F6D" w:rsidRDefault="00DD1AF4" w:rsidP="009F1A56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1AF4" w:rsidRPr="00E72F6D" w:rsidRDefault="00DD1AF4" w:rsidP="009F1A56">
      <w:pPr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рассмотрению проект</w:t>
      </w:r>
      <w:r w:rsidR="009660B4"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1B6" w:rsidRPr="00E72F6D">
        <w:rPr>
          <w:rFonts w:ascii="Times New Roman" w:hAnsi="Times New Roman" w:cs="Times New Roman"/>
          <w:b/>
          <w:bCs/>
          <w:sz w:val="24"/>
          <w:szCs w:val="24"/>
        </w:rPr>
        <w:t>схемы теплоснабжения муниципального образован</w:t>
      </w:r>
      <w:r w:rsidR="00CB66F1" w:rsidRPr="00E72F6D">
        <w:rPr>
          <w:rFonts w:ascii="Times New Roman" w:hAnsi="Times New Roman" w:cs="Times New Roman"/>
          <w:b/>
          <w:bCs/>
          <w:sz w:val="24"/>
          <w:szCs w:val="24"/>
        </w:rPr>
        <w:t>ия «город Новочебоксарск» до 2034</w:t>
      </w:r>
      <w:r w:rsidR="009941B6"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считать состоявшимися.</w:t>
      </w:r>
      <w:r w:rsidR="00983678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Протокол по публичным слушаниям разместить на официальном сайте </w:t>
      </w:r>
      <w:r w:rsidR="007C0B5A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983678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</w:t>
      </w:r>
      <w:r w:rsidR="00F204EC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Новочебоксарска</w:t>
      </w:r>
      <w:r w:rsidR="007C0B5A" w:rsidRPr="00E7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A34E7" w:rsidRPr="00E72F6D" w:rsidRDefault="00DD1AF4" w:rsidP="009F1A56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другие предложения? Если нет, то разрешите завершить публичные слушания.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9428"/>
      </w:tblGrid>
      <w:tr w:rsidR="00F54619" w:rsidRPr="00E72F6D" w:rsidTr="00983678">
        <w:trPr>
          <w:trHeight w:val="648"/>
        </w:trPr>
        <w:tc>
          <w:tcPr>
            <w:tcW w:w="9428" w:type="dxa"/>
          </w:tcPr>
          <w:p w:rsidR="00F54619" w:rsidRPr="00E72F6D" w:rsidRDefault="00F54619" w:rsidP="009F1A5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19" w:rsidRPr="00E72F6D" w:rsidRDefault="00F54619" w:rsidP="009F1A5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19" w:rsidRPr="00E72F6D" w:rsidRDefault="00F54619" w:rsidP="009F1A5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19" w:rsidRPr="00E72F6D" w:rsidRDefault="00F54619" w:rsidP="009F1A5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Председательствующий </w:t>
            </w:r>
            <w:r w:rsidR="00983678" w:rsidRPr="00E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D7518F" w:rsidRPr="00E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83678" w:rsidRPr="00E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F1A56" w:rsidRPr="00E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983678" w:rsidRPr="00E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598" w:rsidRPr="00E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Дмитриев</w:t>
            </w:r>
            <w:r w:rsidRPr="00E7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F54619" w:rsidRPr="00E72F6D" w:rsidRDefault="00F54619" w:rsidP="009F1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19" w:rsidRPr="00E72F6D" w:rsidRDefault="00F54619" w:rsidP="009F1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19" w:rsidRPr="00E72F6D" w:rsidRDefault="00F54619" w:rsidP="009F1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6B7" w:rsidRPr="009F1A56" w:rsidRDefault="00E417EC" w:rsidP="009F1A56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sectPr w:rsidR="004606B7" w:rsidRPr="009F1A56" w:rsidSect="0010005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5C" w:rsidRDefault="000E445C" w:rsidP="00DB04E7">
      <w:pPr>
        <w:spacing w:after="0" w:line="240" w:lineRule="auto"/>
      </w:pPr>
      <w:r>
        <w:separator/>
      </w:r>
    </w:p>
  </w:endnote>
  <w:endnote w:type="continuationSeparator" w:id="0">
    <w:p w:rsidR="000E445C" w:rsidRDefault="000E445C" w:rsidP="00DB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5C" w:rsidRDefault="000E445C" w:rsidP="00DB04E7">
      <w:pPr>
        <w:spacing w:after="0" w:line="240" w:lineRule="auto"/>
      </w:pPr>
      <w:r>
        <w:separator/>
      </w:r>
    </w:p>
  </w:footnote>
  <w:footnote w:type="continuationSeparator" w:id="0">
    <w:p w:rsidR="000E445C" w:rsidRDefault="000E445C" w:rsidP="00DB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476"/>
    <w:multiLevelType w:val="hybridMultilevel"/>
    <w:tmpl w:val="E5929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33A2B"/>
    <w:multiLevelType w:val="multilevel"/>
    <w:tmpl w:val="61C67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A5460"/>
    <w:multiLevelType w:val="multilevel"/>
    <w:tmpl w:val="70CA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54E0E"/>
    <w:multiLevelType w:val="hybridMultilevel"/>
    <w:tmpl w:val="093C9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0086"/>
    <w:multiLevelType w:val="multilevel"/>
    <w:tmpl w:val="7544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52289"/>
    <w:multiLevelType w:val="multilevel"/>
    <w:tmpl w:val="435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E0C03"/>
    <w:multiLevelType w:val="multilevel"/>
    <w:tmpl w:val="EB7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7385A"/>
    <w:multiLevelType w:val="hybridMultilevel"/>
    <w:tmpl w:val="281045BA"/>
    <w:lvl w:ilvl="0" w:tplc="38268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0F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8A2BA0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1264DB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1A268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0F686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F6BAD68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B467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830644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8" w15:restartNumberingAfterBreak="0">
    <w:nsid w:val="219A4BCD"/>
    <w:multiLevelType w:val="hybridMultilevel"/>
    <w:tmpl w:val="7E10D0C6"/>
    <w:lvl w:ilvl="0" w:tplc="1AC2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CA3BD3"/>
    <w:multiLevelType w:val="hybridMultilevel"/>
    <w:tmpl w:val="368E7232"/>
    <w:lvl w:ilvl="0" w:tplc="7EC82CB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7F52DAA"/>
    <w:multiLevelType w:val="multilevel"/>
    <w:tmpl w:val="19EE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37DB9"/>
    <w:multiLevelType w:val="multilevel"/>
    <w:tmpl w:val="F766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D757A"/>
    <w:multiLevelType w:val="hybridMultilevel"/>
    <w:tmpl w:val="315E5664"/>
    <w:lvl w:ilvl="0" w:tplc="38268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731709"/>
    <w:multiLevelType w:val="multilevel"/>
    <w:tmpl w:val="DEB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01A9C"/>
    <w:multiLevelType w:val="hybridMultilevel"/>
    <w:tmpl w:val="2D8825B4"/>
    <w:lvl w:ilvl="0" w:tplc="7FF8DA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AF4EDD"/>
    <w:multiLevelType w:val="multilevel"/>
    <w:tmpl w:val="56A454C4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D5BDB"/>
    <w:multiLevelType w:val="hybridMultilevel"/>
    <w:tmpl w:val="B6FA1A62"/>
    <w:lvl w:ilvl="0" w:tplc="9CD2A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031F8F"/>
    <w:multiLevelType w:val="hybridMultilevel"/>
    <w:tmpl w:val="E60AB7FA"/>
    <w:lvl w:ilvl="0" w:tplc="38268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C3B36">
      <w:start w:val="1"/>
      <w:numFmt w:val="bullet"/>
      <w:lvlText w:val="▷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1840AE98">
      <w:start w:val="1"/>
      <w:numFmt w:val="bullet"/>
      <w:lvlText w:val="▷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A08ED750">
      <w:start w:val="1"/>
      <w:numFmt w:val="bullet"/>
      <w:lvlText w:val="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09222DE">
      <w:start w:val="1"/>
      <w:numFmt w:val="bullet"/>
      <w:lvlText w:val="▷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FC54D604">
      <w:start w:val="1"/>
      <w:numFmt w:val="bullet"/>
      <w:lvlText w:val="▷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DC287866">
      <w:start w:val="1"/>
      <w:numFmt w:val="bullet"/>
      <w:lvlText w:val="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6F5EEF98">
      <w:start w:val="1"/>
      <w:numFmt w:val="bullet"/>
      <w:lvlText w:val="▷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374CBDCA">
      <w:start w:val="1"/>
      <w:numFmt w:val="bullet"/>
      <w:lvlText w:val="▷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4916177E"/>
    <w:multiLevelType w:val="multilevel"/>
    <w:tmpl w:val="F358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DE679A"/>
    <w:multiLevelType w:val="multilevel"/>
    <w:tmpl w:val="A7D4F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E57D61"/>
    <w:multiLevelType w:val="hybridMultilevel"/>
    <w:tmpl w:val="327404D0"/>
    <w:lvl w:ilvl="0" w:tplc="C0AE8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C64B94"/>
    <w:multiLevelType w:val="hybridMultilevel"/>
    <w:tmpl w:val="92147AEA"/>
    <w:lvl w:ilvl="0" w:tplc="378EB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1E32FF"/>
    <w:multiLevelType w:val="hybridMultilevel"/>
    <w:tmpl w:val="380C8CA6"/>
    <w:lvl w:ilvl="0" w:tplc="0EBCC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C72306"/>
    <w:multiLevelType w:val="hybridMultilevel"/>
    <w:tmpl w:val="F5E4C5B0"/>
    <w:lvl w:ilvl="0" w:tplc="373A2F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D254BF"/>
    <w:multiLevelType w:val="multilevel"/>
    <w:tmpl w:val="DDF4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212273"/>
    <w:multiLevelType w:val="hybridMultilevel"/>
    <w:tmpl w:val="838CFD96"/>
    <w:lvl w:ilvl="0" w:tplc="FC76C0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A30F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8A2BA0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1264DB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1A268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0F686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F6BAD68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B467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830644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6" w15:restartNumberingAfterBreak="0">
    <w:nsid w:val="608058A0"/>
    <w:multiLevelType w:val="multilevel"/>
    <w:tmpl w:val="64BE4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A6438"/>
    <w:multiLevelType w:val="multilevel"/>
    <w:tmpl w:val="F2FE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E206C0"/>
    <w:multiLevelType w:val="hybridMultilevel"/>
    <w:tmpl w:val="377E6704"/>
    <w:lvl w:ilvl="0" w:tplc="88EC35C8">
      <w:start w:val="1"/>
      <w:numFmt w:val="bullet"/>
      <w:lvlText w:val="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B0FC3B36">
      <w:start w:val="1"/>
      <w:numFmt w:val="bullet"/>
      <w:lvlText w:val="▷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1840AE98">
      <w:start w:val="1"/>
      <w:numFmt w:val="bullet"/>
      <w:lvlText w:val="▷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A08ED750">
      <w:start w:val="1"/>
      <w:numFmt w:val="bullet"/>
      <w:lvlText w:val="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09222DE">
      <w:start w:val="1"/>
      <w:numFmt w:val="bullet"/>
      <w:lvlText w:val="▷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FC54D604">
      <w:start w:val="1"/>
      <w:numFmt w:val="bullet"/>
      <w:lvlText w:val="▷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DC287866">
      <w:start w:val="1"/>
      <w:numFmt w:val="bullet"/>
      <w:lvlText w:val="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6F5EEF98">
      <w:start w:val="1"/>
      <w:numFmt w:val="bullet"/>
      <w:lvlText w:val="▷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374CBDCA">
      <w:start w:val="1"/>
      <w:numFmt w:val="bullet"/>
      <w:lvlText w:val="▷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29" w15:restartNumberingAfterBreak="0">
    <w:nsid w:val="6C490827"/>
    <w:multiLevelType w:val="multilevel"/>
    <w:tmpl w:val="D40C9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C139A1"/>
    <w:multiLevelType w:val="hybridMultilevel"/>
    <w:tmpl w:val="D7B6109A"/>
    <w:lvl w:ilvl="0" w:tplc="2A58FB1C">
      <w:start w:val="1"/>
      <w:numFmt w:val="decimal"/>
      <w:pStyle w:val="1"/>
      <w:lvlText w:val="Слайд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A74EE"/>
    <w:multiLevelType w:val="hybridMultilevel"/>
    <w:tmpl w:val="B024F02C"/>
    <w:lvl w:ilvl="0" w:tplc="47502FF6">
      <w:start w:val="1"/>
      <w:numFmt w:val="decimal"/>
      <w:lvlText w:val="%1."/>
      <w:lvlJc w:val="left"/>
      <w:pPr>
        <w:ind w:left="1409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C6E535D"/>
    <w:multiLevelType w:val="hybridMultilevel"/>
    <w:tmpl w:val="79FA0F94"/>
    <w:lvl w:ilvl="0" w:tplc="E9A29E42">
      <w:start w:val="1"/>
      <w:numFmt w:val="bullet"/>
      <w:pStyle w:val="new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A0490"/>
    <w:multiLevelType w:val="multilevel"/>
    <w:tmpl w:val="9A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6"/>
  </w:num>
  <w:num w:numId="5">
    <w:abstractNumId w:val="19"/>
  </w:num>
  <w:num w:numId="6">
    <w:abstractNumId w:val="29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27"/>
  </w:num>
  <w:num w:numId="12">
    <w:abstractNumId w:val="24"/>
  </w:num>
  <w:num w:numId="13">
    <w:abstractNumId w:val="13"/>
  </w:num>
  <w:num w:numId="14">
    <w:abstractNumId w:val="18"/>
  </w:num>
  <w:num w:numId="15">
    <w:abstractNumId w:val="10"/>
  </w:num>
  <w:num w:numId="16">
    <w:abstractNumId w:val="20"/>
  </w:num>
  <w:num w:numId="17">
    <w:abstractNumId w:val="23"/>
  </w:num>
  <w:num w:numId="18">
    <w:abstractNumId w:val="31"/>
  </w:num>
  <w:num w:numId="19">
    <w:abstractNumId w:val="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14"/>
  </w:num>
  <w:num w:numId="24">
    <w:abstractNumId w:val="9"/>
  </w:num>
  <w:num w:numId="25">
    <w:abstractNumId w:val="33"/>
  </w:num>
  <w:num w:numId="26">
    <w:abstractNumId w:val="22"/>
  </w:num>
  <w:num w:numId="27">
    <w:abstractNumId w:val="2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8"/>
  </w:num>
  <w:num w:numId="31">
    <w:abstractNumId w:val="0"/>
  </w:num>
  <w:num w:numId="32">
    <w:abstractNumId w:val="25"/>
  </w:num>
  <w:num w:numId="33">
    <w:abstractNumId w:val="28"/>
  </w:num>
  <w:num w:numId="34">
    <w:abstractNumId w:val="0"/>
  </w:num>
  <w:num w:numId="35">
    <w:abstractNumId w:val="17"/>
  </w:num>
  <w:num w:numId="36">
    <w:abstractNumId w:val="12"/>
  </w:num>
  <w:num w:numId="37">
    <w:abstractNumId w:val="2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7"/>
    <w:rsid w:val="000037AB"/>
    <w:rsid w:val="000049D7"/>
    <w:rsid w:val="000064F5"/>
    <w:rsid w:val="000153AA"/>
    <w:rsid w:val="00024140"/>
    <w:rsid w:val="000457B6"/>
    <w:rsid w:val="000520D4"/>
    <w:rsid w:val="0005347D"/>
    <w:rsid w:val="000572BD"/>
    <w:rsid w:val="00060453"/>
    <w:rsid w:val="00065414"/>
    <w:rsid w:val="00077CFA"/>
    <w:rsid w:val="000B0A7D"/>
    <w:rsid w:val="000B22F1"/>
    <w:rsid w:val="000B36E2"/>
    <w:rsid w:val="000B42DA"/>
    <w:rsid w:val="000B6033"/>
    <w:rsid w:val="000C03DA"/>
    <w:rsid w:val="000C27DC"/>
    <w:rsid w:val="000C69B5"/>
    <w:rsid w:val="000C7694"/>
    <w:rsid w:val="000D2CD1"/>
    <w:rsid w:val="000E445C"/>
    <w:rsid w:val="000F0CD3"/>
    <w:rsid w:val="000F58A1"/>
    <w:rsid w:val="0010005F"/>
    <w:rsid w:val="00102AA5"/>
    <w:rsid w:val="00103177"/>
    <w:rsid w:val="001048B9"/>
    <w:rsid w:val="001136AD"/>
    <w:rsid w:val="00116488"/>
    <w:rsid w:val="001243C7"/>
    <w:rsid w:val="00124A18"/>
    <w:rsid w:val="00124E4A"/>
    <w:rsid w:val="00127B2F"/>
    <w:rsid w:val="001310A6"/>
    <w:rsid w:val="00134EE9"/>
    <w:rsid w:val="0013510C"/>
    <w:rsid w:val="00143017"/>
    <w:rsid w:val="00154EB1"/>
    <w:rsid w:val="001813F9"/>
    <w:rsid w:val="00182950"/>
    <w:rsid w:val="001862D6"/>
    <w:rsid w:val="001A0E5F"/>
    <w:rsid w:val="001A2C01"/>
    <w:rsid w:val="001A540C"/>
    <w:rsid w:val="001A7F8D"/>
    <w:rsid w:val="001C2F7C"/>
    <w:rsid w:val="001C67BF"/>
    <w:rsid w:val="001D0BD5"/>
    <w:rsid w:val="001D463D"/>
    <w:rsid w:val="001E0F23"/>
    <w:rsid w:val="001E250D"/>
    <w:rsid w:val="001E3C22"/>
    <w:rsid w:val="001F5106"/>
    <w:rsid w:val="002012DD"/>
    <w:rsid w:val="0020273C"/>
    <w:rsid w:val="002031B6"/>
    <w:rsid w:val="00205E09"/>
    <w:rsid w:val="00216DB4"/>
    <w:rsid w:val="00225C7A"/>
    <w:rsid w:val="00236EAC"/>
    <w:rsid w:val="00236F2C"/>
    <w:rsid w:val="00246B96"/>
    <w:rsid w:val="00254666"/>
    <w:rsid w:val="002560F3"/>
    <w:rsid w:val="002633E4"/>
    <w:rsid w:val="00273BB0"/>
    <w:rsid w:val="00274646"/>
    <w:rsid w:val="00275599"/>
    <w:rsid w:val="002907D4"/>
    <w:rsid w:val="002B2AB1"/>
    <w:rsid w:val="002B6DB9"/>
    <w:rsid w:val="002C4163"/>
    <w:rsid w:val="002E577F"/>
    <w:rsid w:val="002F729F"/>
    <w:rsid w:val="003005FD"/>
    <w:rsid w:val="00311493"/>
    <w:rsid w:val="0031156B"/>
    <w:rsid w:val="00312640"/>
    <w:rsid w:val="00316907"/>
    <w:rsid w:val="003205F2"/>
    <w:rsid w:val="00335E2D"/>
    <w:rsid w:val="00386A1F"/>
    <w:rsid w:val="00387D5A"/>
    <w:rsid w:val="003A267E"/>
    <w:rsid w:val="003C17FF"/>
    <w:rsid w:val="003C378E"/>
    <w:rsid w:val="003C417B"/>
    <w:rsid w:val="003D1BBF"/>
    <w:rsid w:val="003D2BBC"/>
    <w:rsid w:val="003E4A78"/>
    <w:rsid w:val="003E5919"/>
    <w:rsid w:val="00410EA4"/>
    <w:rsid w:val="00432358"/>
    <w:rsid w:val="00432D6D"/>
    <w:rsid w:val="004346BB"/>
    <w:rsid w:val="004540A5"/>
    <w:rsid w:val="00454A92"/>
    <w:rsid w:val="00455F8B"/>
    <w:rsid w:val="004606B7"/>
    <w:rsid w:val="00471370"/>
    <w:rsid w:val="00480304"/>
    <w:rsid w:val="00483E78"/>
    <w:rsid w:val="00496030"/>
    <w:rsid w:val="004C74C4"/>
    <w:rsid w:val="004D3E2A"/>
    <w:rsid w:val="004D7098"/>
    <w:rsid w:val="004E5729"/>
    <w:rsid w:val="00505A82"/>
    <w:rsid w:val="00510DAE"/>
    <w:rsid w:val="0052076D"/>
    <w:rsid w:val="00531C12"/>
    <w:rsid w:val="00534A4E"/>
    <w:rsid w:val="005A47E2"/>
    <w:rsid w:val="005D1050"/>
    <w:rsid w:val="005D1258"/>
    <w:rsid w:val="005D18A3"/>
    <w:rsid w:val="005E4541"/>
    <w:rsid w:val="005F0507"/>
    <w:rsid w:val="005F1735"/>
    <w:rsid w:val="005F2B00"/>
    <w:rsid w:val="005F3168"/>
    <w:rsid w:val="005F4320"/>
    <w:rsid w:val="0060523B"/>
    <w:rsid w:val="00607AF4"/>
    <w:rsid w:val="00607D10"/>
    <w:rsid w:val="00611C9A"/>
    <w:rsid w:val="00613287"/>
    <w:rsid w:val="006309BC"/>
    <w:rsid w:val="00631571"/>
    <w:rsid w:val="00633E56"/>
    <w:rsid w:val="00653203"/>
    <w:rsid w:val="00655BB8"/>
    <w:rsid w:val="00666067"/>
    <w:rsid w:val="00670A12"/>
    <w:rsid w:val="00671850"/>
    <w:rsid w:val="006725CF"/>
    <w:rsid w:val="0067624A"/>
    <w:rsid w:val="00684556"/>
    <w:rsid w:val="00690F2B"/>
    <w:rsid w:val="00694CD4"/>
    <w:rsid w:val="006A1350"/>
    <w:rsid w:val="006A3973"/>
    <w:rsid w:val="006C0463"/>
    <w:rsid w:val="006C18CC"/>
    <w:rsid w:val="006C62D4"/>
    <w:rsid w:val="006D0EF5"/>
    <w:rsid w:val="006D1247"/>
    <w:rsid w:val="006D16DC"/>
    <w:rsid w:val="006D2B6D"/>
    <w:rsid w:val="006D4366"/>
    <w:rsid w:val="006D7288"/>
    <w:rsid w:val="006E56B1"/>
    <w:rsid w:val="006E7DE8"/>
    <w:rsid w:val="006F5BB5"/>
    <w:rsid w:val="006F68B2"/>
    <w:rsid w:val="007044BB"/>
    <w:rsid w:val="007107F7"/>
    <w:rsid w:val="007108D0"/>
    <w:rsid w:val="00725909"/>
    <w:rsid w:val="00732B5E"/>
    <w:rsid w:val="0075321B"/>
    <w:rsid w:val="00763C42"/>
    <w:rsid w:val="00766D4E"/>
    <w:rsid w:val="0077395F"/>
    <w:rsid w:val="0078076E"/>
    <w:rsid w:val="00793638"/>
    <w:rsid w:val="00794959"/>
    <w:rsid w:val="007976CF"/>
    <w:rsid w:val="007B541E"/>
    <w:rsid w:val="007C0B5A"/>
    <w:rsid w:val="007D5177"/>
    <w:rsid w:val="007E0D90"/>
    <w:rsid w:val="00801A9C"/>
    <w:rsid w:val="00825AE3"/>
    <w:rsid w:val="0084136D"/>
    <w:rsid w:val="00842327"/>
    <w:rsid w:val="008605DC"/>
    <w:rsid w:val="0086136B"/>
    <w:rsid w:val="00861F9A"/>
    <w:rsid w:val="0086379D"/>
    <w:rsid w:val="008679FA"/>
    <w:rsid w:val="008701AB"/>
    <w:rsid w:val="00871C48"/>
    <w:rsid w:val="008805C0"/>
    <w:rsid w:val="008903CE"/>
    <w:rsid w:val="008915E3"/>
    <w:rsid w:val="00896A4D"/>
    <w:rsid w:val="008B564E"/>
    <w:rsid w:val="008C08E8"/>
    <w:rsid w:val="008C0AE9"/>
    <w:rsid w:val="008D0A37"/>
    <w:rsid w:val="008D6A6E"/>
    <w:rsid w:val="008D6CDE"/>
    <w:rsid w:val="008E178C"/>
    <w:rsid w:val="008E3B21"/>
    <w:rsid w:val="009068A0"/>
    <w:rsid w:val="00907C9F"/>
    <w:rsid w:val="009100B8"/>
    <w:rsid w:val="009173CA"/>
    <w:rsid w:val="009230DD"/>
    <w:rsid w:val="009314B9"/>
    <w:rsid w:val="009439DE"/>
    <w:rsid w:val="00947240"/>
    <w:rsid w:val="009508D4"/>
    <w:rsid w:val="00955737"/>
    <w:rsid w:val="00955804"/>
    <w:rsid w:val="009660B4"/>
    <w:rsid w:val="009669CE"/>
    <w:rsid w:val="009736DA"/>
    <w:rsid w:val="0097547D"/>
    <w:rsid w:val="00980865"/>
    <w:rsid w:val="00983678"/>
    <w:rsid w:val="009838C6"/>
    <w:rsid w:val="009941B6"/>
    <w:rsid w:val="00994A74"/>
    <w:rsid w:val="00994D69"/>
    <w:rsid w:val="009B166A"/>
    <w:rsid w:val="009C4EBF"/>
    <w:rsid w:val="009D02CD"/>
    <w:rsid w:val="009D3CA4"/>
    <w:rsid w:val="009D60EE"/>
    <w:rsid w:val="009F1A56"/>
    <w:rsid w:val="009F3A27"/>
    <w:rsid w:val="009F4544"/>
    <w:rsid w:val="00A0486B"/>
    <w:rsid w:val="00A103AC"/>
    <w:rsid w:val="00A10424"/>
    <w:rsid w:val="00A12ABB"/>
    <w:rsid w:val="00A25055"/>
    <w:rsid w:val="00A30E74"/>
    <w:rsid w:val="00A353DB"/>
    <w:rsid w:val="00A41919"/>
    <w:rsid w:val="00A4507B"/>
    <w:rsid w:val="00A46D05"/>
    <w:rsid w:val="00A47A1F"/>
    <w:rsid w:val="00A53598"/>
    <w:rsid w:val="00A630C0"/>
    <w:rsid w:val="00A66389"/>
    <w:rsid w:val="00A717A6"/>
    <w:rsid w:val="00A83384"/>
    <w:rsid w:val="00A91889"/>
    <w:rsid w:val="00A91E48"/>
    <w:rsid w:val="00AA5C0A"/>
    <w:rsid w:val="00AB5D02"/>
    <w:rsid w:val="00AC49AD"/>
    <w:rsid w:val="00AC50AB"/>
    <w:rsid w:val="00AC5E86"/>
    <w:rsid w:val="00AC7887"/>
    <w:rsid w:val="00AD223A"/>
    <w:rsid w:val="00AD2DE9"/>
    <w:rsid w:val="00AD4238"/>
    <w:rsid w:val="00AD54D8"/>
    <w:rsid w:val="00AD6602"/>
    <w:rsid w:val="00AE5744"/>
    <w:rsid w:val="00AF7F12"/>
    <w:rsid w:val="00B0219B"/>
    <w:rsid w:val="00B103F4"/>
    <w:rsid w:val="00B172B4"/>
    <w:rsid w:val="00B238E2"/>
    <w:rsid w:val="00B2793E"/>
    <w:rsid w:val="00B36931"/>
    <w:rsid w:val="00B36FDC"/>
    <w:rsid w:val="00B45BFA"/>
    <w:rsid w:val="00B5271B"/>
    <w:rsid w:val="00B52C23"/>
    <w:rsid w:val="00B620DF"/>
    <w:rsid w:val="00B654CB"/>
    <w:rsid w:val="00B80A5C"/>
    <w:rsid w:val="00B858C4"/>
    <w:rsid w:val="00B86706"/>
    <w:rsid w:val="00B8718D"/>
    <w:rsid w:val="00BA5CA0"/>
    <w:rsid w:val="00BB5D3A"/>
    <w:rsid w:val="00BC6E55"/>
    <w:rsid w:val="00BC7BC4"/>
    <w:rsid w:val="00BD4CC0"/>
    <w:rsid w:val="00BD7DB8"/>
    <w:rsid w:val="00BE1287"/>
    <w:rsid w:val="00BE1928"/>
    <w:rsid w:val="00BE23FC"/>
    <w:rsid w:val="00BE2B74"/>
    <w:rsid w:val="00C161EF"/>
    <w:rsid w:val="00C3606D"/>
    <w:rsid w:val="00C36796"/>
    <w:rsid w:val="00C4183E"/>
    <w:rsid w:val="00C47D70"/>
    <w:rsid w:val="00C61B94"/>
    <w:rsid w:val="00C70495"/>
    <w:rsid w:val="00C766A2"/>
    <w:rsid w:val="00C83C34"/>
    <w:rsid w:val="00C953A0"/>
    <w:rsid w:val="00C96103"/>
    <w:rsid w:val="00C975B9"/>
    <w:rsid w:val="00CA231E"/>
    <w:rsid w:val="00CB0640"/>
    <w:rsid w:val="00CB611A"/>
    <w:rsid w:val="00CB66F1"/>
    <w:rsid w:val="00CB690F"/>
    <w:rsid w:val="00CC1B1B"/>
    <w:rsid w:val="00CE06C2"/>
    <w:rsid w:val="00CE66AB"/>
    <w:rsid w:val="00CF352E"/>
    <w:rsid w:val="00CF5D05"/>
    <w:rsid w:val="00D067BF"/>
    <w:rsid w:val="00D070A1"/>
    <w:rsid w:val="00D13770"/>
    <w:rsid w:val="00D209D9"/>
    <w:rsid w:val="00D347DD"/>
    <w:rsid w:val="00D3567A"/>
    <w:rsid w:val="00D430E7"/>
    <w:rsid w:val="00D4313D"/>
    <w:rsid w:val="00D60ED3"/>
    <w:rsid w:val="00D6244F"/>
    <w:rsid w:val="00D7518F"/>
    <w:rsid w:val="00D83560"/>
    <w:rsid w:val="00D87FE4"/>
    <w:rsid w:val="00D92DD6"/>
    <w:rsid w:val="00DA34E7"/>
    <w:rsid w:val="00DA4EC3"/>
    <w:rsid w:val="00DB04E7"/>
    <w:rsid w:val="00DB1665"/>
    <w:rsid w:val="00DB2206"/>
    <w:rsid w:val="00DB4488"/>
    <w:rsid w:val="00DB71E3"/>
    <w:rsid w:val="00DC2C94"/>
    <w:rsid w:val="00DD12AB"/>
    <w:rsid w:val="00DD1AF4"/>
    <w:rsid w:val="00DD67E6"/>
    <w:rsid w:val="00DD6EDF"/>
    <w:rsid w:val="00E004A0"/>
    <w:rsid w:val="00E05630"/>
    <w:rsid w:val="00E077AA"/>
    <w:rsid w:val="00E217C8"/>
    <w:rsid w:val="00E25C61"/>
    <w:rsid w:val="00E417EC"/>
    <w:rsid w:val="00E42014"/>
    <w:rsid w:val="00E42DE5"/>
    <w:rsid w:val="00E6486E"/>
    <w:rsid w:val="00E72F6D"/>
    <w:rsid w:val="00E75198"/>
    <w:rsid w:val="00E80C26"/>
    <w:rsid w:val="00E87D4A"/>
    <w:rsid w:val="00E9310A"/>
    <w:rsid w:val="00E9481C"/>
    <w:rsid w:val="00EA221A"/>
    <w:rsid w:val="00EA41F7"/>
    <w:rsid w:val="00EB10B7"/>
    <w:rsid w:val="00EB5D1D"/>
    <w:rsid w:val="00EB63F5"/>
    <w:rsid w:val="00EC1B7E"/>
    <w:rsid w:val="00ED1823"/>
    <w:rsid w:val="00ED45DC"/>
    <w:rsid w:val="00ED4838"/>
    <w:rsid w:val="00EE5553"/>
    <w:rsid w:val="00EE5E5D"/>
    <w:rsid w:val="00EF1659"/>
    <w:rsid w:val="00EF189F"/>
    <w:rsid w:val="00F03E00"/>
    <w:rsid w:val="00F204EC"/>
    <w:rsid w:val="00F2492B"/>
    <w:rsid w:val="00F30CE1"/>
    <w:rsid w:val="00F327C0"/>
    <w:rsid w:val="00F43C18"/>
    <w:rsid w:val="00F4610C"/>
    <w:rsid w:val="00F47521"/>
    <w:rsid w:val="00F4776D"/>
    <w:rsid w:val="00F5207C"/>
    <w:rsid w:val="00F54619"/>
    <w:rsid w:val="00F55543"/>
    <w:rsid w:val="00F56A4A"/>
    <w:rsid w:val="00F77D8C"/>
    <w:rsid w:val="00F807B6"/>
    <w:rsid w:val="00F81FB8"/>
    <w:rsid w:val="00F8751C"/>
    <w:rsid w:val="00F93DED"/>
    <w:rsid w:val="00FA2A80"/>
    <w:rsid w:val="00FA7376"/>
    <w:rsid w:val="00FB21F4"/>
    <w:rsid w:val="00FB6EBB"/>
    <w:rsid w:val="00FC71A0"/>
    <w:rsid w:val="00FD4BE6"/>
    <w:rsid w:val="00FE6E51"/>
    <w:rsid w:val="00FF076D"/>
    <w:rsid w:val="00FF4142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46E7"/>
  <w15:docId w15:val="{06E6CD1A-253C-4957-83BA-717EEE3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aliases w:val="1 ур. Заголовок,новая страница,Знак,01_Заголовок,Hfdst 1,Kopf Firma,Chapter Heading,Глава,Заголовок 1 Знак Знак,Заголовок 1 Знак1 Знак,Заголовок 1 Знак1 Знак Знак Знак,Times New Roman,16 пт,Перед:  6 пт,После... + Times New Roma...,H1"/>
    <w:basedOn w:val="a0"/>
    <w:next w:val="a"/>
    <w:link w:val="10"/>
    <w:qFormat/>
    <w:rsid w:val="00B238E2"/>
    <w:pPr>
      <w:numPr>
        <w:numId w:val="28"/>
      </w:numPr>
      <w:spacing w:after="0" w:line="240" w:lineRule="auto"/>
      <w:ind w:left="851" w:hanging="2138"/>
      <w:jc w:val="both"/>
      <w:outlineLvl w:val="0"/>
    </w:pPr>
    <w:rPr>
      <w:rFonts w:ascii="Times New Roman" w:eastAsia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217C8"/>
    <w:rPr>
      <w:rFonts w:ascii="Tahoma" w:hAnsi="Tahoma" w:cs="Tahoma"/>
      <w:sz w:val="16"/>
      <w:szCs w:val="16"/>
    </w:rPr>
  </w:style>
  <w:style w:type="paragraph" w:styleId="a0">
    <w:name w:val="List Paragraph"/>
    <w:aliases w:val="ПАРАГРАФ"/>
    <w:basedOn w:val="a"/>
    <w:link w:val="a6"/>
    <w:uiPriority w:val="34"/>
    <w:qFormat/>
    <w:rsid w:val="001A7F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B04E7"/>
  </w:style>
  <w:style w:type="paragraph" w:styleId="a9">
    <w:name w:val="footer"/>
    <w:basedOn w:val="a"/>
    <w:link w:val="aa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B04E7"/>
  </w:style>
  <w:style w:type="paragraph" w:styleId="ab">
    <w:name w:val="Body Text Indent"/>
    <w:basedOn w:val="a"/>
    <w:link w:val="ac"/>
    <w:rsid w:val="006F5BB5"/>
    <w:pPr>
      <w:spacing w:after="0" w:line="240" w:lineRule="auto"/>
      <w:ind w:firstLine="70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6F5BB5"/>
    <w:rPr>
      <w:rFonts w:ascii="TimesET" w:eastAsia="Times New Roman" w:hAnsi="TimesET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FC71A0"/>
    <w:rPr>
      <w:b/>
      <w:bCs/>
    </w:rPr>
  </w:style>
  <w:style w:type="character" w:customStyle="1" w:styleId="a6">
    <w:name w:val="Абзац списка Знак"/>
    <w:aliases w:val="ПАРАГРАФ Знак"/>
    <w:link w:val="a0"/>
    <w:uiPriority w:val="34"/>
    <w:locked/>
    <w:rsid w:val="000457B6"/>
  </w:style>
  <w:style w:type="character" w:customStyle="1" w:styleId="10">
    <w:name w:val="Заголовок 1 Знак"/>
    <w:aliases w:val="1 ур. Заголовок Знак,новая страница Знак,Знак Знак,01_Заголовок Знак,Hfdst 1 Знак,Kopf Firma Знак,Chapter Heading Знак,Глава Знак,Заголовок 1 Знак Знак Знак,Заголовок 1 Знак1 Знак Знак,Заголовок 1 Знак1 Знак Знак Знак Знак,16 пт Знак"/>
    <w:basedOn w:val="a1"/>
    <w:link w:val="1"/>
    <w:rsid w:val="00B238E2"/>
    <w:rPr>
      <w:rFonts w:ascii="Times New Roman" w:eastAsia="Times New Roman" w:hAnsi="Times New Roman" w:cs="Times New Roman"/>
      <w:sz w:val="24"/>
    </w:rPr>
  </w:style>
  <w:style w:type="character" w:customStyle="1" w:styleId="2">
    <w:name w:val="Текст отчета 2 Знак"/>
    <w:link w:val="20"/>
    <w:locked/>
    <w:rsid w:val="00B238E2"/>
    <w:rPr>
      <w:rFonts w:ascii="Times New Roman" w:eastAsia="Times New Roman" w:hAnsi="Times New Roman" w:cs="Times New Roman"/>
      <w:sz w:val="24"/>
      <w:szCs w:val="28"/>
      <w:lang w:bidi="en-US"/>
    </w:rPr>
  </w:style>
  <w:style w:type="paragraph" w:customStyle="1" w:styleId="20">
    <w:name w:val="Текст отчета 2"/>
    <w:basedOn w:val="a"/>
    <w:link w:val="2"/>
    <w:qFormat/>
    <w:rsid w:val="00B238E2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customStyle="1" w:styleId="new0">
    <w:name w:val="Список new Знак"/>
    <w:link w:val="new"/>
    <w:locked/>
    <w:rsid w:val="00B238E2"/>
    <w:rPr>
      <w:rFonts w:ascii="Times New Roman" w:eastAsia="Times New Roman" w:hAnsi="Times New Roman" w:cs="Times New Roman"/>
      <w:color w:val="000000"/>
      <w:sz w:val="24"/>
      <w:szCs w:val="28"/>
      <w:lang w:bidi="en-US"/>
    </w:rPr>
  </w:style>
  <w:style w:type="paragraph" w:customStyle="1" w:styleId="new">
    <w:name w:val="Список new"/>
    <w:basedOn w:val="ab"/>
    <w:link w:val="new0"/>
    <w:qFormat/>
    <w:rsid w:val="00B238E2"/>
    <w:pPr>
      <w:numPr>
        <w:numId w:val="29"/>
      </w:numPr>
      <w:spacing w:line="276" w:lineRule="auto"/>
      <w:contextualSpacing/>
      <w:jc w:val="left"/>
    </w:pPr>
    <w:rPr>
      <w:rFonts w:ascii="Times New Roman" w:hAnsi="Times New Roman"/>
      <w:color w:val="000000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8AB7-D36E-4EC4-B9D9-2A29E3F7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Турзанова Ольга Николаевна</cp:lastModifiedBy>
  <cp:revision>2</cp:revision>
  <cp:lastPrinted>2024-06-27T10:57:00Z</cp:lastPrinted>
  <dcterms:created xsi:type="dcterms:W3CDTF">2024-06-27T10:58:00Z</dcterms:created>
  <dcterms:modified xsi:type="dcterms:W3CDTF">2024-06-27T10:58:00Z</dcterms:modified>
</cp:coreProperties>
</file>