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E2622" w:rsidRPr="004E2622" w:rsidTr="001278AA">
        <w:trPr>
          <w:cantSplit/>
          <w:trHeight w:val="253"/>
        </w:trPr>
        <w:tc>
          <w:tcPr>
            <w:tcW w:w="4195" w:type="dxa"/>
            <w:hideMark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E5F114" wp14:editId="125E72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622" w:rsidRPr="004E2622" w:rsidTr="001278AA">
        <w:trPr>
          <w:cantSplit/>
          <w:trHeight w:val="1617"/>
        </w:trPr>
        <w:tc>
          <w:tcPr>
            <w:tcW w:w="4195" w:type="dxa"/>
          </w:tcPr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B802F8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622" w:rsidRPr="004E2622" w:rsidRDefault="004E2622" w:rsidP="004E2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4E2622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2D3204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E2622"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4E2622" w:rsidRPr="004E2622" w:rsidRDefault="004E2622" w:rsidP="004E2622">
            <w:pPr>
              <w:pStyle w:val="a8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framePr w:w="7037" w:h="1134" w:hSpace="141" w:wrap="around" w:vAnchor="text" w:hAnchor="page" w:x="1150" w:y="256"/>
        <w:spacing w:after="0" w:line="240" w:lineRule="auto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proofErr w:type="gramEnd"/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E262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4B71DE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E262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71DE">
        <w:rPr>
          <w:rFonts w:ascii="Times New Roman" w:hAnsi="Times New Roman" w:cs="Times New Roman"/>
          <w:sz w:val="24"/>
          <w:szCs w:val="24"/>
        </w:rPr>
        <w:t>»</w:t>
      </w:r>
      <w:r w:rsidRPr="004E262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29 декабря 2022 № 1095 «Об утверждении Правил определения требований к закупаемым муниципальными органами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указанным органам казенными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бюджетными учреждениями</w:t>
      </w:r>
      <w:proofErr w:type="gramEnd"/>
      <w:r w:rsidRPr="004E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отдельным видам товаров, работ, услуг (в том числе предельных цен товаров, работ, услуг)»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постановляет: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Перечень).</w:t>
      </w:r>
      <w:bookmarkStart w:id="0" w:name="P21"/>
      <w:bookmarkStart w:id="1" w:name="P22"/>
      <w:bookmarkEnd w:id="0"/>
      <w:bookmarkEnd w:id="1"/>
      <w:proofErr w:type="gramEnd"/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Требования к закупаемым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отдельным видам товаров, работ, услуг (в том числе предельные </w:t>
      </w:r>
      <w:r w:rsidRPr="004E2622">
        <w:rPr>
          <w:rFonts w:ascii="Times New Roman" w:hAnsi="Times New Roman" w:cs="Times New Roman"/>
          <w:sz w:val="24"/>
          <w:szCs w:val="24"/>
        </w:rPr>
        <w:lastRenderedPageBreak/>
        <w:t xml:space="preserve">цены товаров, работ, услуг) утверждаются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форме Перечня.</w:t>
      </w:r>
      <w:proofErr w:type="gramEnd"/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3. Требования к отдельным видам товаров, работ, услуг (в том числе предельные цены товаров, работ, услуг) применяются следующими заказчиками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"Информационно-ресурсный центр культуры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округа";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"Централизованная система библиотечного и архивного дела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округа";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финансово-хозяйственного обеспечения"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Юманайское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Агрохимсервис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>».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24.10.2018 № 593 «О</w:t>
      </w:r>
      <w:r w:rsidRPr="004E2622">
        <w:rPr>
          <w:rFonts w:ascii="Times New Roman" w:hAnsi="Times New Roman" w:cs="Times New Roman"/>
          <w:bCs/>
          <w:sz w:val="24"/>
          <w:szCs w:val="24"/>
        </w:rPr>
        <w:t xml:space="preserve">б утверждении перечня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услуг)»;</w:t>
      </w:r>
      <w:proofErr w:type="gramEnd"/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bCs/>
          <w:sz w:val="24"/>
          <w:szCs w:val="24"/>
        </w:rPr>
        <w:tab/>
      </w:r>
      <w:r w:rsidRPr="004E26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26.03.2019 № 224 «О внесении изменений в 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от 24.10.2018 № 593».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    </w:t>
      </w:r>
    </w:p>
    <w:p w:rsid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01" w:rsidRDefault="00411401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Default="004E2622" w:rsidP="004E2622">
      <w:pPr>
        <w:sectPr w:rsidR="004E2622" w:rsidSect="00411401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2" w:name="_GoBack"/>
      <w:bookmarkEnd w:id="2"/>
    </w:p>
    <w:p w:rsidR="00CB1895" w:rsidRPr="003D451C" w:rsidRDefault="00772E46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772E46" w:rsidRPr="003D451C" w:rsidRDefault="00241F51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t>постановлением ад</w:t>
      </w:r>
      <w:r w:rsidR="007070F1" w:rsidRPr="003D451C">
        <w:rPr>
          <w:rFonts w:ascii="Times New Roman" w:hAnsi="Times New Roman" w:cs="Times New Roman"/>
          <w:sz w:val="18"/>
          <w:szCs w:val="18"/>
        </w:rPr>
        <w:t xml:space="preserve">министрации </w:t>
      </w:r>
      <w:proofErr w:type="spellStart"/>
      <w:r w:rsidR="007070F1" w:rsidRPr="003D451C">
        <w:rPr>
          <w:rFonts w:ascii="Times New Roman" w:hAnsi="Times New Roman" w:cs="Times New Roman"/>
          <w:sz w:val="18"/>
          <w:szCs w:val="18"/>
        </w:rPr>
        <w:t>Шумерлинского</w:t>
      </w:r>
      <w:proofErr w:type="spellEnd"/>
      <w:r w:rsidR="007070F1" w:rsidRPr="003D451C">
        <w:rPr>
          <w:rFonts w:ascii="Times New Roman" w:hAnsi="Times New Roman" w:cs="Times New Roman"/>
          <w:sz w:val="18"/>
          <w:szCs w:val="18"/>
        </w:rPr>
        <w:t xml:space="preserve"> муниципального округа</w:t>
      </w:r>
    </w:p>
    <w:p w:rsidR="008D1F4F" w:rsidRPr="003D451C" w:rsidRDefault="00241F51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t xml:space="preserve"> от </w:t>
      </w:r>
      <w:r w:rsidR="002D3204">
        <w:rPr>
          <w:rFonts w:ascii="Times New Roman" w:hAnsi="Times New Roman" w:cs="Times New Roman"/>
          <w:sz w:val="18"/>
          <w:szCs w:val="18"/>
        </w:rPr>
        <w:t>10</w:t>
      </w:r>
      <w:r w:rsidR="00836729" w:rsidRPr="003D451C">
        <w:rPr>
          <w:rFonts w:ascii="Times New Roman" w:hAnsi="Times New Roman" w:cs="Times New Roman"/>
          <w:sz w:val="18"/>
          <w:szCs w:val="18"/>
        </w:rPr>
        <w:t>.</w:t>
      </w:r>
      <w:r w:rsidR="002D3204">
        <w:rPr>
          <w:rFonts w:ascii="Times New Roman" w:hAnsi="Times New Roman" w:cs="Times New Roman"/>
          <w:sz w:val="18"/>
          <w:szCs w:val="18"/>
        </w:rPr>
        <w:t>02</w:t>
      </w:r>
      <w:r w:rsidR="00836729" w:rsidRPr="003D451C">
        <w:rPr>
          <w:rFonts w:ascii="Times New Roman" w:hAnsi="Times New Roman" w:cs="Times New Roman"/>
          <w:sz w:val="18"/>
          <w:szCs w:val="18"/>
        </w:rPr>
        <w:t>.</w:t>
      </w:r>
      <w:r w:rsidR="004B3637">
        <w:rPr>
          <w:rFonts w:ascii="Times New Roman" w:hAnsi="Times New Roman" w:cs="Times New Roman"/>
          <w:sz w:val="18"/>
          <w:szCs w:val="18"/>
        </w:rPr>
        <w:t>2023</w:t>
      </w:r>
      <w:r w:rsidR="00D038D4" w:rsidRPr="003D451C">
        <w:rPr>
          <w:rFonts w:ascii="Times New Roman" w:hAnsi="Times New Roman" w:cs="Times New Roman"/>
          <w:sz w:val="18"/>
          <w:szCs w:val="18"/>
        </w:rPr>
        <w:t xml:space="preserve"> г.  </w:t>
      </w:r>
      <w:r w:rsidR="008D1F4F" w:rsidRPr="003D451C">
        <w:rPr>
          <w:rFonts w:ascii="Times New Roman" w:hAnsi="Times New Roman" w:cs="Times New Roman"/>
          <w:sz w:val="18"/>
          <w:szCs w:val="18"/>
        </w:rPr>
        <w:t>№</w:t>
      </w:r>
      <w:r w:rsidRPr="003D451C">
        <w:rPr>
          <w:rFonts w:ascii="Times New Roman" w:hAnsi="Times New Roman" w:cs="Times New Roman"/>
          <w:sz w:val="18"/>
          <w:szCs w:val="18"/>
        </w:rPr>
        <w:t xml:space="preserve"> </w:t>
      </w:r>
      <w:r w:rsidR="002D3204">
        <w:rPr>
          <w:rFonts w:ascii="Times New Roman" w:hAnsi="Times New Roman" w:cs="Times New Roman"/>
          <w:sz w:val="18"/>
          <w:szCs w:val="18"/>
        </w:rPr>
        <w:t>88</w:t>
      </w:r>
    </w:p>
    <w:p w:rsidR="008D1F4F" w:rsidRPr="003D451C" w:rsidRDefault="008D1F4F" w:rsidP="003D451C">
      <w:pPr>
        <w:pStyle w:val="ConsPlusNormal"/>
        <w:ind w:left="426" w:right="-71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895" w:rsidRPr="003D451C" w:rsidRDefault="00CB1895" w:rsidP="003D451C">
      <w:pPr>
        <w:pStyle w:val="ConsPlusNormal"/>
        <w:ind w:left="-142" w:firstLine="8506"/>
        <w:jc w:val="both"/>
        <w:rPr>
          <w:rFonts w:ascii="Times New Roman" w:hAnsi="Times New Roman" w:cs="Times New Roman"/>
          <w:sz w:val="18"/>
          <w:szCs w:val="18"/>
        </w:rPr>
      </w:pPr>
    </w:p>
    <w:p w:rsidR="00080552" w:rsidRPr="003D451C" w:rsidRDefault="00080552" w:rsidP="003D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3D451C">
        <w:rPr>
          <w:rFonts w:ascii="Times New Roman" w:eastAsia="Times New Roman" w:hAnsi="Times New Roman" w:cs="Times New Roman"/>
          <w:b/>
          <w:sz w:val="16"/>
          <w:szCs w:val="16"/>
        </w:rPr>
        <w:t>П</w:t>
      </w:r>
      <w:proofErr w:type="gramEnd"/>
      <w:r w:rsidRPr="003D451C">
        <w:rPr>
          <w:rFonts w:ascii="Times New Roman" w:eastAsia="Times New Roman" w:hAnsi="Times New Roman" w:cs="Times New Roman"/>
          <w:b/>
          <w:sz w:val="16"/>
          <w:szCs w:val="16"/>
        </w:rPr>
        <w:t xml:space="preserve"> Е Р Е Ч Е Н Ь</w:t>
      </w:r>
    </w:p>
    <w:p w:rsidR="00080552" w:rsidRPr="003D451C" w:rsidRDefault="00080552" w:rsidP="003D451C">
      <w:pPr>
        <w:pStyle w:val="ConsPlusTitle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отдельных видов товаров, работ, услуг, </w:t>
      </w:r>
      <w:r w:rsidR="00BE5856" w:rsidRPr="003D451C">
        <w:rPr>
          <w:rFonts w:ascii="Times New Roman" w:hAnsi="Times New Roman" w:cs="Times New Roman"/>
          <w:b w:val="0"/>
          <w:sz w:val="16"/>
          <w:szCs w:val="16"/>
        </w:rPr>
        <w:t xml:space="preserve">закупаемых </w:t>
      </w:r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>админ</w:t>
      </w:r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истрацией </w:t>
      </w:r>
      <w:proofErr w:type="spellStart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округа Чувашской </w:t>
      </w:r>
      <w:proofErr w:type="spellStart"/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Ресспублики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,</w:t>
      </w:r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 xml:space="preserve"> подведомственными ей казенными и бюджетными учреждениями </w:t>
      </w:r>
      <w:proofErr w:type="spellStart"/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муниципального округа Чувашской Республики</w:t>
      </w:r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и муниципальными унитарными предприятиями </w:t>
      </w:r>
      <w:proofErr w:type="spellStart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округа Чувашской </w:t>
      </w:r>
      <w:proofErr w:type="gramStart"/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Республики</w:t>
      </w:r>
      <w:proofErr w:type="gramEnd"/>
      <w:r w:rsidR="00BE5856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в отношении которых определяются требования к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потребительски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свойства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(в том числе 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>качеств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у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>) и ины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характеристик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ам (в том числе предельные цены товаров, работ, услуг).</w:t>
      </w:r>
    </w:p>
    <w:p w:rsidR="00080552" w:rsidRPr="003D451C" w:rsidRDefault="00080552" w:rsidP="003D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2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77"/>
        <w:gridCol w:w="727"/>
        <w:gridCol w:w="2152"/>
        <w:gridCol w:w="1150"/>
        <w:gridCol w:w="721"/>
        <w:gridCol w:w="2152"/>
        <w:gridCol w:w="1150"/>
        <w:gridCol w:w="2011"/>
        <w:gridCol w:w="2152"/>
        <w:gridCol w:w="1438"/>
        <w:gridCol w:w="1723"/>
        <w:gridCol w:w="147"/>
      </w:tblGrid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7" w:type="pct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792AA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57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0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417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адм</w:t>
            </w:r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инистрацией </w:t>
            </w:r>
            <w:proofErr w:type="spellStart"/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2236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характеристикам, утвержденные </w:t>
            </w:r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органом </w:t>
            </w:r>
            <w:proofErr w:type="spellStart"/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</w:tr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2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предусмотренного приложением № 2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функциональное назначение*</w:t>
            </w:r>
          </w:p>
        </w:tc>
      </w:tr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D451C" w:rsidRPr="003D451C" w:rsidTr="000F5F83">
        <w:tblPrEx>
          <w:jc w:val="center"/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261" w:type="pct"/>
          <w:jc w:val="center"/>
        </w:trPr>
        <w:tc>
          <w:tcPr>
            <w:tcW w:w="4739" w:type="pct"/>
            <w:gridSpan w:val="11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0F5F8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05"/>
            <w:bookmarkEnd w:id="3"/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бязательный перечень отдельных видов товаров, работ, услуг,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услуг),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предусмотренный Приложением № 2 к Правилам определения требований к закупаемым муниципальными органами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Республики, подведомственными указанным органам казенными учреждениями</w:t>
            </w:r>
            <w:proofErr w:type="gram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Республики, бюджетными учреждениями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и муниципальными унитарными предприятиями 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отдельным видам товаров, работ, услуг (в том числе предельных цен товаров, работ, услуг)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утвержденным постановлением администрации </w:t>
            </w:r>
            <w:proofErr w:type="spellStart"/>
            <w:r w:rsidR="000F5F83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Чувашской Республики от 29.12.2022 № 1095</w:t>
            </w:r>
          </w:p>
        </w:tc>
      </w:tr>
    </w:tbl>
    <w:p w:rsidR="002E2258" w:rsidRPr="003D451C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659" w:type="pct"/>
        <w:tblInd w:w="-8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008"/>
        <w:gridCol w:w="2151"/>
        <w:gridCol w:w="1150"/>
        <w:gridCol w:w="729"/>
        <w:gridCol w:w="2145"/>
        <w:gridCol w:w="1154"/>
        <w:gridCol w:w="2002"/>
        <w:gridCol w:w="2249"/>
        <w:gridCol w:w="1481"/>
        <w:gridCol w:w="1633"/>
      </w:tblGrid>
      <w:tr w:rsidR="003D451C" w:rsidRPr="003D451C" w:rsidTr="00285786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D451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2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1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оперативной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="004735D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5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7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D451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069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6E706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C35B2E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C35B2E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7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DE279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более 12</w:t>
            </w:r>
            <w:r w:rsidR="00A941E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</w:t>
            </w:r>
            <w:r w:rsidR="00E9290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F0B7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7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12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поддерживаемые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12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7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8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41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A286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52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3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7.6.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7B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7B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7.7.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0A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0A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170A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170A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7.9.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3 0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63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54" w:right="-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54" w:right="-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F801F5">
        <w:trPr>
          <w:trHeight w:val="16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F801F5">
        <w:trPr>
          <w:trHeight w:val="277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66D0">
        <w:trPr>
          <w:trHeight w:val="12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8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0B0558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73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401D00">
        <w:trPr>
          <w:trHeight w:val="2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5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3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50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41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32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9C6480">
        <w:trPr>
          <w:trHeight w:val="37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37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9C6480">
        <w:trPr>
          <w:trHeight w:val="2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26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12.2.</w:t>
            </w:r>
          </w:p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</w:t>
            </w:r>
            <w:r w:rsidR="0004071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</w:t>
            </w:r>
            <w:r w:rsidR="0004071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13.6.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97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411401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7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411401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11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411401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7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411401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411401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30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411401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30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411401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15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411401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15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411401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411401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41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5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B3630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0E6D2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5027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7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5027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1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0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7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юридических и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67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Федеральному закону «О персональных данных» приложений, содержащих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9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9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20.6.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99"/>
        </w:trPr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телекоммуникационные прочие.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Пояснения по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требуемым услугам: оказание услуг по предоставлению высокоскоростного доступа в информационно-телекоммуни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кационную сеть «Интернет»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992E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максимальная скорость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максимальная скорость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1CCF" w:rsidRPr="003D451C" w:rsidRDefault="00651CCF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2258" w:rsidRPr="003D451C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2E2258" w:rsidRPr="003D451C" w:rsidSect="0088588C">
      <w:pgSz w:w="16838" w:h="11905" w:orient="landscape"/>
      <w:pgMar w:top="850" w:right="1560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7"/>
    <w:rsid w:val="00026E17"/>
    <w:rsid w:val="00040717"/>
    <w:rsid w:val="00057D91"/>
    <w:rsid w:val="0006161C"/>
    <w:rsid w:val="000624A2"/>
    <w:rsid w:val="00064377"/>
    <w:rsid w:val="00080552"/>
    <w:rsid w:val="000B0558"/>
    <w:rsid w:val="000C54BA"/>
    <w:rsid w:val="000C5DA4"/>
    <w:rsid w:val="000D634C"/>
    <w:rsid w:val="000E6D2C"/>
    <w:rsid w:val="000F4B36"/>
    <w:rsid w:val="000F568E"/>
    <w:rsid w:val="000F5F83"/>
    <w:rsid w:val="00103AEC"/>
    <w:rsid w:val="00113F94"/>
    <w:rsid w:val="00117D38"/>
    <w:rsid w:val="001278AA"/>
    <w:rsid w:val="001336AF"/>
    <w:rsid w:val="0014167A"/>
    <w:rsid w:val="00145346"/>
    <w:rsid w:val="0014781C"/>
    <w:rsid w:val="0015783F"/>
    <w:rsid w:val="00166A35"/>
    <w:rsid w:val="00170A79"/>
    <w:rsid w:val="001732CD"/>
    <w:rsid w:val="0017588E"/>
    <w:rsid w:val="00180A34"/>
    <w:rsid w:val="00181628"/>
    <w:rsid w:val="001818BB"/>
    <w:rsid w:val="0018204A"/>
    <w:rsid w:val="00187A3C"/>
    <w:rsid w:val="0019412B"/>
    <w:rsid w:val="00194E83"/>
    <w:rsid w:val="001B4039"/>
    <w:rsid w:val="001D6D07"/>
    <w:rsid w:val="001E2638"/>
    <w:rsid w:val="001E5648"/>
    <w:rsid w:val="001F299B"/>
    <w:rsid w:val="00201AFF"/>
    <w:rsid w:val="002076BD"/>
    <w:rsid w:val="002170FF"/>
    <w:rsid w:val="00220428"/>
    <w:rsid w:val="00225096"/>
    <w:rsid w:val="00241F51"/>
    <w:rsid w:val="00243BC5"/>
    <w:rsid w:val="0024591B"/>
    <w:rsid w:val="0025406A"/>
    <w:rsid w:val="00256AC2"/>
    <w:rsid w:val="002824D9"/>
    <w:rsid w:val="002851BA"/>
    <w:rsid w:val="00285786"/>
    <w:rsid w:val="0029476B"/>
    <w:rsid w:val="002A120F"/>
    <w:rsid w:val="002B105B"/>
    <w:rsid w:val="002B145E"/>
    <w:rsid w:val="002D3204"/>
    <w:rsid w:val="002D7367"/>
    <w:rsid w:val="002E2258"/>
    <w:rsid w:val="002F03DD"/>
    <w:rsid w:val="00307CD9"/>
    <w:rsid w:val="003225B7"/>
    <w:rsid w:val="00331E79"/>
    <w:rsid w:val="0034022E"/>
    <w:rsid w:val="00352EF2"/>
    <w:rsid w:val="003B4387"/>
    <w:rsid w:val="003D451C"/>
    <w:rsid w:val="003D66D0"/>
    <w:rsid w:val="003E70A1"/>
    <w:rsid w:val="00400223"/>
    <w:rsid w:val="004004F4"/>
    <w:rsid w:val="00401D00"/>
    <w:rsid w:val="00411401"/>
    <w:rsid w:val="00415445"/>
    <w:rsid w:val="004327E5"/>
    <w:rsid w:val="00437AA6"/>
    <w:rsid w:val="00457D31"/>
    <w:rsid w:val="004600E4"/>
    <w:rsid w:val="004735D4"/>
    <w:rsid w:val="004813A1"/>
    <w:rsid w:val="00481AB3"/>
    <w:rsid w:val="004A0D90"/>
    <w:rsid w:val="004A1211"/>
    <w:rsid w:val="004B3637"/>
    <w:rsid w:val="004B3F37"/>
    <w:rsid w:val="004B4190"/>
    <w:rsid w:val="004B4C14"/>
    <w:rsid w:val="004B71DE"/>
    <w:rsid w:val="004C5361"/>
    <w:rsid w:val="004D3EC6"/>
    <w:rsid w:val="004D5D2C"/>
    <w:rsid w:val="004D77DD"/>
    <w:rsid w:val="004E2622"/>
    <w:rsid w:val="004E4FA8"/>
    <w:rsid w:val="004E6A3B"/>
    <w:rsid w:val="004E715B"/>
    <w:rsid w:val="004F010A"/>
    <w:rsid w:val="004F3A38"/>
    <w:rsid w:val="004F440F"/>
    <w:rsid w:val="00503239"/>
    <w:rsid w:val="0050447F"/>
    <w:rsid w:val="0051092C"/>
    <w:rsid w:val="005224F0"/>
    <w:rsid w:val="005257DA"/>
    <w:rsid w:val="00531768"/>
    <w:rsid w:val="00532C13"/>
    <w:rsid w:val="00546B9F"/>
    <w:rsid w:val="0055694E"/>
    <w:rsid w:val="0055785F"/>
    <w:rsid w:val="005806E6"/>
    <w:rsid w:val="0059783E"/>
    <w:rsid w:val="005C571D"/>
    <w:rsid w:val="005D2317"/>
    <w:rsid w:val="005D6190"/>
    <w:rsid w:val="005E57AC"/>
    <w:rsid w:val="005F1513"/>
    <w:rsid w:val="005F1F7D"/>
    <w:rsid w:val="0060639A"/>
    <w:rsid w:val="00613EA6"/>
    <w:rsid w:val="00631C1C"/>
    <w:rsid w:val="00634FBA"/>
    <w:rsid w:val="00641782"/>
    <w:rsid w:val="006458C9"/>
    <w:rsid w:val="00646059"/>
    <w:rsid w:val="00651CCF"/>
    <w:rsid w:val="00682756"/>
    <w:rsid w:val="006A1F78"/>
    <w:rsid w:val="006A63DD"/>
    <w:rsid w:val="006B1D52"/>
    <w:rsid w:val="006B2971"/>
    <w:rsid w:val="006C0F6B"/>
    <w:rsid w:val="006D6F01"/>
    <w:rsid w:val="006E554D"/>
    <w:rsid w:val="006E7069"/>
    <w:rsid w:val="006F09AC"/>
    <w:rsid w:val="006F0B47"/>
    <w:rsid w:val="006F464A"/>
    <w:rsid w:val="006F5696"/>
    <w:rsid w:val="007070F1"/>
    <w:rsid w:val="00715C7B"/>
    <w:rsid w:val="0072293D"/>
    <w:rsid w:val="00743B5C"/>
    <w:rsid w:val="0076430A"/>
    <w:rsid w:val="00772E46"/>
    <w:rsid w:val="00781DDB"/>
    <w:rsid w:val="00792AA5"/>
    <w:rsid w:val="007A5A4E"/>
    <w:rsid w:val="007C1CBB"/>
    <w:rsid w:val="007C2B6B"/>
    <w:rsid w:val="007D146F"/>
    <w:rsid w:val="007D3432"/>
    <w:rsid w:val="007E5F23"/>
    <w:rsid w:val="007F0F5A"/>
    <w:rsid w:val="007F1950"/>
    <w:rsid w:val="007F21CF"/>
    <w:rsid w:val="007F72D1"/>
    <w:rsid w:val="00800B54"/>
    <w:rsid w:val="00810029"/>
    <w:rsid w:val="00836729"/>
    <w:rsid w:val="008566EA"/>
    <w:rsid w:val="008737FF"/>
    <w:rsid w:val="0088588C"/>
    <w:rsid w:val="00892550"/>
    <w:rsid w:val="008A0023"/>
    <w:rsid w:val="008C494D"/>
    <w:rsid w:val="008C49CB"/>
    <w:rsid w:val="008D1F4F"/>
    <w:rsid w:val="008D52A9"/>
    <w:rsid w:val="008E3A68"/>
    <w:rsid w:val="008E7D6C"/>
    <w:rsid w:val="008F0B7F"/>
    <w:rsid w:val="008F4C22"/>
    <w:rsid w:val="00905C4E"/>
    <w:rsid w:val="00921767"/>
    <w:rsid w:val="00921C0F"/>
    <w:rsid w:val="00945860"/>
    <w:rsid w:val="009525EC"/>
    <w:rsid w:val="00983DD0"/>
    <w:rsid w:val="00985C51"/>
    <w:rsid w:val="00987F48"/>
    <w:rsid w:val="00992E1B"/>
    <w:rsid w:val="009B1A6F"/>
    <w:rsid w:val="009B429C"/>
    <w:rsid w:val="009C6480"/>
    <w:rsid w:val="009D65FF"/>
    <w:rsid w:val="009D7C9A"/>
    <w:rsid w:val="009F1BF7"/>
    <w:rsid w:val="00A34AD8"/>
    <w:rsid w:val="00A67B78"/>
    <w:rsid w:val="00A711FE"/>
    <w:rsid w:val="00A8440B"/>
    <w:rsid w:val="00A85259"/>
    <w:rsid w:val="00A941E7"/>
    <w:rsid w:val="00A96452"/>
    <w:rsid w:val="00AB01AF"/>
    <w:rsid w:val="00AD140A"/>
    <w:rsid w:val="00AD713E"/>
    <w:rsid w:val="00AE0B24"/>
    <w:rsid w:val="00AE7FA8"/>
    <w:rsid w:val="00B04131"/>
    <w:rsid w:val="00B228AD"/>
    <w:rsid w:val="00B32187"/>
    <w:rsid w:val="00B336E6"/>
    <w:rsid w:val="00B3630B"/>
    <w:rsid w:val="00B37B82"/>
    <w:rsid w:val="00B4148D"/>
    <w:rsid w:val="00B45E4F"/>
    <w:rsid w:val="00B47DE6"/>
    <w:rsid w:val="00B600FA"/>
    <w:rsid w:val="00B6265F"/>
    <w:rsid w:val="00B723DC"/>
    <w:rsid w:val="00B72C49"/>
    <w:rsid w:val="00B74AE6"/>
    <w:rsid w:val="00B77407"/>
    <w:rsid w:val="00B802F8"/>
    <w:rsid w:val="00B83D9B"/>
    <w:rsid w:val="00B84030"/>
    <w:rsid w:val="00BA2862"/>
    <w:rsid w:val="00BA58E7"/>
    <w:rsid w:val="00BA6481"/>
    <w:rsid w:val="00BC1EB1"/>
    <w:rsid w:val="00BC41FF"/>
    <w:rsid w:val="00BE1C80"/>
    <w:rsid w:val="00BE5856"/>
    <w:rsid w:val="00BF65A2"/>
    <w:rsid w:val="00BF7198"/>
    <w:rsid w:val="00C0216F"/>
    <w:rsid w:val="00C14761"/>
    <w:rsid w:val="00C23F44"/>
    <w:rsid w:val="00C27AD7"/>
    <w:rsid w:val="00C35B2E"/>
    <w:rsid w:val="00C43469"/>
    <w:rsid w:val="00C45D46"/>
    <w:rsid w:val="00C64683"/>
    <w:rsid w:val="00C746FC"/>
    <w:rsid w:val="00C74828"/>
    <w:rsid w:val="00CA2B35"/>
    <w:rsid w:val="00CA477D"/>
    <w:rsid w:val="00CB1895"/>
    <w:rsid w:val="00CC316E"/>
    <w:rsid w:val="00CC4351"/>
    <w:rsid w:val="00CC6340"/>
    <w:rsid w:val="00CD4355"/>
    <w:rsid w:val="00CD7D29"/>
    <w:rsid w:val="00D038D4"/>
    <w:rsid w:val="00D04AAD"/>
    <w:rsid w:val="00D11506"/>
    <w:rsid w:val="00D17D0C"/>
    <w:rsid w:val="00D26F04"/>
    <w:rsid w:val="00D32BAA"/>
    <w:rsid w:val="00D66AE5"/>
    <w:rsid w:val="00D7573B"/>
    <w:rsid w:val="00D841CD"/>
    <w:rsid w:val="00DA5027"/>
    <w:rsid w:val="00DB5104"/>
    <w:rsid w:val="00DB6504"/>
    <w:rsid w:val="00DB65B4"/>
    <w:rsid w:val="00DD5FBD"/>
    <w:rsid w:val="00DE279C"/>
    <w:rsid w:val="00DF2D20"/>
    <w:rsid w:val="00DF5F42"/>
    <w:rsid w:val="00E364AA"/>
    <w:rsid w:val="00E41D30"/>
    <w:rsid w:val="00E43011"/>
    <w:rsid w:val="00E60858"/>
    <w:rsid w:val="00E64313"/>
    <w:rsid w:val="00E6517C"/>
    <w:rsid w:val="00E7241B"/>
    <w:rsid w:val="00E826D2"/>
    <w:rsid w:val="00E92909"/>
    <w:rsid w:val="00E9409B"/>
    <w:rsid w:val="00EB7F00"/>
    <w:rsid w:val="00ED3040"/>
    <w:rsid w:val="00EE51F0"/>
    <w:rsid w:val="00F16F26"/>
    <w:rsid w:val="00F223BB"/>
    <w:rsid w:val="00F25036"/>
    <w:rsid w:val="00F3365E"/>
    <w:rsid w:val="00F349B4"/>
    <w:rsid w:val="00F35E3F"/>
    <w:rsid w:val="00F4129D"/>
    <w:rsid w:val="00F4430D"/>
    <w:rsid w:val="00F547F9"/>
    <w:rsid w:val="00F55468"/>
    <w:rsid w:val="00F563C1"/>
    <w:rsid w:val="00F801F5"/>
    <w:rsid w:val="00F808CB"/>
    <w:rsid w:val="00FD5D30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7BE726B85B601777978E1E71E58CE2D9C8466D194566926FC0EFC094A0AC0A394FE1AD8n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09B1-DA5A-40AE-A16F-94C1530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53</Pages>
  <Words>17323</Words>
  <Characters>98744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Галина Алексеевна</dc:creator>
  <cp:keywords/>
  <dc:description/>
  <cp:lastModifiedBy>Татьяна Евгеньевна Круглова</cp:lastModifiedBy>
  <cp:revision>139</cp:revision>
  <cp:lastPrinted>2023-02-10T06:06:00Z</cp:lastPrinted>
  <dcterms:created xsi:type="dcterms:W3CDTF">2017-02-06T12:04:00Z</dcterms:created>
  <dcterms:modified xsi:type="dcterms:W3CDTF">2023-02-10T13:02:00Z</dcterms:modified>
</cp:coreProperties>
</file>