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E2622" w:rsidRPr="004E2622" w:rsidTr="001278AA">
        <w:trPr>
          <w:cantSplit/>
          <w:trHeight w:val="253"/>
        </w:trPr>
        <w:tc>
          <w:tcPr>
            <w:tcW w:w="4195" w:type="dxa"/>
            <w:hideMark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E5F114" wp14:editId="125E72D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22" w:rsidRPr="004E2622" w:rsidTr="001278AA">
        <w:trPr>
          <w:cantSplit/>
          <w:trHeight w:val="1617"/>
        </w:trPr>
        <w:tc>
          <w:tcPr>
            <w:tcW w:w="4195" w:type="dxa"/>
          </w:tcPr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Style w:val="a9"/>
                <w:rFonts w:ascii="Times New Roman" w:hAnsi="Times New Roman" w:cs="Times New Roman"/>
                <w:color w:val="000000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22" w:rsidRPr="004E2622" w:rsidRDefault="00B802F8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2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D3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Çě</w:t>
            </w:r>
            <w:proofErr w:type="gram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ěрле</w:t>
            </w:r>
            <w:proofErr w:type="spellEnd"/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2622" w:rsidRPr="004E2622" w:rsidRDefault="004E2622" w:rsidP="004E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4E2622">
              <w:rPr>
                <w:rFonts w:ascii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2D3204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 г. Шумерля</w:t>
            </w:r>
          </w:p>
          <w:p w:rsidR="004E2622" w:rsidRPr="004E2622" w:rsidRDefault="004E2622" w:rsidP="004E2622">
            <w:pPr>
              <w:pStyle w:val="a8"/>
              <w:ind w:right="-35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</w:tbl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framePr w:w="7037" w:h="1134" w:hSpace="141" w:wrap="around" w:vAnchor="text" w:hAnchor="page" w:x="1150" w:y="256"/>
        <w:spacing w:after="0" w:line="240" w:lineRule="auto"/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Об утверждении перечня отдельных видов товаров, работ, услуг, закупаемых администрацией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ей казенными и бюджетными учреждениями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proofErr w:type="gramEnd"/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4E2622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4B71DE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E262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71DE">
        <w:rPr>
          <w:rFonts w:ascii="Times New Roman" w:hAnsi="Times New Roman" w:cs="Times New Roman"/>
          <w:sz w:val="24"/>
          <w:szCs w:val="24"/>
        </w:rPr>
        <w:t>»</w:t>
      </w:r>
      <w:r w:rsidRPr="004E262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29 декабря 2022 № 1095 «Об утверждении Правил определения требований к закупаемым муниципальными органами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указанным органам казенными учреждениями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бюджетными учреждениями</w:t>
      </w:r>
      <w:proofErr w:type="gramEnd"/>
      <w:r w:rsidRPr="004E2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отдельным видам товаров, работ, услуг (в том числе предельных цен товаров, работ, услуг)»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постановляет: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отдельных видов товаров, работ, услуг, закупаемых администрацией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ей казенными и бюджетными учреждениями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(далее – Перечень).</w:t>
      </w:r>
      <w:bookmarkStart w:id="0" w:name="P21"/>
      <w:bookmarkStart w:id="1" w:name="P22"/>
      <w:bookmarkEnd w:id="0"/>
      <w:bookmarkEnd w:id="1"/>
      <w:proofErr w:type="gramEnd"/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Требования к закупаемым администрацией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ей казенными и бюджетными учреждениями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отдельным видам товаров, работ, услуг (в том числе предельные </w:t>
      </w:r>
      <w:r w:rsidRPr="004E2622">
        <w:rPr>
          <w:rFonts w:ascii="Times New Roman" w:hAnsi="Times New Roman" w:cs="Times New Roman"/>
          <w:sz w:val="24"/>
          <w:szCs w:val="24"/>
        </w:rPr>
        <w:lastRenderedPageBreak/>
        <w:t xml:space="preserve">цены товаров, работ, услуг) утверждаются администрацией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форме Перечня.</w:t>
      </w:r>
      <w:proofErr w:type="gramEnd"/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3. Требования к отдельным видам товаров, работ, услуг (в том числе предельные цены товаров, работ, услуг) применяются следующими заказчиками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"Информационно-ресурсный центр культуры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округа";</w:t>
      </w:r>
    </w:p>
    <w:p w:rsidR="004E2622" w:rsidRPr="004E2622" w:rsidRDefault="004E2622" w:rsidP="004E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"Централизованная система библиотечного и архивного дела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округа";</w:t>
      </w:r>
    </w:p>
    <w:p w:rsidR="004E2622" w:rsidRPr="004E2622" w:rsidRDefault="004E2622" w:rsidP="004E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"Центр финансово-хозяйственного обеспечения"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4E2622" w:rsidRPr="004E2622" w:rsidRDefault="004E2622" w:rsidP="004E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Юманайское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хозяйство»;</w:t>
      </w:r>
    </w:p>
    <w:p w:rsidR="004E2622" w:rsidRPr="004E2622" w:rsidRDefault="004E2622" w:rsidP="004E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Агрохимсервис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>».</w:t>
      </w: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4E2622" w:rsidRPr="004E2622" w:rsidRDefault="004E2622" w:rsidP="004E26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24.10.2018 № 593 «О</w:t>
      </w:r>
      <w:r w:rsidRPr="004E2622">
        <w:rPr>
          <w:rFonts w:ascii="Times New Roman" w:hAnsi="Times New Roman" w:cs="Times New Roman"/>
          <w:bCs/>
          <w:sz w:val="24"/>
          <w:szCs w:val="24"/>
        </w:rPr>
        <w:t xml:space="preserve">б утверждении перечня отдельных видов товаров, работ, услуг, закупаемых администрацией </w:t>
      </w:r>
      <w:proofErr w:type="spellStart"/>
      <w:r w:rsidRPr="004E262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bCs/>
          <w:sz w:val="24"/>
          <w:szCs w:val="24"/>
        </w:rPr>
        <w:t xml:space="preserve"> района, подведомственными ей казенными и бюджетными учреждениями </w:t>
      </w:r>
      <w:proofErr w:type="spellStart"/>
      <w:r w:rsidRPr="004E262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bCs/>
          <w:sz w:val="24"/>
          <w:szCs w:val="24"/>
        </w:rPr>
        <w:t xml:space="preserve"> района и муниципальными унитарными предприятиями </w:t>
      </w:r>
      <w:proofErr w:type="spellStart"/>
      <w:r w:rsidRPr="004E262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bCs/>
          <w:sz w:val="24"/>
          <w:szCs w:val="24"/>
        </w:rPr>
        <w:t xml:space="preserve"> района,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услуг)»;</w:t>
      </w:r>
      <w:proofErr w:type="gramEnd"/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bCs/>
          <w:sz w:val="24"/>
          <w:szCs w:val="24"/>
        </w:rPr>
        <w:tab/>
      </w:r>
      <w:r w:rsidRPr="004E262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26.03.2019 № 224 «О внесении изменений в постановление администрации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района от 24.10.2018 № 593».</w:t>
      </w: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«Интернет».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        </w:t>
      </w:r>
    </w:p>
    <w:p w:rsid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Л.Г.Рафинов</w:t>
      </w:r>
      <w:proofErr w:type="spellEnd"/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01" w:rsidRDefault="00411401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Default="004E2622" w:rsidP="004E2622">
      <w:pPr>
        <w:sectPr w:rsidR="004E2622" w:rsidSect="00411401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bookmarkStart w:id="2" w:name="_GoBack"/>
      <w:bookmarkEnd w:id="2"/>
    </w:p>
    <w:p w:rsidR="00CB1895" w:rsidRPr="003D451C" w:rsidRDefault="00772E46" w:rsidP="003D451C">
      <w:pPr>
        <w:pStyle w:val="ConsPlusNormal"/>
        <w:ind w:left="-142" w:firstLine="11341"/>
        <w:jc w:val="right"/>
        <w:rPr>
          <w:rFonts w:ascii="Times New Roman" w:hAnsi="Times New Roman" w:cs="Times New Roman"/>
          <w:sz w:val="18"/>
          <w:szCs w:val="18"/>
        </w:rPr>
      </w:pPr>
      <w:r w:rsidRPr="003D451C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772E46" w:rsidRPr="003D451C" w:rsidRDefault="00241F51" w:rsidP="003D451C">
      <w:pPr>
        <w:pStyle w:val="ConsPlusNormal"/>
        <w:ind w:left="-142" w:firstLine="11341"/>
        <w:jc w:val="right"/>
        <w:rPr>
          <w:rFonts w:ascii="Times New Roman" w:hAnsi="Times New Roman" w:cs="Times New Roman"/>
          <w:sz w:val="18"/>
          <w:szCs w:val="18"/>
        </w:rPr>
      </w:pPr>
      <w:r w:rsidRPr="003D451C">
        <w:rPr>
          <w:rFonts w:ascii="Times New Roman" w:hAnsi="Times New Roman" w:cs="Times New Roman"/>
          <w:sz w:val="18"/>
          <w:szCs w:val="18"/>
        </w:rPr>
        <w:t>постановлением ад</w:t>
      </w:r>
      <w:r w:rsidR="007070F1" w:rsidRPr="003D451C">
        <w:rPr>
          <w:rFonts w:ascii="Times New Roman" w:hAnsi="Times New Roman" w:cs="Times New Roman"/>
          <w:sz w:val="18"/>
          <w:szCs w:val="18"/>
        </w:rPr>
        <w:t xml:space="preserve">министрации </w:t>
      </w:r>
      <w:proofErr w:type="spellStart"/>
      <w:r w:rsidR="007070F1" w:rsidRPr="003D451C">
        <w:rPr>
          <w:rFonts w:ascii="Times New Roman" w:hAnsi="Times New Roman" w:cs="Times New Roman"/>
          <w:sz w:val="18"/>
          <w:szCs w:val="18"/>
        </w:rPr>
        <w:t>Шумерлинского</w:t>
      </w:r>
      <w:proofErr w:type="spellEnd"/>
      <w:r w:rsidR="007070F1" w:rsidRPr="003D451C">
        <w:rPr>
          <w:rFonts w:ascii="Times New Roman" w:hAnsi="Times New Roman" w:cs="Times New Roman"/>
          <w:sz w:val="18"/>
          <w:szCs w:val="18"/>
        </w:rPr>
        <w:t xml:space="preserve"> муниципального округа</w:t>
      </w:r>
    </w:p>
    <w:p w:rsidR="008D1F4F" w:rsidRPr="003D451C" w:rsidRDefault="00241F51" w:rsidP="003D451C">
      <w:pPr>
        <w:pStyle w:val="ConsPlusNormal"/>
        <w:ind w:left="-142" w:firstLine="11341"/>
        <w:jc w:val="right"/>
        <w:rPr>
          <w:rFonts w:ascii="Times New Roman" w:hAnsi="Times New Roman" w:cs="Times New Roman"/>
          <w:sz w:val="18"/>
          <w:szCs w:val="18"/>
        </w:rPr>
      </w:pPr>
      <w:r w:rsidRPr="003D451C">
        <w:rPr>
          <w:rFonts w:ascii="Times New Roman" w:hAnsi="Times New Roman" w:cs="Times New Roman"/>
          <w:sz w:val="18"/>
          <w:szCs w:val="18"/>
        </w:rPr>
        <w:t xml:space="preserve"> от </w:t>
      </w:r>
      <w:r w:rsidR="002D3204">
        <w:rPr>
          <w:rFonts w:ascii="Times New Roman" w:hAnsi="Times New Roman" w:cs="Times New Roman"/>
          <w:sz w:val="18"/>
          <w:szCs w:val="18"/>
        </w:rPr>
        <w:t>10</w:t>
      </w:r>
      <w:r w:rsidR="00836729" w:rsidRPr="003D451C">
        <w:rPr>
          <w:rFonts w:ascii="Times New Roman" w:hAnsi="Times New Roman" w:cs="Times New Roman"/>
          <w:sz w:val="18"/>
          <w:szCs w:val="18"/>
        </w:rPr>
        <w:t>.</w:t>
      </w:r>
      <w:r w:rsidR="002D3204">
        <w:rPr>
          <w:rFonts w:ascii="Times New Roman" w:hAnsi="Times New Roman" w:cs="Times New Roman"/>
          <w:sz w:val="18"/>
          <w:szCs w:val="18"/>
        </w:rPr>
        <w:t>02</w:t>
      </w:r>
      <w:r w:rsidR="00836729" w:rsidRPr="003D451C">
        <w:rPr>
          <w:rFonts w:ascii="Times New Roman" w:hAnsi="Times New Roman" w:cs="Times New Roman"/>
          <w:sz w:val="18"/>
          <w:szCs w:val="18"/>
        </w:rPr>
        <w:t>.</w:t>
      </w:r>
      <w:r w:rsidR="004B3637">
        <w:rPr>
          <w:rFonts w:ascii="Times New Roman" w:hAnsi="Times New Roman" w:cs="Times New Roman"/>
          <w:sz w:val="18"/>
          <w:szCs w:val="18"/>
        </w:rPr>
        <w:t>2023</w:t>
      </w:r>
      <w:r w:rsidR="00D038D4" w:rsidRPr="003D451C">
        <w:rPr>
          <w:rFonts w:ascii="Times New Roman" w:hAnsi="Times New Roman" w:cs="Times New Roman"/>
          <w:sz w:val="18"/>
          <w:szCs w:val="18"/>
        </w:rPr>
        <w:t xml:space="preserve"> г.  </w:t>
      </w:r>
      <w:r w:rsidR="008D1F4F" w:rsidRPr="003D451C">
        <w:rPr>
          <w:rFonts w:ascii="Times New Roman" w:hAnsi="Times New Roman" w:cs="Times New Roman"/>
          <w:sz w:val="18"/>
          <w:szCs w:val="18"/>
        </w:rPr>
        <w:t>№</w:t>
      </w:r>
      <w:r w:rsidRPr="003D451C">
        <w:rPr>
          <w:rFonts w:ascii="Times New Roman" w:hAnsi="Times New Roman" w:cs="Times New Roman"/>
          <w:sz w:val="18"/>
          <w:szCs w:val="18"/>
        </w:rPr>
        <w:t xml:space="preserve"> </w:t>
      </w:r>
      <w:r w:rsidR="002D3204">
        <w:rPr>
          <w:rFonts w:ascii="Times New Roman" w:hAnsi="Times New Roman" w:cs="Times New Roman"/>
          <w:sz w:val="18"/>
          <w:szCs w:val="18"/>
        </w:rPr>
        <w:t>88</w:t>
      </w:r>
    </w:p>
    <w:p w:rsidR="008D1F4F" w:rsidRPr="003D451C" w:rsidRDefault="008D1F4F" w:rsidP="003D451C">
      <w:pPr>
        <w:pStyle w:val="ConsPlusNormal"/>
        <w:ind w:left="426" w:right="-711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B1895" w:rsidRPr="003D451C" w:rsidRDefault="00CB1895" w:rsidP="003D451C">
      <w:pPr>
        <w:pStyle w:val="ConsPlusNormal"/>
        <w:ind w:left="-142" w:firstLine="8506"/>
        <w:jc w:val="both"/>
        <w:rPr>
          <w:rFonts w:ascii="Times New Roman" w:hAnsi="Times New Roman" w:cs="Times New Roman"/>
          <w:sz w:val="18"/>
          <w:szCs w:val="18"/>
        </w:rPr>
      </w:pPr>
    </w:p>
    <w:p w:rsidR="00080552" w:rsidRPr="003D451C" w:rsidRDefault="00080552" w:rsidP="003D4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3D451C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3D451C">
        <w:rPr>
          <w:rFonts w:ascii="Times New Roman" w:eastAsia="Times New Roman" w:hAnsi="Times New Roman" w:cs="Times New Roman"/>
          <w:b/>
          <w:sz w:val="16"/>
          <w:szCs w:val="16"/>
        </w:rPr>
        <w:t xml:space="preserve"> Е Р Е Ч Е Н Ь</w:t>
      </w:r>
    </w:p>
    <w:p w:rsidR="00080552" w:rsidRPr="003D451C" w:rsidRDefault="00080552" w:rsidP="003D451C">
      <w:pPr>
        <w:pStyle w:val="ConsPlusTitle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3D451C">
        <w:rPr>
          <w:rFonts w:ascii="Times New Roman" w:hAnsi="Times New Roman" w:cs="Times New Roman"/>
          <w:b w:val="0"/>
          <w:sz w:val="16"/>
          <w:szCs w:val="16"/>
        </w:rPr>
        <w:t xml:space="preserve">отдельных видов товаров, работ, услуг, </w:t>
      </w:r>
      <w:r w:rsidR="00BE5856" w:rsidRPr="003D451C">
        <w:rPr>
          <w:rFonts w:ascii="Times New Roman" w:hAnsi="Times New Roman" w:cs="Times New Roman"/>
          <w:b w:val="0"/>
          <w:sz w:val="16"/>
          <w:szCs w:val="16"/>
        </w:rPr>
        <w:t xml:space="preserve">закупаемых </w:t>
      </w:r>
      <w:r w:rsidR="00241F51" w:rsidRPr="003D451C">
        <w:rPr>
          <w:rFonts w:ascii="Times New Roman" w:hAnsi="Times New Roman" w:cs="Times New Roman"/>
          <w:b w:val="0"/>
          <w:sz w:val="16"/>
          <w:szCs w:val="16"/>
        </w:rPr>
        <w:t>админ</w:t>
      </w:r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 xml:space="preserve">истрацией </w:t>
      </w:r>
      <w:proofErr w:type="spellStart"/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>Шумерлинского</w:t>
      </w:r>
      <w:proofErr w:type="spellEnd"/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070F1" w:rsidRPr="003D451C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округа Чувашской </w:t>
      </w:r>
      <w:proofErr w:type="spellStart"/>
      <w:r w:rsidR="007070F1" w:rsidRPr="003D451C">
        <w:rPr>
          <w:rFonts w:ascii="Times New Roman" w:hAnsi="Times New Roman" w:cs="Times New Roman"/>
          <w:b w:val="0"/>
          <w:sz w:val="16"/>
          <w:szCs w:val="16"/>
        </w:rPr>
        <w:t>Ресспублики</w:t>
      </w:r>
      <w:proofErr w:type="spellEnd"/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>,</w:t>
      </w:r>
      <w:r w:rsidR="00241F51" w:rsidRPr="003D451C">
        <w:rPr>
          <w:rFonts w:ascii="Times New Roman" w:hAnsi="Times New Roman" w:cs="Times New Roman"/>
          <w:b w:val="0"/>
          <w:sz w:val="16"/>
          <w:szCs w:val="16"/>
        </w:rPr>
        <w:t xml:space="preserve"> подведомственными ей казенными и бюджетными учреждениями </w:t>
      </w:r>
      <w:proofErr w:type="spellStart"/>
      <w:r w:rsidR="00241F51" w:rsidRPr="003D451C">
        <w:rPr>
          <w:rFonts w:ascii="Times New Roman" w:hAnsi="Times New Roman" w:cs="Times New Roman"/>
          <w:b w:val="0"/>
          <w:sz w:val="16"/>
          <w:szCs w:val="16"/>
        </w:rPr>
        <w:t>Шумерлинского</w:t>
      </w:r>
      <w:proofErr w:type="spellEnd"/>
      <w:r w:rsidR="00241F51" w:rsidRPr="003D451C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070F1" w:rsidRPr="003D451C">
        <w:rPr>
          <w:rFonts w:ascii="Times New Roman" w:hAnsi="Times New Roman" w:cs="Times New Roman"/>
          <w:b w:val="0"/>
          <w:sz w:val="16"/>
          <w:szCs w:val="16"/>
        </w:rPr>
        <w:t>муниципального округа Чувашской Республики</w:t>
      </w:r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 xml:space="preserve"> и муниципальными унитарными предприятиями </w:t>
      </w:r>
      <w:proofErr w:type="spellStart"/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>Шумерлинского</w:t>
      </w:r>
      <w:proofErr w:type="spellEnd"/>
      <w:r w:rsidR="00117D38" w:rsidRPr="003D451C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070F1" w:rsidRPr="003D451C"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округа Чувашской </w:t>
      </w:r>
      <w:proofErr w:type="gramStart"/>
      <w:r w:rsidR="007070F1" w:rsidRPr="003D451C">
        <w:rPr>
          <w:rFonts w:ascii="Times New Roman" w:hAnsi="Times New Roman" w:cs="Times New Roman"/>
          <w:b w:val="0"/>
          <w:sz w:val="16"/>
          <w:szCs w:val="16"/>
        </w:rPr>
        <w:t>Республики</w:t>
      </w:r>
      <w:proofErr w:type="gramEnd"/>
      <w:r w:rsidR="00BE5856" w:rsidRPr="003D451C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в отношении которых определяются требования к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 xml:space="preserve"> потребительски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м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 xml:space="preserve"> свойства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м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 xml:space="preserve"> (в том числе 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 xml:space="preserve">к 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>качеств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у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>) и ины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м</w:t>
      </w:r>
      <w:r w:rsidRPr="003D451C">
        <w:rPr>
          <w:rFonts w:ascii="Times New Roman" w:hAnsi="Times New Roman" w:cs="Times New Roman"/>
          <w:b w:val="0"/>
          <w:sz w:val="16"/>
          <w:szCs w:val="16"/>
        </w:rPr>
        <w:t xml:space="preserve"> характеристик</w:t>
      </w:r>
      <w:r w:rsidR="004E4FA8" w:rsidRPr="003D451C">
        <w:rPr>
          <w:rFonts w:ascii="Times New Roman" w:hAnsi="Times New Roman" w:cs="Times New Roman"/>
          <w:b w:val="0"/>
          <w:sz w:val="16"/>
          <w:szCs w:val="16"/>
        </w:rPr>
        <w:t>ам (в том числе предельные цены товаров, работ, услуг).</w:t>
      </w:r>
    </w:p>
    <w:p w:rsidR="00080552" w:rsidRPr="003D451C" w:rsidRDefault="00080552" w:rsidP="003D4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72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77"/>
        <w:gridCol w:w="727"/>
        <w:gridCol w:w="2152"/>
        <w:gridCol w:w="1150"/>
        <w:gridCol w:w="721"/>
        <w:gridCol w:w="2152"/>
        <w:gridCol w:w="1150"/>
        <w:gridCol w:w="2011"/>
        <w:gridCol w:w="2152"/>
        <w:gridCol w:w="1438"/>
        <w:gridCol w:w="1723"/>
        <w:gridCol w:w="147"/>
      </w:tblGrid>
      <w:tr w:rsidR="003D451C" w:rsidRPr="003D451C" w:rsidTr="000F5F83">
        <w:trPr>
          <w:gridAfter w:val="1"/>
          <w:wAfter w:w="45" w:type="pct"/>
          <w:trHeight w:val="20"/>
        </w:trPr>
        <w:tc>
          <w:tcPr>
            <w:tcW w:w="17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07" w:type="pct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792AA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ОКПД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57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0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641782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адм</w:t>
            </w:r>
            <w:r w:rsidR="007070F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инистрацией </w:t>
            </w:r>
            <w:proofErr w:type="spellStart"/>
            <w:r w:rsidR="007070F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7070F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236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характеристикам, утвержденные </w:t>
            </w:r>
            <w:r w:rsidR="001E2638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органом </w:t>
            </w:r>
            <w:proofErr w:type="spellStart"/>
            <w:r w:rsidR="001E2638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1E2638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070F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</w:tr>
      <w:tr w:rsidR="003D451C" w:rsidRPr="003D451C" w:rsidTr="000F5F83">
        <w:trPr>
          <w:gridAfter w:val="1"/>
          <w:wAfter w:w="45" w:type="pct"/>
          <w:trHeight w:val="20"/>
        </w:trPr>
        <w:tc>
          <w:tcPr>
            <w:tcW w:w="17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22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5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61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6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43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предусмотренного приложением № 2</w:t>
            </w:r>
          </w:p>
        </w:tc>
        <w:tc>
          <w:tcPr>
            <w:tcW w:w="52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0552" w:rsidRPr="003D451C" w:rsidRDefault="00080552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функциональное назначение*</w:t>
            </w:r>
          </w:p>
        </w:tc>
      </w:tr>
      <w:tr w:rsidR="003D451C" w:rsidRPr="003D451C" w:rsidTr="000F5F83">
        <w:trPr>
          <w:gridAfter w:val="1"/>
          <w:wAfter w:w="45" w:type="pct"/>
          <w:trHeight w:val="20"/>
        </w:trPr>
        <w:tc>
          <w:tcPr>
            <w:tcW w:w="17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D451C" w:rsidRPr="003D451C" w:rsidTr="000F5F83">
        <w:tblPrEx>
          <w:jc w:val="center"/>
          <w:tblBorders>
            <w:left w:val="none" w:sz="0" w:space="0" w:color="auto"/>
            <w:right w:val="none" w:sz="0" w:space="0" w:color="auto"/>
          </w:tblBorders>
        </w:tblPrEx>
        <w:trPr>
          <w:gridBefore w:val="2"/>
          <w:wBefore w:w="261" w:type="pct"/>
          <w:jc w:val="center"/>
        </w:trPr>
        <w:tc>
          <w:tcPr>
            <w:tcW w:w="4739" w:type="pct"/>
            <w:gridSpan w:val="11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AB3" w:rsidRPr="003D451C" w:rsidRDefault="00481AB3" w:rsidP="000F5F8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105"/>
            <w:bookmarkEnd w:id="3"/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</w:t>
            </w:r>
            <w:r w:rsidR="000F5F8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бязательный перечень отдельных видов товаров, работ, услуг,</w:t>
            </w:r>
            <w:r w:rsidR="000F5F83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услуг),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предусмотренный Приложением № 2 к Правилам определения требований к закупаемым муниципальными органами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70F1" w:rsidRPr="003D451C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Республики, подведомственными указанным органам казенными учреждениями</w:t>
            </w:r>
            <w:proofErr w:type="gram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70F1" w:rsidRPr="003D451C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Республики, бюджетными учреждениями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70F1" w:rsidRPr="003D451C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и муниципальными унитарными предприятиями 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070F1" w:rsidRPr="003D451C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отдельным видам товаров, работ, услуг (в том числе предельных цен товаров, работ, услуг)</w:t>
            </w:r>
            <w:r w:rsidR="000F5F83">
              <w:rPr>
                <w:rFonts w:ascii="Times New Roman" w:hAnsi="Times New Roman" w:cs="Times New Roman"/>
                <w:sz w:val="16"/>
                <w:szCs w:val="16"/>
              </w:rPr>
              <w:t xml:space="preserve">, утвержденным постановлением администрации </w:t>
            </w:r>
            <w:proofErr w:type="spellStart"/>
            <w:r w:rsidR="000F5F83">
              <w:rPr>
                <w:rFonts w:ascii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0F5F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Чувашской Республики от 29.12.2022 № 1095</w:t>
            </w:r>
          </w:p>
        </w:tc>
      </w:tr>
    </w:tbl>
    <w:p w:rsidR="002E2258" w:rsidRPr="003D451C" w:rsidRDefault="002E2258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659" w:type="pct"/>
        <w:tblInd w:w="-8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008"/>
        <w:gridCol w:w="2151"/>
        <w:gridCol w:w="1150"/>
        <w:gridCol w:w="729"/>
        <w:gridCol w:w="2145"/>
        <w:gridCol w:w="1154"/>
        <w:gridCol w:w="2002"/>
        <w:gridCol w:w="2249"/>
        <w:gridCol w:w="1481"/>
        <w:gridCol w:w="1633"/>
      </w:tblGrid>
      <w:tr w:rsidR="003D451C" w:rsidRPr="003D451C" w:rsidTr="00285786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D451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10 кг</w:t>
              </w:r>
            </w:smartTag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2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оперативной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памяти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  <w:r w:rsidR="004735D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E60858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5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7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6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D2317" w:rsidRPr="003D451C" w:rsidRDefault="005D2317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2317" w:rsidRPr="003D451C" w:rsidRDefault="005D23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DVD-RW (допустимые значения: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DVD-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CD-RW, CD-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Rom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Допустима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1EB1" w:rsidRPr="003D451C" w:rsidRDefault="00BC1EB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D451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10 кг</w:t>
              </w:r>
            </w:smartTag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7069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6E706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E7069" w:rsidRPr="003D451C" w:rsidRDefault="006E706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4735D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7069" w:rsidRPr="003D451C" w:rsidRDefault="006E706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C4351" w:rsidRPr="003D451C" w:rsidRDefault="00CC435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4351" w:rsidRPr="003D451C" w:rsidRDefault="00CC435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93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54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546B9F" w:rsidRPr="003D451C" w:rsidRDefault="00546B9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6B9F" w:rsidRPr="003D451C" w:rsidRDefault="00546B9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54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12" Матовый или глянцевый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кг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накопителя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128 Гб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Есть, есть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поддержки 3G (UMTS), 4G (LTE)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00B54" w:rsidRPr="003D451C" w:rsidRDefault="00800B5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0B54" w:rsidRPr="003D451C" w:rsidRDefault="00800B5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735D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C35B2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5361" w:rsidRPr="003D451C" w:rsidRDefault="004C536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0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5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5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 или системный блок и монитор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 дюймов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X64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4,7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16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отдельный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C35B2E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A941E7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A941E7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A941E7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A941E7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C35B2E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AFF" w:rsidRPr="003D451C" w:rsidRDefault="00201AF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 устройства чтения карт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 устройства чтения карт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6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6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6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6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6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6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8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7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167A" w:rsidRPr="003D451C" w:rsidRDefault="0014167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 устройства чтения карт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 устройства чтения карт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– для принтера/много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функционального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Струйный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лазерный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устройства)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1200x1200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 или черно-белый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1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 устройства чтения карт памяти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1506" w:rsidRPr="003D451C" w:rsidRDefault="00D1150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4AAD" w:rsidRPr="003D451C" w:rsidRDefault="00D04AA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A941E7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службы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DE279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 более 12</w:t>
            </w:r>
            <w:r w:rsidR="00A941E7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="00E9290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F0B7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F0B7F" w:rsidRPr="003D451C" w:rsidRDefault="008F0B7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32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5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4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55694E">
        <w:trPr>
          <w:trHeight w:val="76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94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55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5694E" w:rsidRPr="003D451C" w:rsidRDefault="005569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0F568E">
        <w:trPr>
          <w:trHeight w:val="12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поддерживаемые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0F568E">
        <w:trPr>
          <w:trHeight w:val="12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0F568E">
        <w:trPr>
          <w:trHeight w:val="76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74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0F568E">
        <w:trPr>
          <w:trHeight w:val="86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фон)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или смартфон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Любые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или кнопочный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Любое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(Допустимые варианты:</w:t>
            </w:r>
            <w:proofErr w:type="gram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GPS, ГЛОНАСС)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12 000,00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68E" w:rsidRPr="003D451C" w:rsidTr="00B45E4F">
        <w:trPr>
          <w:trHeight w:val="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41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40 000,00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68E" w:rsidRPr="003D451C" w:rsidRDefault="000F568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A2862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9B1A6F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2 5</w:t>
            </w:r>
            <w:r w:rsidR="009B1A6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9B1A6F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B1A6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9B1A6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9B1A6F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9B1A6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9B1A6F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9B1A6F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3D451C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076BD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076BD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ED3040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ED3040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ED3040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ED3040" w:rsidRPr="003D451C" w:rsidRDefault="00457D3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ED3040" w:rsidRPr="003D451C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7D31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3D451C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ED3040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52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33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7.6.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37B82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37B82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B37B8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7.7.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0A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0A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170A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437AA6" w:rsidRPr="003D451C" w:rsidRDefault="00170A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437AA6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7.8.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7.9.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3D451C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B105B" w:rsidRPr="003D451C" w:rsidRDefault="0076430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B105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B105B" w:rsidRPr="003D451C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3D451C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8.9.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3D451C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3 0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C0F6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24591B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2459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9.9.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3D451C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или более человек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группа должностей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3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8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63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</w:t>
            </w:r>
          </w:p>
          <w:p w:rsidR="00331E79" w:rsidRPr="003D451C" w:rsidRDefault="006B1D52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23F44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331E79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00 000,00</w:t>
            </w:r>
          </w:p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10.9.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3D451C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54" w:right="-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54" w:right="-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3D451C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F801F5">
        <w:trPr>
          <w:trHeight w:val="16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F801F5">
        <w:trPr>
          <w:trHeight w:val="277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F801F5" w:rsidRPr="003D451C" w:rsidRDefault="00F801F5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F801F5" w:rsidRPr="003D451C" w:rsidRDefault="00F801F5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1F5" w:rsidRPr="003D451C" w:rsidRDefault="00F801F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66D0">
        <w:trPr>
          <w:trHeight w:val="126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86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D66D0" w:rsidRPr="003D451C" w:rsidRDefault="003D66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0B0558">
        <w:trPr>
          <w:trHeight w:val="13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ведущая группа должностей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(металл)</w:t>
            </w:r>
          </w:p>
        </w:tc>
        <w:tc>
          <w:tcPr>
            <w:tcW w:w="618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73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0558" w:rsidRPr="003D451C" w:rsidRDefault="000B055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401D00">
        <w:trPr>
          <w:trHeight w:val="23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5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618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1D00" w:rsidRPr="003D451C" w:rsidRDefault="00401D0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220428">
        <w:trPr>
          <w:trHeight w:val="35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50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220428">
        <w:trPr>
          <w:trHeight w:val="414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220428">
        <w:trPr>
          <w:trHeight w:val="32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9C6480">
        <w:trPr>
          <w:trHeight w:val="37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37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9C6480">
        <w:trPr>
          <w:trHeight w:val="26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11.9.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rPr>
          <w:trHeight w:val="26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- ткань; возможные значения: нетканые материалы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20428" w:rsidRPr="003D451C" w:rsidRDefault="00220428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B45E4F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983DD0" w:rsidRPr="003D451C" w:rsidRDefault="00983DD0" w:rsidP="003D451C">
            <w:pPr>
              <w:tabs>
                <w:tab w:val="left" w:pos="1484"/>
              </w:tabs>
              <w:autoSpaceDE w:val="0"/>
              <w:autoSpaceDN w:val="0"/>
              <w:adjustRightInd w:val="0"/>
              <w:spacing w:after="0" w:line="235" w:lineRule="auto"/>
              <w:ind w:left="-62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12.2.</w:t>
            </w:r>
          </w:p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</w:t>
            </w:r>
            <w:r w:rsidR="00040717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</w:t>
            </w:r>
            <w:r w:rsidR="00040717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DD0" w:rsidRPr="003D451C" w:rsidRDefault="00983DD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искусственная кожа; возможные значения: мебельный (искусственный) мех,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0717" w:rsidRPr="003D451C" w:rsidRDefault="0004071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12.9.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B723D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B723D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autoSpaceDE w:val="0"/>
              <w:autoSpaceDN w:val="0"/>
              <w:adjustRightInd w:val="0"/>
              <w:spacing w:after="0" w:line="235" w:lineRule="auto"/>
              <w:ind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25EC" w:rsidRPr="003D451C" w:rsidRDefault="009525E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B45E4F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13.1.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  <w:p w:rsidR="0015783F" w:rsidRPr="003D451C" w:rsidRDefault="0015783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783F" w:rsidRPr="003D451C" w:rsidRDefault="0015783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13.3.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13.4.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13.5.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13.6.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13.7.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13.8.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13.9.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1 Гб/сек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2E1B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2C49" w:rsidRPr="003D451C" w:rsidRDefault="00B72C4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6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992E1B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6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992E1B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6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992E1B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6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992E1B" w:rsidP="003D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77DD" w:rsidRPr="003D451C" w:rsidRDefault="004D77D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97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161C" w:rsidRPr="003D451C" w:rsidTr="00411401">
        <w:trPr>
          <w:trHeight w:val="9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97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3D451C">
        <w:trPr>
          <w:trHeight w:val="97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7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ведущая группа должностей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тарификация услуги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тарификация услуги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161C" w:rsidRPr="003D451C" w:rsidTr="00411401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3D451C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11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161C" w:rsidRPr="003D451C" w:rsidTr="00411401">
        <w:trPr>
          <w:trHeight w:val="11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11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3D451C">
        <w:trPr>
          <w:trHeight w:val="11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7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161C" w:rsidRPr="003D451C" w:rsidTr="00411401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411401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161C" w:rsidRPr="003D451C" w:rsidTr="003D451C">
        <w:trPr>
          <w:trHeight w:val="78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6161C" w:rsidRPr="003D451C" w:rsidRDefault="000616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30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458C9" w:rsidRPr="003D451C" w:rsidTr="00411401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3D451C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30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458C9" w:rsidRPr="003D451C" w:rsidTr="00411401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3D451C">
        <w:trPr>
          <w:trHeight w:val="306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15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458C9" w:rsidRPr="003D451C" w:rsidTr="00411401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3D451C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15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14.9.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3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повременный</w:t>
            </w: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458C9" w:rsidRPr="003D451C" w:rsidTr="00411401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в информационно-телекоммуникационную сеть "Интернет" (лимитный/ </w:t>
            </w:r>
            <w:proofErr w:type="spellStart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, Гб)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411401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объем доступной услуги голосовой связи (минут)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 мин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8C9" w:rsidRPr="003D451C" w:rsidTr="003D451C">
        <w:trPr>
          <w:trHeight w:val="153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услуги голосовой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доступ услуги голосовой </w:t>
            </w:r>
            <w:r w:rsidRPr="003D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4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58C9" w:rsidRPr="003D451C" w:rsidRDefault="006458C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55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  <w:r w:rsidR="00B3630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</w:t>
            </w:r>
          </w:p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легковых автомобилей без водителя</w:t>
            </w:r>
          </w:p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(не более 3,5 т) автотранспортных средств без водителя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      251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0E6D2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027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DA502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378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 xml:space="preserve">       251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1278AA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5027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1278AA" w:rsidRDefault="00DA502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1278AA" w:rsidRDefault="00DA5027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условиями договора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3630B" w:rsidRPr="003D451C" w:rsidRDefault="00B3630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61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0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97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отчислений в пользу юридических и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отчислений в пользу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отчислений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517C" w:rsidRPr="003D451C" w:rsidRDefault="00E6517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17.9.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4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планируемой моделью лицензирования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юридических и физических лиц</w:t>
            </w:r>
          </w:p>
        </w:tc>
        <w:tc>
          <w:tcPr>
            <w:tcW w:w="694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852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67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992E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8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187A3C" w:rsidRPr="003D451C" w:rsidRDefault="00187A3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7A3C" w:rsidRPr="003D451C" w:rsidRDefault="00187A3C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18.8.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Федеральному закону «О персональных данных» приложений, содержащих персональные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данные (да/нет)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Федеральному закону «О персональных данных» приложений, содержащих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персональные данные (да/нет)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полноценной поддержкой форматов файлов с расширениями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docm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psw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rtf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xml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xlsm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pub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pptx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ppsx</w:t>
            </w:r>
            <w:proofErr w:type="spellEnd"/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905C4E" w:rsidRPr="003D451C" w:rsidRDefault="00905C4E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1278A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5C4E" w:rsidRPr="003D451C" w:rsidRDefault="00905C4E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99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19.1.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98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19.2.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доступность на русском языке интерфейса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19.3.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8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19.4.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8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19.5.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12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конфигурирования средства информационной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доступность на русском языке интерфейса конфигурирования средства информационной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доступность на русском языке интерфейса конфигурирования средства информационной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безопасности</w:t>
            </w:r>
          </w:p>
          <w:p w:rsidR="003E70A1" w:rsidRPr="003D451C" w:rsidRDefault="003E70A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70A1" w:rsidRPr="003D451C" w:rsidRDefault="003E70A1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19.6.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19.7.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490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4327E5" w:rsidRPr="003D451C" w:rsidRDefault="004327E5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7E5" w:rsidRPr="003D451C" w:rsidRDefault="004327E5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19.8.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19.9.</w:t>
            </w:r>
          </w:p>
        </w:tc>
        <w:tc>
          <w:tcPr>
            <w:tcW w:w="31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45"/>
        </w:trPr>
        <w:tc>
          <w:tcPr>
            <w:tcW w:w="154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C23F44" w:rsidRPr="003D451C" w:rsidRDefault="00C23F44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3F44" w:rsidRPr="003D451C" w:rsidRDefault="00C23F44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20.1.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20.2.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российским стандартам систем бухгалтерского учета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20.3.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20.4.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20.5.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20.6.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систем бухгалтерского учета</w:t>
            </w:r>
          </w:p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rPr>
          <w:trHeight w:val="2099"/>
        </w:trPr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20.7.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подведомственных администрации </w:t>
            </w:r>
            <w:proofErr w:type="spellStart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="006F09AC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4781C" w:rsidRPr="003D451C" w:rsidRDefault="0014781C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20.8.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4E715B" w:rsidRPr="003D451C" w:rsidRDefault="004E715B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20.9.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4E715B" w:rsidRPr="003D451C" w:rsidRDefault="004E715B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поддержки и формирования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715B" w:rsidRPr="003D451C" w:rsidRDefault="004E715B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телекоммуникационные прочие.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Пояснения по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требуемым услугам: оказание услуг по предоставлению высокоскоростного доступа в информационно-телекоммуни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кационную сеть «Интернет»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190" w:rsidRPr="003D451C" w:rsidRDefault="005D619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21.1.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992E1B"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5406A" w:rsidRPr="003D451C" w:rsidRDefault="0025406A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21.2.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21.3.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 должностей (должности руководителей)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21.4.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(старшая) группы должностей (должности специалистов)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21.5.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 должностей (должности специалистов)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21.6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21.7.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казенных и бюджетных учреждений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округа, подведомственных администрации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максимальная скорость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максимальная скорость </w:t>
            </w: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21.8.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451C" w:rsidRPr="003D451C" w:rsidTr="003D451C"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21.9.</w:t>
            </w:r>
          </w:p>
        </w:tc>
        <w:tc>
          <w:tcPr>
            <w:tcW w:w="3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должности муниципальных унитарных предприятий </w:t>
            </w:r>
            <w:proofErr w:type="spell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Шумерлинского</w:t>
            </w:r>
            <w:proofErr w:type="spellEnd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rPr>
                <w:rFonts w:ascii="Times New Roman" w:hAnsi="Times New Roman" w:cs="Times New Roman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1 Гбит/</w:t>
            </w:r>
            <w:proofErr w:type="gramStart"/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57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92550" w:rsidRPr="003D451C" w:rsidRDefault="00892550" w:rsidP="003D45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51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285786" w:rsidRPr="003D451C" w:rsidRDefault="00285786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5786" w:rsidRPr="003D451C" w:rsidRDefault="00285786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5786" w:rsidRPr="003D451C" w:rsidRDefault="00285786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5786" w:rsidRPr="003D451C" w:rsidRDefault="00285786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5786" w:rsidRPr="003D451C" w:rsidRDefault="00285786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1CCF" w:rsidRPr="003D451C" w:rsidRDefault="00651CCF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2258" w:rsidRPr="003D451C" w:rsidRDefault="002E2258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2E2258" w:rsidRPr="003D451C" w:rsidSect="0088588C">
      <w:pgSz w:w="16838" w:h="11905" w:orient="landscape"/>
      <w:pgMar w:top="850" w:right="1560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A8"/>
    <w:multiLevelType w:val="hybridMultilevel"/>
    <w:tmpl w:val="A770165C"/>
    <w:lvl w:ilvl="0" w:tplc="4A60BF0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7200EE"/>
    <w:multiLevelType w:val="hybridMultilevel"/>
    <w:tmpl w:val="7744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F1C"/>
    <w:multiLevelType w:val="hybridMultilevel"/>
    <w:tmpl w:val="ED684DBE"/>
    <w:lvl w:ilvl="0" w:tplc="8EB2C14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41EC349C"/>
    <w:multiLevelType w:val="hybridMultilevel"/>
    <w:tmpl w:val="1EA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3ED9"/>
    <w:multiLevelType w:val="hybridMultilevel"/>
    <w:tmpl w:val="ABFC5EB6"/>
    <w:lvl w:ilvl="0" w:tplc="F5BCF0C8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FDE008F"/>
    <w:multiLevelType w:val="hybridMultilevel"/>
    <w:tmpl w:val="DDBA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73887"/>
    <w:multiLevelType w:val="hybridMultilevel"/>
    <w:tmpl w:val="34A28FA8"/>
    <w:lvl w:ilvl="0" w:tplc="8420322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7C035CAF"/>
    <w:multiLevelType w:val="hybridMultilevel"/>
    <w:tmpl w:val="6FE4F97A"/>
    <w:lvl w:ilvl="0" w:tplc="CA14F090">
      <w:start w:val="1"/>
      <w:numFmt w:val="decimal"/>
      <w:lvlText w:val="%1."/>
      <w:lvlJc w:val="left"/>
      <w:pPr>
        <w:ind w:left="6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7"/>
    <w:rsid w:val="00026E17"/>
    <w:rsid w:val="00040717"/>
    <w:rsid w:val="00057D91"/>
    <w:rsid w:val="0006161C"/>
    <w:rsid w:val="000624A2"/>
    <w:rsid w:val="00064377"/>
    <w:rsid w:val="00080552"/>
    <w:rsid w:val="000B0558"/>
    <w:rsid w:val="000C54BA"/>
    <w:rsid w:val="000C5DA4"/>
    <w:rsid w:val="000D634C"/>
    <w:rsid w:val="000E6D2C"/>
    <w:rsid w:val="000F4B36"/>
    <w:rsid w:val="000F568E"/>
    <w:rsid w:val="000F5F83"/>
    <w:rsid w:val="00103AEC"/>
    <w:rsid w:val="00113F94"/>
    <w:rsid w:val="00117D38"/>
    <w:rsid w:val="001278AA"/>
    <w:rsid w:val="001336AF"/>
    <w:rsid w:val="0014167A"/>
    <w:rsid w:val="00145346"/>
    <w:rsid w:val="0014781C"/>
    <w:rsid w:val="0015783F"/>
    <w:rsid w:val="00166A35"/>
    <w:rsid w:val="00170A79"/>
    <w:rsid w:val="001732CD"/>
    <w:rsid w:val="0017588E"/>
    <w:rsid w:val="00180A34"/>
    <w:rsid w:val="00181628"/>
    <w:rsid w:val="001818BB"/>
    <w:rsid w:val="0018204A"/>
    <w:rsid w:val="00187A3C"/>
    <w:rsid w:val="0019412B"/>
    <w:rsid w:val="00194E83"/>
    <w:rsid w:val="001B4039"/>
    <w:rsid w:val="001D6D07"/>
    <w:rsid w:val="001E2638"/>
    <w:rsid w:val="001E5648"/>
    <w:rsid w:val="001F299B"/>
    <w:rsid w:val="00201AFF"/>
    <w:rsid w:val="002076BD"/>
    <w:rsid w:val="002170FF"/>
    <w:rsid w:val="00220428"/>
    <w:rsid w:val="00225096"/>
    <w:rsid w:val="00241F51"/>
    <w:rsid w:val="00243BC5"/>
    <w:rsid w:val="0024591B"/>
    <w:rsid w:val="0025406A"/>
    <w:rsid w:val="00256AC2"/>
    <w:rsid w:val="002824D9"/>
    <w:rsid w:val="002851BA"/>
    <w:rsid w:val="00285786"/>
    <w:rsid w:val="0029476B"/>
    <w:rsid w:val="002A120F"/>
    <w:rsid w:val="002B105B"/>
    <w:rsid w:val="002B145E"/>
    <w:rsid w:val="002D3204"/>
    <w:rsid w:val="002D7367"/>
    <w:rsid w:val="002E2258"/>
    <w:rsid w:val="002F03DD"/>
    <w:rsid w:val="00307CD9"/>
    <w:rsid w:val="003225B7"/>
    <w:rsid w:val="00331E79"/>
    <w:rsid w:val="0034022E"/>
    <w:rsid w:val="00352EF2"/>
    <w:rsid w:val="003B4387"/>
    <w:rsid w:val="003D451C"/>
    <w:rsid w:val="003D66D0"/>
    <w:rsid w:val="003E70A1"/>
    <w:rsid w:val="00400223"/>
    <w:rsid w:val="004004F4"/>
    <w:rsid w:val="00401D00"/>
    <w:rsid w:val="00411401"/>
    <w:rsid w:val="00415445"/>
    <w:rsid w:val="004327E5"/>
    <w:rsid w:val="00437AA6"/>
    <w:rsid w:val="00457D31"/>
    <w:rsid w:val="004600E4"/>
    <w:rsid w:val="004735D4"/>
    <w:rsid w:val="004813A1"/>
    <w:rsid w:val="00481AB3"/>
    <w:rsid w:val="004A0D90"/>
    <w:rsid w:val="004A1211"/>
    <w:rsid w:val="004B3637"/>
    <w:rsid w:val="004B3F37"/>
    <w:rsid w:val="004B4190"/>
    <w:rsid w:val="004B4C14"/>
    <w:rsid w:val="004B71DE"/>
    <w:rsid w:val="004C5361"/>
    <w:rsid w:val="004D3EC6"/>
    <w:rsid w:val="004D5D2C"/>
    <w:rsid w:val="004D77DD"/>
    <w:rsid w:val="004E2622"/>
    <w:rsid w:val="004E4FA8"/>
    <w:rsid w:val="004E6A3B"/>
    <w:rsid w:val="004E715B"/>
    <w:rsid w:val="004F010A"/>
    <w:rsid w:val="004F3A38"/>
    <w:rsid w:val="004F440F"/>
    <w:rsid w:val="00503239"/>
    <w:rsid w:val="0050447F"/>
    <w:rsid w:val="0051092C"/>
    <w:rsid w:val="005224F0"/>
    <w:rsid w:val="005257DA"/>
    <w:rsid w:val="00531768"/>
    <w:rsid w:val="00532C13"/>
    <w:rsid w:val="00546B9F"/>
    <w:rsid w:val="0055694E"/>
    <w:rsid w:val="0055785F"/>
    <w:rsid w:val="005806E6"/>
    <w:rsid w:val="0059783E"/>
    <w:rsid w:val="005C571D"/>
    <w:rsid w:val="005D2317"/>
    <w:rsid w:val="005D6190"/>
    <w:rsid w:val="005E57AC"/>
    <w:rsid w:val="005F1513"/>
    <w:rsid w:val="005F1F7D"/>
    <w:rsid w:val="0060639A"/>
    <w:rsid w:val="00613EA6"/>
    <w:rsid w:val="00631C1C"/>
    <w:rsid w:val="00634FBA"/>
    <w:rsid w:val="00641782"/>
    <w:rsid w:val="006458C9"/>
    <w:rsid w:val="00646059"/>
    <w:rsid w:val="00651CCF"/>
    <w:rsid w:val="00682756"/>
    <w:rsid w:val="006A1F78"/>
    <w:rsid w:val="006A63DD"/>
    <w:rsid w:val="006B1D52"/>
    <w:rsid w:val="006B2971"/>
    <w:rsid w:val="006C0F6B"/>
    <w:rsid w:val="006D6F01"/>
    <w:rsid w:val="006E554D"/>
    <w:rsid w:val="006E7069"/>
    <w:rsid w:val="006F09AC"/>
    <w:rsid w:val="006F0B47"/>
    <w:rsid w:val="006F464A"/>
    <w:rsid w:val="006F5696"/>
    <w:rsid w:val="007070F1"/>
    <w:rsid w:val="00715C7B"/>
    <w:rsid w:val="0072293D"/>
    <w:rsid w:val="00743B5C"/>
    <w:rsid w:val="0076430A"/>
    <w:rsid w:val="00772E46"/>
    <w:rsid w:val="00781DDB"/>
    <w:rsid w:val="00792AA5"/>
    <w:rsid w:val="007A5A4E"/>
    <w:rsid w:val="007C1CBB"/>
    <w:rsid w:val="007C2B6B"/>
    <w:rsid w:val="007D146F"/>
    <w:rsid w:val="007D3432"/>
    <w:rsid w:val="007E5F23"/>
    <w:rsid w:val="007F0F5A"/>
    <w:rsid w:val="007F1950"/>
    <w:rsid w:val="007F21CF"/>
    <w:rsid w:val="007F72D1"/>
    <w:rsid w:val="00800B54"/>
    <w:rsid w:val="00810029"/>
    <w:rsid w:val="00836729"/>
    <w:rsid w:val="008566EA"/>
    <w:rsid w:val="008737FF"/>
    <w:rsid w:val="0088588C"/>
    <w:rsid w:val="00892550"/>
    <w:rsid w:val="008A0023"/>
    <w:rsid w:val="008C494D"/>
    <w:rsid w:val="008C49CB"/>
    <w:rsid w:val="008D1F4F"/>
    <w:rsid w:val="008D52A9"/>
    <w:rsid w:val="008E3A68"/>
    <w:rsid w:val="008E7D6C"/>
    <w:rsid w:val="008F0B7F"/>
    <w:rsid w:val="008F4C22"/>
    <w:rsid w:val="00905C4E"/>
    <w:rsid w:val="00921767"/>
    <w:rsid w:val="00921C0F"/>
    <w:rsid w:val="00945860"/>
    <w:rsid w:val="009525EC"/>
    <w:rsid w:val="00983DD0"/>
    <w:rsid w:val="00985C51"/>
    <w:rsid w:val="00987F48"/>
    <w:rsid w:val="00992E1B"/>
    <w:rsid w:val="009B1A6F"/>
    <w:rsid w:val="009B429C"/>
    <w:rsid w:val="009C6480"/>
    <w:rsid w:val="009D65FF"/>
    <w:rsid w:val="009D7C9A"/>
    <w:rsid w:val="009F1BF7"/>
    <w:rsid w:val="00A34AD8"/>
    <w:rsid w:val="00A67B78"/>
    <w:rsid w:val="00A711FE"/>
    <w:rsid w:val="00A8440B"/>
    <w:rsid w:val="00A85259"/>
    <w:rsid w:val="00A941E7"/>
    <w:rsid w:val="00A96452"/>
    <w:rsid w:val="00AB01AF"/>
    <w:rsid w:val="00AD140A"/>
    <w:rsid w:val="00AD713E"/>
    <w:rsid w:val="00AE0B24"/>
    <w:rsid w:val="00AE7FA8"/>
    <w:rsid w:val="00B04131"/>
    <w:rsid w:val="00B228AD"/>
    <w:rsid w:val="00B32187"/>
    <w:rsid w:val="00B336E6"/>
    <w:rsid w:val="00B3630B"/>
    <w:rsid w:val="00B37B82"/>
    <w:rsid w:val="00B4148D"/>
    <w:rsid w:val="00B45E4F"/>
    <w:rsid w:val="00B47DE6"/>
    <w:rsid w:val="00B600FA"/>
    <w:rsid w:val="00B6265F"/>
    <w:rsid w:val="00B723DC"/>
    <w:rsid w:val="00B72C49"/>
    <w:rsid w:val="00B74AE6"/>
    <w:rsid w:val="00B77407"/>
    <w:rsid w:val="00B802F8"/>
    <w:rsid w:val="00B83D9B"/>
    <w:rsid w:val="00B84030"/>
    <w:rsid w:val="00BA2862"/>
    <w:rsid w:val="00BA58E7"/>
    <w:rsid w:val="00BA6481"/>
    <w:rsid w:val="00BC1EB1"/>
    <w:rsid w:val="00BC41FF"/>
    <w:rsid w:val="00BE1C80"/>
    <w:rsid w:val="00BE5856"/>
    <w:rsid w:val="00BF65A2"/>
    <w:rsid w:val="00BF7198"/>
    <w:rsid w:val="00C0216F"/>
    <w:rsid w:val="00C14761"/>
    <w:rsid w:val="00C23F44"/>
    <w:rsid w:val="00C27AD7"/>
    <w:rsid w:val="00C35B2E"/>
    <w:rsid w:val="00C43469"/>
    <w:rsid w:val="00C45D46"/>
    <w:rsid w:val="00C64683"/>
    <w:rsid w:val="00C746FC"/>
    <w:rsid w:val="00C74828"/>
    <w:rsid w:val="00CA2B35"/>
    <w:rsid w:val="00CA477D"/>
    <w:rsid w:val="00CB1895"/>
    <w:rsid w:val="00CC316E"/>
    <w:rsid w:val="00CC4351"/>
    <w:rsid w:val="00CC6340"/>
    <w:rsid w:val="00CD4355"/>
    <w:rsid w:val="00CD7D29"/>
    <w:rsid w:val="00D038D4"/>
    <w:rsid w:val="00D04AAD"/>
    <w:rsid w:val="00D11506"/>
    <w:rsid w:val="00D17D0C"/>
    <w:rsid w:val="00D26F04"/>
    <w:rsid w:val="00D32BAA"/>
    <w:rsid w:val="00D66AE5"/>
    <w:rsid w:val="00D7573B"/>
    <w:rsid w:val="00D841CD"/>
    <w:rsid w:val="00DA5027"/>
    <w:rsid w:val="00DB5104"/>
    <w:rsid w:val="00DB6504"/>
    <w:rsid w:val="00DB65B4"/>
    <w:rsid w:val="00DD5FBD"/>
    <w:rsid w:val="00DE279C"/>
    <w:rsid w:val="00DF2D20"/>
    <w:rsid w:val="00DF5F42"/>
    <w:rsid w:val="00E364AA"/>
    <w:rsid w:val="00E41D30"/>
    <w:rsid w:val="00E43011"/>
    <w:rsid w:val="00E60858"/>
    <w:rsid w:val="00E64313"/>
    <w:rsid w:val="00E6517C"/>
    <w:rsid w:val="00E7241B"/>
    <w:rsid w:val="00E826D2"/>
    <w:rsid w:val="00E92909"/>
    <w:rsid w:val="00E9409B"/>
    <w:rsid w:val="00EB7F00"/>
    <w:rsid w:val="00ED3040"/>
    <w:rsid w:val="00EE51F0"/>
    <w:rsid w:val="00F16F26"/>
    <w:rsid w:val="00F223BB"/>
    <w:rsid w:val="00F25036"/>
    <w:rsid w:val="00F3365E"/>
    <w:rsid w:val="00F349B4"/>
    <w:rsid w:val="00F35E3F"/>
    <w:rsid w:val="00F4129D"/>
    <w:rsid w:val="00F4430D"/>
    <w:rsid w:val="00F547F9"/>
    <w:rsid w:val="00F55468"/>
    <w:rsid w:val="00F563C1"/>
    <w:rsid w:val="00F801F5"/>
    <w:rsid w:val="00F808CB"/>
    <w:rsid w:val="00FD5D3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7BE726B85B601777978E1E71E58CE2D9C8466D194566926FC0EFC094A0AC0A394FE1AD8n1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09B1-DA5A-40AE-A16F-94C15307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8435</TotalTime>
  <Pages>53</Pages>
  <Words>17323</Words>
  <Characters>98744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Галина Алексеевна</dc:creator>
  <cp:keywords/>
  <dc:description/>
  <cp:lastModifiedBy>Татьяна Евгеньевна Круглова</cp:lastModifiedBy>
  <cp:revision>139</cp:revision>
  <cp:lastPrinted>2023-02-10T06:06:00Z</cp:lastPrinted>
  <dcterms:created xsi:type="dcterms:W3CDTF">2017-02-06T12:04:00Z</dcterms:created>
  <dcterms:modified xsi:type="dcterms:W3CDTF">2023-02-10T13:02:00Z</dcterms:modified>
</cp:coreProperties>
</file>