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588" w:rsidRDefault="00F86588" w:rsidP="00F86588">
      <w:pPr>
        <w:jc w:val="right"/>
      </w:pPr>
    </w:p>
    <w:p w:rsidR="00F86588" w:rsidRDefault="00F86588" w:rsidP="00F86588">
      <w:pPr>
        <w:jc w:val="right"/>
        <w:rPr>
          <w:rStyle w:val="a6"/>
          <w:b w:val="0"/>
          <w:sz w:val="20"/>
          <w:szCs w:val="20"/>
        </w:rPr>
      </w:pPr>
      <w:bookmarkStart w:id="0" w:name="sub_70000"/>
      <w:r>
        <w:rPr>
          <w:rStyle w:val="a6"/>
          <w:b w:val="0"/>
          <w:sz w:val="20"/>
          <w:szCs w:val="20"/>
        </w:rPr>
        <w:t xml:space="preserve">Приложение N 2 к </w:t>
      </w:r>
      <w:hyperlink r:id="rId5" w:anchor="sub_1000" w:history="1">
        <w:r>
          <w:rPr>
            <w:rStyle w:val="a7"/>
            <w:sz w:val="20"/>
            <w:szCs w:val="20"/>
          </w:rPr>
          <w:t>Порядку</w:t>
        </w:r>
      </w:hyperlink>
      <w:r>
        <w:rPr>
          <w:rStyle w:val="a6"/>
          <w:b w:val="0"/>
          <w:sz w:val="20"/>
          <w:szCs w:val="20"/>
        </w:rPr>
        <w:t xml:space="preserve"> разработки и реализации </w:t>
      </w:r>
    </w:p>
    <w:p w:rsidR="00F86588" w:rsidRDefault="00F86588" w:rsidP="00F86588">
      <w:pPr>
        <w:jc w:val="right"/>
        <w:rPr>
          <w:b/>
        </w:rPr>
      </w:pPr>
      <w:r>
        <w:rPr>
          <w:rStyle w:val="a6"/>
          <w:b w:val="0"/>
          <w:sz w:val="20"/>
          <w:szCs w:val="20"/>
        </w:rPr>
        <w:t xml:space="preserve">муниципальных программ </w:t>
      </w:r>
      <w:r>
        <w:rPr>
          <w:sz w:val="20"/>
          <w:szCs w:val="20"/>
        </w:rPr>
        <w:t>Аликовского</w:t>
      </w:r>
      <w:r>
        <w:rPr>
          <w:rStyle w:val="a6"/>
          <w:b w:val="0"/>
          <w:sz w:val="20"/>
          <w:szCs w:val="20"/>
        </w:rPr>
        <w:t xml:space="preserve"> МО</w:t>
      </w:r>
    </w:p>
    <w:bookmarkEnd w:id="0"/>
    <w:p w:rsidR="00F86588" w:rsidRDefault="00F86588" w:rsidP="00F86588">
      <w:pPr>
        <w:pStyle w:val="1"/>
        <w:numPr>
          <w:ilvl w:val="0"/>
          <w:numId w:val="1"/>
        </w:numPr>
        <w:jc w:val="both"/>
        <w:rPr>
          <w:b/>
          <w:sz w:val="24"/>
        </w:rPr>
      </w:pPr>
    </w:p>
    <w:p w:rsidR="00F86588" w:rsidRDefault="00F86588" w:rsidP="00F86588">
      <w:pPr>
        <w:pStyle w:val="1"/>
        <w:numPr>
          <w:ilvl w:val="0"/>
          <w:numId w:val="1"/>
        </w:numPr>
        <w:jc w:val="center"/>
        <w:rPr>
          <w:rFonts w:cs="Times New Roman"/>
          <w:sz w:val="20"/>
          <w:szCs w:val="20"/>
        </w:rPr>
      </w:pPr>
      <w:r>
        <w:rPr>
          <w:b/>
          <w:sz w:val="20"/>
          <w:szCs w:val="20"/>
        </w:rPr>
        <w:t>Сведения</w:t>
      </w:r>
      <w:r>
        <w:rPr>
          <w:b/>
          <w:sz w:val="20"/>
          <w:szCs w:val="20"/>
        </w:rPr>
        <w:br/>
        <w:t>о достижении значений целевых индикаторов и показателей муниципальной программы Аликовского МО, подпрограмм муниципальной программы Аликовского МО (программ)</w:t>
      </w:r>
    </w:p>
    <w:tbl>
      <w:tblPr>
        <w:tblW w:w="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73"/>
        <w:gridCol w:w="1330"/>
        <w:gridCol w:w="810"/>
        <w:gridCol w:w="1414"/>
        <w:gridCol w:w="930"/>
        <w:gridCol w:w="998"/>
        <w:gridCol w:w="700"/>
        <w:gridCol w:w="1573"/>
        <w:gridCol w:w="1768"/>
      </w:tblGrid>
      <w:tr w:rsidR="00F86588" w:rsidTr="00F86588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Аликовского МО, подпрограммы муниципальной программы Аликовского МО (программы)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индикаторов и показателей муниципальной программы Аликовского МО,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Аликовского МО (программы) текущий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(план)</w:t>
            </w:r>
          </w:p>
        </w:tc>
      </w:tr>
      <w:tr w:rsidR="00F86588" w:rsidTr="00F86588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предшест-вующий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отчетному</w:t>
            </w:r>
            <w:hyperlink r:id="rId6" w:anchor="sub_8888" w:history="1">
              <w:r>
                <w:rPr>
                  <w:rStyle w:val="a7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отчетный год 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588" w:rsidTr="00F86588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52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4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Перво-началь-ный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Уточ-ненный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86588" w:rsidRDefault="00F86588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МО "Повышение безопасности жизнедеятельности населения и территорий  Аликовского МО Чувашской Республики»</w:t>
            </w: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систем оповещения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Готовность защитных сооружений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П%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руководящего состава и должностных лиц, прошедших подготовку по ГО и ЧС,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актов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Ч%</w:t>
            </w:r>
          </w:p>
          <w:p w:rsidR="00F86588" w:rsidRDefault="00F8658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:rsidR="00F86588" w:rsidRDefault="00F86588"/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Аликовского МО»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пожаров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 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погибших на пожарах людей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травмированных на пожарах (людей)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Травмированных нет </w:t>
            </w: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руководящего состава прошедших подготовку по ГО и ЧС и </w:t>
            </w:r>
            <w:proofErr w:type="spellStart"/>
            <w:r>
              <w:rPr>
                <w:sz w:val="20"/>
                <w:szCs w:val="20"/>
              </w:rPr>
              <w:t>терр</w:t>
            </w:r>
            <w:proofErr w:type="spellEnd"/>
            <w:r>
              <w:rPr>
                <w:sz w:val="20"/>
                <w:szCs w:val="20"/>
              </w:rPr>
              <w:t xml:space="preserve">. актов,% 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94,3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Повышение уровня готовности ЗС ГО по использованию по предназначению,%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Готовность систем оповещения населения об опасностях,%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населения, имеющего доступ к получению сигналов оповещения и экстренной информации,%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87,4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оправдавшихся прогнозов чрезвычайных ситуаций (достоверность),%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spacing w:line="228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  <w:tc>
          <w:tcPr>
            <w:tcW w:w="1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90,4</w:t>
            </w:r>
          </w:p>
        </w:tc>
      </w:tr>
    </w:tbl>
    <w:p w:rsidR="00F86588" w:rsidRDefault="00F86588" w:rsidP="00F86588">
      <w:pPr>
        <w:jc w:val="both"/>
        <w:rPr>
          <w:sz w:val="20"/>
          <w:szCs w:val="20"/>
        </w:rPr>
      </w:pPr>
    </w:p>
    <w:tbl>
      <w:tblPr>
        <w:tblW w:w="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73"/>
        <w:gridCol w:w="1330"/>
        <w:gridCol w:w="810"/>
        <w:gridCol w:w="1414"/>
        <w:gridCol w:w="930"/>
        <w:gridCol w:w="998"/>
        <w:gridCol w:w="700"/>
        <w:gridCol w:w="1418"/>
        <w:gridCol w:w="1923"/>
      </w:tblGrid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«Профилактика терроризма и экстремистской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детей, охваченных образовательными программами дополнительного образования детей, в общей численности детей,%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spacing w:line="228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73,0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граждан, положительно оценивающих состояние межнациональных отношений,%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88,1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материалов в районных средствах массовой информации направленных на профилактику терроризма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2,0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F86588" w:rsidTr="00F86588">
        <w:tc>
          <w:tcPr>
            <w:tcW w:w="4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Количество мероприятий  (рабочих встреч, круглых столов) проведенных представителями общественных объединений с целью пропаганды недопустимости конфликтов</w:t>
            </w:r>
          </w:p>
        </w:tc>
        <w:tc>
          <w:tcPr>
            <w:tcW w:w="14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1,0</w:t>
            </w:r>
          </w:p>
        </w:tc>
        <w:tc>
          <w:tcPr>
            <w:tcW w:w="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1,0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Построение (развитие) аппаратно-программного комплекса «Безопасный город»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Целевой индикатор и показатель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опасных объектов, грузов, опасных природных объектов, процессов и явлений системами мониторинга (полнота)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F86588" w:rsidTr="00F86588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среднего времени комплексного реагирования экстренных оперативных служб на обращения граждан по номеру «112» по сравнению 2017 годом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минут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88" w:rsidRDefault="00F86588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F86588" w:rsidRDefault="00F86588" w:rsidP="00F86588">
      <w:pPr>
        <w:pStyle w:val="a5"/>
        <w:jc w:val="both"/>
        <w:rPr>
          <w:rStyle w:val="a6"/>
          <w:b w:val="0"/>
          <w:sz w:val="20"/>
          <w:szCs w:val="20"/>
        </w:rPr>
      </w:pPr>
    </w:p>
    <w:p w:rsidR="00B04180" w:rsidRDefault="00B04180">
      <w:bookmarkStart w:id="1" w:name="_GoBack"/>
      <w:bookmarkEnd w:id="1"/>
    </w:p>
    <w:sectPr w:rsidR="00B0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92"/>
    <w:rsid w:val="00B04180"/>
    <w:rsid w:val="00F20F92"/>
    <w:rsid w:val="00F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BEAB5-7BF5-4A2C-9F4B-1F5B74E6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8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86588"/>
    <w:pPr>
      <w:keepNext/>
      <w:numPr>
        <w:numId w:val="2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588"/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paragraph" w:customStyle="1" w:styleId="a3">
    <w:name w:val="Нормальный (таблица)"/>
    <w:basedOn w:val="a"/>
    <w:next w:val="a"/>
    <w:rsid w:val="00F86588"/>
    <w:pPr>
      <w:autoSpaceDE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F86588"/>
    <w:pPr>
      <w:autoSpaceDE w:val="0"/>
    </w:pPr>
    <w:rPr>
      <w:rFonts w:ascii="Arial" w:hAnsi="Arial" w:cs="Arial"/>
    </w:rPr>
  </w:style>
  <w:style w:type="paragraph" w:customStyle="1" w:styleId="a5">
    <w:name w:val="Таблицы (моноширинный)"/>
    <w:basedOn w:val="a"/>
    <w:next w:val="a"/>
    <w:rsid w:val="00F86588"/>
    <w:pPr>
      <w:autoSpaceDE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86588"/>
    <w:pPr>
      <w:widowControl w:val="0"/>
      <w:suppressAutoHyphens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hi-IN" w:bidi="hi-IN"/>
    </w:rPr>
  </w:style>
  <w:style w:type="character" w:customStyle="1" w:styleId="a6">
    <w:name w:val="Цветовое выделение"/>
    <w:rsid w:val="00F86588"/>
    <w:rPr>
      <w:b/>
      <w:bCs w:val="0"/>
      <w:color w:val="000080"/>
    </w:rPr>
  </w:style>
  <w:style w:type="character" w:customStyle="1" w:styleId="a7">
    <w:name w:val="Гипертекстовая ссылка"/>
    <w:rsid w:val="00F86588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ikov_info3\Downloads\&#1052;&#1091;&#1085;&#1080;&#1094;&#1080;&#1087;&#1072;&#1083;&#1100;&#1085;&#1072;&#1103;%20&#1087;&#1088;&#1086;&#1075;&#1088;&#1072;&#1084;&#1084;&#1072;\AppData\Local\Microsoft\Window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file:///C:\Users\alikov_info3\Downloads\&#1052;&#1091;&#1085;&#1080;&#1094;&#1080;&#1087;&#1072;&#1083;&#1100;&#1085;&#1072;&#1103;%20&#1087;&#1088;&#1086;&#1075;&#1088;&#1072;&#1084;&#1084;&#1072;\AppData\Local\Microsoft\Windows\Temporary%20Internet%20Files\Content.IE5\Local%20Settings\Temp\Temporary%20Internet%20Files\Content.IE5\3L2JI2MT\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3</cp:revision>
  <dcterms:created xsi:type="dcterms:W3CDTF">2024-03-28T12:39:00Z</dcterms:created>
  <dcterms:modified xsi:type="dcterms:W3CDTF">2024-03-28T12:39:00Z</dcterms:modified>
</cp:coreProperties>
</file>