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817AE"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08.05.</w:t>
            </w:r>
            <w:r w:rsidR="001B71A4">
              <w:rPr>
                <w:noProof/>
                <w:color w:val="000000"/>
                <w:kern w:val="0"/>
                <w:sz w:val="26"/>
                <w:szCs w:val="20"/>
                <w:lang w:eastAsia="ru-RU"/>
              </w:rPr>
              <w:t>2024</w:t>
            </w:r>
            <w:r w:rsidR="003764F9" w:rsidRPr="003764F9">
              <w:rPr>
                <w:noProof/>
                <w:color w:val="000000"/>
                <w:kern w:val="0"/>
                <w:sz w:val="26"/>
                <w:szCs w:val="20"/>
                <w:lang w:eastAsia="ru-RU"/>
              </w:rPr>
              <w:t xml:space="preserve"> № </w:t>
            </w:r>
            <w:r>
              <w:rPr>
                <w:noProof/>
                <w:color w:val="000000"/>
                <w:kern w:val="0"/>
                <w:sz w:val="26"/>
                <w:szCs w:val="20"/>
                <w:lang w:eastAsia="ru-RU"/>
              </w:rPr>
              <w:t>483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817AE"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08.05.</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483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tbl>
      <w:tblPr>
        <w:tblStyle w:val="3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tblGrid>
      <w:tr w:rsidR="007F6C6D" w:rsidRPr="007F6C6D" w:rsidTr="00186ED9">
        <w:tc>
          <w:tcPr>
            <w:tcW w:w="4962" w:type="dxa"/>
          </w:tcPr>
          <w:p w:rsidR="007F6C6D" w:rsidRPr="007F6C6D" w:rsidRDefault="007F6C6D" w:rsidP="001501A2">
            <w:pPr>
              <w:widowControl w:val="0"/>
              <w:tabs>
                <w:tab w:val="left" w:pos="690"/>
                <w:tab w:val="left" w:pos="4678"/>
              </w:tabs>
              <w:suppressAutoHyphens w:val="0"/>
              <w:autoSpaceDE w:val="0"/>
              <w:autoSpaceDN w:val="0"/>
              <w:adjustRightInd w:val="0"/>
              <w:spacing w:line="240" w:lineRule="auto"/>
              <w:ind w:right="68" w:firstLine="0"/>
              <w:rPr>
                <w:rFonts w:ascii="Times New Roman CYR" w:hAnsi="Times New Roman CYR" w:cs="Times New Roman CYR"/>
                <w:kern w:val="0"/>
                <w:sz w:val="28"/>
                <w:szCs w:val="28"/>
                <w:lang w:eastAsia="ru-RU"/>
              </w:rPr>
            </w:pPr>
            <w:r w:rsidRPr="007F6C6D">
              <w:rPr>
                <w:rFonts w:ascii="Times New Roman CYR" w:hAnsi="Times New Roman CYR" w:cs="Times New Roman CYR"/>
                <w:kern w:val="0"/>
                <w:sz w:val="28"/>
                <w:szCs w:val="28"/>
                <w:lang w:eastAsia="ru-RU"/>
              </w:rPr>
              <w:t>Об утверждении ключевых показателей</w:t>
            </w:r>
            <w:r w:rsidR="001501A2">
              <w:rPr>
                <w:rFonts w:ascii="Times New Roman CYR" w:hAnsi="Times New Roman CYR" w:cs="Times New Roman CYR"/>
                <w:kern w:val="0"/>
                <w:sz w:val="28"/>
                <w:szCs w:val="28"/>
                <w:lang w:eastAsia="ru-RU"/>
              </w:rPr>
              <w:t xml:space="preserve"> эффективности функционирования </w:t>
            </w:r>
            <w:r w:rsidRPr="007F6C6D">
              <w:rPr>
                <w:rFonts w:ascii="Times New Roman CYR" w:hAnsi="Times New Roman CYR" w:cs="Times New Roman CYR"/>
                <w:kern w:val="0"/>
                <w:sz w:val="28"/>
                <w:szCs w:val="28"/>
                <w:lang w:eastAsia="ru-RU"/>
              </w:rPr>
              <w:t>антимонопольного комплаенса в администрации Янтиковского муниципального округа Чувашской Республики на 2024 год</w:t>
            </w:r>
          </w:p>
        </w:tc>
      </w:tr>
    </w:tbl>
    <w:p w:rsidR="007F6C6D" w:rsidRDefault="007F6C6D" w:rsidP="007F6C6D">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7F6C6D" w:rsidRPr="007F6C6D" w:rsidRDefault="007F6C6D" w:rsidP="007F6C6D">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7F6C6D" w:rsidRPr="007F6C6D" w:rsidRDefault="007F6C6D" w:rsidP="007F6C6D">
      <w:pPr>
        <w:tabs>
          <w:tab w:val="left" w:pos="709"/>
          <w:tab w:val="left" w:pos="851"/>
        </w:tabs>
        <w:suppressAutoHyphens w:val="0"/>
        <w:spacing w:line="360" w:lineRule="auto"/>
        <w:contextualSpacing/>
        <w:rPr>
          <w:rFonts w:eastAsia="Calibri"/>
          <w:b/>
          <w:kern w:val="0"/>
          <w:sz w:val="28"/>
          <w:szCs w:val="28"/>
          <w:lang w:eastAsia="en-US"/>
        </w:rPr>
      </w:pPr>
      <w:r w:rsidRPr="007F6C6D">
        <w:rPr>
          <w:rFonts w:eastAsia="Calibri"/>
          <w:kern w:val="0"/>
          <w:sz w:val="28"/>
          <w:szCs w:val="28"/>
          <w:lang w:eastAsia="en-US"/>
        </w:rPr>
        <w:t>В соответствии с распоряжением Правительства Росс</w:t>
      </w:r>
      <w:r w:rsidR="002F3624">
        <w:rPr>
          <w:rFonts w:eastAsia="Calibri"/>
          <w:kern w:val="0"/>
          <w:sz w:val="28"/>
          <w:szCs w:val="28"/>
          <w:lang w:eastAsia="en-US"/>
        </w:rPr>
        <w:t xml:space="preserve">ийской Федерации от 18.10.2018 </w:t>
      </w:r>
      <w:r w:rsidRPr="007F6C6D">
        <w:rPr>
          <w:rFonts w:eastAsia="Calibri"/>
          <w:kern w:val="0"/>
          <w:sz w:val="28"/>
          <w:szCs w:val="28"/>
          <w:lang w:eastAsia="en-US"/>
        </w:rPr>
        <w:t xml:space="preserve">№ 2258-р «О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разделом </w:t>
      </w:r>
      <w:r w:rsidRPr="007F6C6D">
        <w:rPr>
          <w:rFonts w:eastAsia="Calibri"/>
          <w:kern w:val="0"/>
          <w:sz w:val="28"/>
          <w:szCs w:val="28"/>
          <w:lang w:val="en-US" w:eastAsia="en-US"/>
        </w:rPr>
        <w:t>VI</w:t>
      </w:r>
      <w:r w:rsidRPr="007F6C6D">
        <w:rPr>
          <w:rFonts w:eastAsia="Calibri"/>
          <w:kern w:val="0"/>
          <w:sz w:val="28"/>
          <w:szCs w:val="28"/>
          <w:lang w:eastAsia="en-US"/>
        </w:rPr>
        <w:t xml:space="preserve"> Положения об организации в администрации Янтиковского муниципального округа Чувашской Республики системы внутреннего обеспечения соответствия антимонопольного законодательства (антимонопольного комплаенса), утвержденного постановлением администрации Янтиковского муниципального округа Чувашской Республики от 31.03.2023 № 255 администрация Янтиковского муниципального округа  </w:t>
      </w:r>
      <w:r>
        <w:rPr>
          <w:rFonts w:eastAsia="Calibri"/>
          <w:kern w:val="0"/>
          <w:sz w:val="28"/>
          <w:szCs w:val="28"/>
          <w:lang w:eastAsia="en-US"/>
        </w:rPr>
        <w:t xml:space="preserve">                                  </w:t>
      </w:r>
      <w:r w:rsidRPr="007F6C6D">
        <w:rPr>
          <w:rFonts w:eastAsia="Calibri"/>
          <w:b/>
          <w:kern w:val="0"/>
          <w:sz w:val="28"/>
          <w:szCs w:val="28"/>
          <w:lang w:eastAsia="en-US"/>
        </w:rPr>
        <w:t>п о с т а н о в л я е т:</w:t>
      </w:r>
    </w:p>
    <w:p w:rsidR="007F6C6D" w:rsidRPr="007F6C6D" w:rsidRDefault="007F6C6D" w:rsidP="007F6C6D">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t>1. Утвердить:</w:t>
      </w:r>
    </w:p>
    <w:p w:rsidR="007F6C6D" w:rsidRPr="007F6C6D" w:rsidRDefault="007F6C6D" w:rsidP="007F6C6D">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t>1.1. Ключевые показатели эффективности функционирования антимонопольного комплаенса в администрации Янтиковского муниципального округа Чувашской Республики на 2024 год согласно приложению № 1.</w:t>
      </w:r>
    </w:p>
    <w:p w:rsidR="007F6C6D" w:rsidRPr="007F6C6D" w:rsidRDefault="007F6C6D" w:rsidP="007F6C6D">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lastRenderedPageBreak/>
        <w:t>1.2. Методику расчета ключевых показателей эффективности функционирования в администрации Янтиковского муниципального округа Чувашской Республики антимонопольного комплаенса согласно приложению № 2.</w:t>
      </w:r>
    </w:p>
    <w:p w:rsidR="007F6C6D" w:rsidRPr="007F6C6D" w:rsidRDefault="007F6C6D" w:rsidP="007F6C6D">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t>2. Контроль за исполнением настоящего постановления возложить на заместителя главы администрации – начальника отдела экономики, земельных и имущественных отношений.</w:t>
      </w:r>
    </w:p>
    <w:p w:rsidR="007F6C6D" w:rsidRPr="007F6C6D" w:rsidRDefault="007F6C6D" w:rsidP="007F6C6D">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t xml:space="preserve">3. Настоящее постановление вступает в силу со дня его официального опубликования. </w:t>
      </w:r>
    </w:p>
    <w:p w:rsidR="007F6C6D" w:rsidRPr="007F6C6D" w:rsidRDefault="007F6C6D" w:rsidP="007F6C6D">
      <w:pPr>
        <w:tabs>
          <w:tab w:val="left" w:pos="709"/>
          <w:tab w:val="left" w:pos="851"/>
        </w:tabs>
        <w:suppressAutoHyphens w:val="0"/>
        <w:spacing w:line="240" w:lineRule="auto"/>
        <w:ind w:firstLine="0"/>
        <w:contextualSpacing/>
        <w:rPr>
          <w:rFonts w:eastAsia="Calibri"/>
          <w:kern w:val="0"/>
          <w:sz w:val="28"/>
          <w:szCs w:val="28"/>
          <w:lang w:eastAsia="en-US"/>
        </w:rPr>
      </w:pPr>
    </w:p>
    <w:p w:rsidR="007F6C6D" w:rsidRP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P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7F6C6D">
        <w:rPr>
          <w:rFonts w:ascii="Times New Roman CYR" w:hAnsi="Times New Roman CYR" w:cs="Times New Roman CYR"/>
          <w:kern w:val="0"/>
          <w:sz w:val="28"/>
          <w:szCs w:val="28"/>
          <w:lang w:eastAsia="ru-RU"/>
        </w:rPr>
        <w:t>Глава Янтиковского</w:t>
      </w: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7F6C6D">
        <w:rPr>
          <w:rFonts w:ascii="Times New Roman CYR" w:hAnsi="Times New Roman CYR" w:cs="Times New Roman CYR"/>
          <w:kern w:val="0"/>
          <w:sz w:val="28"/>
          <w:szCs w:val="28"/>
          <w:lang w:eastAsia="ru-RU"/>
        </w:rPr>
        <w:t xml:space="preserve">муниципального округа                   </w:t>
      </w:r>
      <w:r>
        <w:rPr>
          <w:rFonts w:ascii="Times New Roman CYR" w:hAnsi="Times New Roman CYR" w:cs="Times New Roman CYR"/>
          <w:kern w:val="0"/>
          <w:sz w:val="28"/>
          <w:szCs w:val="28"/>
          <w:lang w:eastAsia="ru-RU"/>
        </w:rPr>
        <w:t xml:space="preserve">                                </w:t>
      </w:r>
      <w:r w:rsidRPr="007F6C6D">
        <w:rPr>
          <w:rFonts w:ascii="Times New Roman CYR" w:hAnsi="Times New Roman CYR" w:cs="Times New Roman CYR"/>
          <w:kern w:val="0"/>
          <w:sz w:val="28"/>
          <w:szCs w:val="28"/>
          <w:lang w:eastAsia="ru-RU"/>
        </w:rPr>
        <w:t xml:space="preserve">                 О.А. Ломоносов</w:t>
      </w: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sectPr w:rsidR="007F6C6D" w:rsidSect="002F3624">
          <w:headerReference w:type="default" r:id="rId9"/>
          <w:footerReference w:type="default" r:id="rId10"/>
          <w:pgSz w:w="11906" w:h="16838"/>
          <w:pgMar w:top="1134" w:right="567" w:bottom="1134" w:left="1701" w:header="567" w:footer="709" w:gutter="0"/>
          <w:pgNumType w:start="1"/>
          <w:cols w:space="708"/>
          <w:titlePg/>
          <w:docGrid w:linePitch="360"/>
        </w:sectPr>
      </w:pPr>
    </w:p>
    <w:p w:rsidR="007F6C6D" w:rsidRPr="007F6C6D" w:rsidRDefault="007F6C6D" w:rsidP="007F6C6D">
      <w:pPr>
        <w:widowControl w:val="0"/>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sidRPr="007F6C6D">
        <w:rPr>
          <w:rFonts w:ascii="Times New Roman CYR" w:hAnsi="Times New Roman CYR" w:cs="Times New Roman CYR"/>
          <w:kern w:val="0"/>
          <w:lang w:eastAsia="ru-RU"/>
        </w:rPr>
        <w:lastRenderedPageBreak/>
        <w:t>Приложение № 1</w:t>
      </w:r>
    </w:p>
    <w:p w:rsidR="007F6C6D" w:rsidRPr="007F6C6D" w:rsidRDefault="007F6C6D" w:rsidP="007F6C6D">
      <w:pPr>
        <w:widowControl w:val="0"/>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Pr>
          <w:rFonts w:ascii="Times New Roman CYR" w:hAnsi="Times New Roman CYR" w:cs="Times New Roman CYR"/>
          <w:kern w:val="0"/>
          <w:lang w:eastAsia="ru-RU"/>
        </w:rPr>
        <w:t>к постановлению</w:t>
      </w:r>
      <w:r w:rsidRPr="007F6C6D">
        <w:rPr>
          <w:rFonts w:ascii="Times New Roman CYR" w:hAnsi="Times New Roman CYR" w:cs="Times New Roman CYR"/>
          <w:kern w:val="0"/>
          <w:lang w:eastAsia="ru-RU"/>
        </w:rPr>
        <w:t xml:space="preserve"> администрации </w:t>
      </w:r>
    </w:p>
    <w:p w:rsidR="007F6C6D" w:rsidRDefault="007F6C6D" w:rsidP="007F6C6D">
      <w:pPr>
        <w:widowControl w:val="0"/>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sidRPr="007F6C6D">
        <w:rPr>
          <w:rFonts w:ascii="Times New Roman CYR" w:hAnsi="Times New Roman CYR" w:cs="Times New Roman CYR"/>
          <w:kern w:val="0"/>
          <w:lang w:eastAsia="ru-RU"/>
        </w:rPr>
        <w:t xml:space="preserve">Янтиковского муниципального округа </w:t>
      </w:r>
    </w:p>
    <w:p w:rsidR="007F6C6D" w:rsidRPr="007F6C6D" w:rsidRDefault="004817AE" w:rsidP="007F6C6D">
      <w:pPr>
        <w:widowControl w:val="0"/>
        <w:tabs>
          <w:tab w:val="left" w:pos="709"/>
        </w:tabs>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Pr>
          <w:rFonts w:ascii="Times New Roman CYR" w:hAnsi="Times New Roman CYR" w:cs="Times New Roman CYR"/>
          <w:kern w:val="0"/>
          <w:lang w:eastAsia="ru-RU"/>
        </w:rPr>
        <w:t>от 08</w:t>
      </w:r>
      <w:r w:rsidR="007F6C6D">
        <w:rPr>
          <w:rFonts w:ascii="Times New Roman CYR" w:hAnsi="Times New Roman CYR" w:cs="Times New Roman CYR"/>
          <w:kern w:val="0"/>
          <w:lang w:eastAsia="ru-RU"/>
        </w:rPr>
        <w:t>.</w:t>
      </w:r>
      <w:r>
        <w:rPr>
          <w:rFonts w:ascii="Times New Roman CYR" w:hAnsi="Times New Roman CYR" w:cs="Times New Roman CYR"/>
          <w:kern w:val="0"/>
          <w:lang w:eastAsia="ru-RU"/>
        </w:rPr>
        <w:t>05</w:t>
      </w:r>
      <w:r w:rsidR="007F6C6D">
        <w:rPr>
          <w:rFonts w:ascii="Times New Roman CYR" w:hAnsi="Times New Roman CYR" w:cs="Times New Roman CYR"/>
          <w:kern w:val="0"/>
          <w:lang w:eastAsia="ru-RU"/>
        </w:rPr>
        <w:t xml:space="preserve">.2024 № </w:t>
      </w:r>
      <w:r>
        <w:rPr>
          <w:rFonts w:ascii="Times New Roman CYR" w:hAnsi="Times New Roman CYR" w:cs="Times New Roman CYR"/>
          <w:kern w:val="0"/>
          <w:lang w:eastAsia="ru-RU"/>
        </w:rPr>
        <w:t>483</w:t>
      </w:r>
    </w:p>
    <w:p w:rsidR="007F6C6D" w:rsidRPr="007F6C6D" w:rsidRDefault="007F6C6D" w:rsidP="007F6C6D">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7F6C6D" w:rsidRDefault="007F6C6D" w:rsidP="007F6C6D">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7F6C6D" w:rsidRPr="007F6C6D" w:rsidRDefault="007F6C6D" w:rsidP="007F6C6D">
      <w:pPr>
        <w:widowControl w:val="0"/>
        <w:suppressAutoHyphens w:val="0"/>
        <w:autoSpaceDE w:val="0"/>
        <w:autoSpaceDN w:val="0"/>
        <w:adjustRightInd w:val="0"/>
        <w:spacing w:line="240" w:lineRule="auto"/>
        <w:ind w:firstLine="0"/>
        <w:jc w:val="center"/>
        <w:rPr>
          <w:b/>
          <w:bCs/>
          <w:kern w:val="0"/>
          <w:lang w:eastAsia="ru-RU"/>
        </w:rPr>
      </w:pPr>
      <w:r w:rsidRPr="007F6C6D">
        <w:rPr>
          <w:b/>
          <w:bCs/>
          <w:kern w:val="0"/>
          <w:lang w:eastAsia="ru-RU"/>
        </w:rPr>
        <w:t>Ключевые показатели</w:t>
      </w:r>
      <w:r>
        <w:rPr>
          <w:b/>
          <w:bCs/>
          <w:kern w:val="0"/>
          <w:lang w:eastAsia="ru-RU"/>
        </w:rPr>
        <w:t xml:space="preserve"> </w:t>
      </w:r>
      <w:r w:rsidRPr="007F6C6D">
        <w:rPr>
          <w:b/>
          <w:bCs/>
          <w:kern w:val="0"/>
          <w:lang w:eastAsia="ru-RU"/>
        </w:rPr>
        <w:t>эффективности функционирования антимонопольного комплаенса в администрации Янтиковского муниципального округа Чувашской Республики на 2024 год</w:t>
      </w: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outlineLvl w:val="0"/>
        <w:rPr>
          <w:rFonts w:cs="Times New Roman CYR"/>
          <w:bCs/>
          <w:color w:val="000000"/>
          <w:kern w:val="0"/>
          <w:lang w:eastAsia="ru-RU"/>
        </w:rPr>
      </w:pPr>
      <w:r w:rsidRPr="007F6C6D">
        <w:rPr>
          <w:bCs/>
          <w:color w:val="000000"/>
          <w:kern w:val="0"/>
          <w:lang w:eastAsia="ru-RU"/>
        </w:rPr>
        <w:t>Ключевые показатели эффективности функционирования антимонопольного комплаенса в администрации Янтиковского муниципального округа Чувашской Республики на 2024 год:</w:t>
      </w:r>
      <w:r w:rsidRPr="007F6C6D">
        <w:rPr>
          <w:bCs/>
          <w:color w:val="000000"/>
          <w:kern w:val="0"/>
          <w:lang w:eastAsia="ru-RU"/>
        </w:rPr>
        <w:tab/>
      </w:r>
      <w:r w:rsidRPr="007F6C6D">
        <w:rPr>
          <w:rFonts w:cs="Times New Roman CYR"/>
          <w:bCs/>
          <w:color w:val="000000"/>
          <w:kern w:val="0"/>
          <w:lang w:eastAsia="ru-RU"/>
        </w:rPr>
        <w:t>а)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б)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муниципального округа Чувашской Республики.</w:t>
      </w:r>
    </w:p>
    <w:p w:rsidR="007F6C6D" w:rsidRPr="007F6C6D" w:rsidRDefault="007F6C6D" w:rsidP="007F6C6D">
      <w:pPr>
        <w:widowControl w:val="0"/>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г) доля сотрудников администрации Янтиковского муниципального округа Чувашской Республики, в отношении которых были проведены обучающие мероприятия по антимонопольному законодательству и антимонопольному комплаенсу.</w:t>
      </w:r>
    </w:p>
    <w:p w:rsidR="007F6C6D" w:rsidRPr="007F6C6D" w:rsidRDefault="007F6C6D" w:rsidP="007F6C6D">
      <w:pPr>
        <w:widowControl w:val="0"/>
        <w:suppressAutoHyphens w:val="0"/>
        <w:autoSpaceDE w:val="0"/>
        <w:autoSpaceDN w:val="0"/>
        <w:adjustRightInd w:val="0"/>
        <w:spacing w:line="240" w:lineRule="auto"/>
        <w:rPr>
          <w:rFonts w:cs="Times New Roman CYR"/>
          <w:color w:val="000000"/>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color w:val="000000"/>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Default="007F6C6D" w:rsidP="007F6C6D">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pPr>
    </w:p>
    <w:p w:rsidR="007F6C6D" w:rsidRDefault="007F6C6D" w:rsidP="007F6C6D">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pPr>
    </w:p>
    <w:p w:rsidR="007F6C6D" w:rsidRDefault="007F6C6D" w:rsidP="007F6C6D">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pPr>
    </w:p>
    <w:p w:rsidR="007F6C6D" w:rsidRDefault="007F6C6D" w:rsidP="007F6C6D">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pPr>
    </w:p>
    <w:p w:rsidR="007F6C6D" w:rsidRDefault="007F6C6D" w:rsidP="007F6C6D">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sectPr w:rsidR="007F6C6D" w:rsidSect="007F6C6D">
          <w:pgSz w:w="11906" w:h="16838"/>
          <w:pgMar w:top="1134" w:right="567" w:bottom="1134" w:left="1701" w:header="709" w:footer="709" w:gutter="0"/>
          <w:pgNumType w:start="1"/>
          <w:cols w:space="708"/>
          <w:titlePg/>
          <w:docGrid w:linePitch="360"/>
        </w:sectPr>
      </w:pPr>
    </w:p>
    <w:p w:rsidR="007F6C6D" w:rsidRPr="007F6C6D" w:rsidRDefault="007F6C6D" w:rsidP="007F6C6D">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Pr>
          <w:rFonts w:ascii="Times New Roman CYR" w:hAnsi="Times New Roman CYR" w:cs="Times New Roman CYR"/>
          <w:kern w:val="0"/>
          <w:lang w:eastAsia="ru-RU"/>
        </w:rPr>
        <w:t>Приложение № 2</w:t>
      </w:r>
    </w:p>
    <w:p w:rsidR="007F6C6D" w:rsidRPr="007F6C6D" w:rsidRDefault="007F6C6D" w:rsidP="007F6C6D">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Pr>
          <w:rFonts w:ascii="Times New Roman CYR" w:hAnsi="Times New Roman CYR" w:cs="Times New Roman CYR"/>
          <w:kern w:val="0"/>
          <w:lang w:eastAsia="ru-RU"/>
        </w:rPr>
        <w:t>к постановлению</w:t>
      </w:r>
      <w:r w:rsidRPr="007F6C6D">
        <w:rPr>
          <w:rFonts w:ascii="Times New Roman CYR" w:hAnsi="Times New Roman CYR" w:cs="Times New Roman CYR"/>
          <w:kern w:val="0"/>
          <w:lang w:eastAsia="ru-RU"/>
        </w:rPr>
        <w:t xml:space="preserve"> администрации </w:t>
      </w:r>
    </w:p>
    <w:p w:rsidR="007F6C6D" w:rsidRPr="007F6C6D" w:rsidRDefault="007F6C6D" w:rsidP="007F6C6D">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sidRPr="007F6C6D">
        <w:rPr>
          <w:rFonts w:ascii="Times New Roman CYR" w:hAnsi="Times New Roman CYR" w:cs="Times New Roman CYR"/>
          <w:kern w:val="0"/>
          <w:lang w:eastAsia="ru-RU"/>
        </w:rPr>
        <w:t xml:space="preserve">Янтиковского муниципального округа </w:t>
      </w:r>
    </w:p>
    <w:p w:rsidR="007F6C6D" w:rsidRPr="007F6C6D" w:rsidRDefault="007F6C6D" w:rsidP="007F6C6D">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от </w:t>
      </w:r>
      <w:r w:rsidR="004817AE">
        <w:rPr>
          <w:rFonts w:ascii="Times New Roman CYR" w:hAnsi="Times New Roman CYR" w:cs="Times New Roman CYR"/>
          <w:kern w:val="0"/>
          <w:lang w:eastAsia="ru-RU"/>
        </w:rPr>
        <w:t>08.05</w:t>
      </w:r>
      <w:r>
        <w:rPr>
          <w:rFonts w:ascii="Times New Roman CYR" w:hAnsi="Times New Roman CYR" w:cs="Times New Roman CYR"/>
          <w:kern w:val="0"/>
          <w:lang w:eastAsia="ru-RU"/>
        </w:rPr>
        <w:t xml:space="preserve">.2024 № </w:t>
      </w:r>
      <w:r w:rsidR="004817AE">
        <w:rPr>
          <w:rFonts w:ascii="Times New Roman CYR" w:hAnsi="Times New Roman CYR" w:cs="Times New Roman CYR"/>
          <w:kern w:val="0"/>
          <w:lang w:eastAsia="ru-RU"/>
        </w:rPr>
        <w:t>483</w:t>
      </w:r>
      <w:bookmarkStart w:id="0" w:name="_GoBack"/>
      <w:bookmarkEnd w:id="0"/>
    </w:p>
    <w:p w:rsidR="007F6C6D" w:rsidRPr="007F6C6D" w:rsidRDefault="007F6C6D" w:rsidP="007F6C6D">
      <w:pPr>
        <w:widowControl w:val="0"/>
        <w:suppressAutoHyphens w:val="0"/>
        <w:autoSpaceDE w:val="0"/>
        <w:autoSpaceDN w:val="0"/>
        <w:adjustRightInd w:val="0"/>
        <w:spacing w:line="240" w:lineRule="auto"/>
        <w:ind w:firstLine="851"/>
        <w:jc w:val="center"/>
        <w:outlineLvl w:val="0"/>
        <w:rPr>
          <w:b/>
          <w:bCs/>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jc w:val="center"/>
        <w:outlineLvl w:val="0"/>
        <w:rPr>
          <w:b/>
          <w:bCs/>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jc w:val="center"/>
        <w:outlineLvl w:val="0"/>
        <w:rPr>
          <w:bCs/>
          <w:kern w:val="0"/>
          <w:lang w:eastAsia="ru-RU"/>
        </w:rPr>
      </w:pPr>
      <w:r w:rsidRPr="007F6C6D">
        <w:rPr>
          <w:b/>
          <w:bCs/>
          <w:kern w:val="0"/>
          <w:lang w:eastAsia="ru-RU"/>
        </w:rPr>
        <w:t>Методика</w:t>
      </w:r>
      <w:r w:rsidRPr="007F6C6D">
        <w:rPr>
          <w:b/>
          <w:bCs/>
          <w:kern w:val="0"/>
          <w:lang w:eastAsia="ru-RU"/>
        </w:rPr>
        <w:br/>
        <w:t xml:space="preserve">расчета ключевых показателей эффективности функционирования </w:t>
      </w:r>
    </w:p>
    <w:p w:rsidR="007F6C6D" w:rsidRPr="007F6C6D" w:rsidRDefault="007F6C6D" w:rsidP="007F6C6D">
      <w:pPr>
        <w:widowControl w:val="0"/>
        <w:suppressAutoHyphens w:val="0"/>
        <w:autoSpaceDE w:val="0"/>
        <w:autoSpaceDN w:val="0"/>
        <w:adjustRightInd w:val="0"/>
        <w:spacing w:line="240" w:lineRule="auto"/>
        <w:ind w:firstLine="0"/>
        <w:jc w:val="center"/>
        <w:outlineLvl w:val="0"/>
        <w:rPr>
          <w:bCs/>
          <w:kern w:val="0"/>
          <w:lang w:eastAsia="ru-RU"/>
        </w:rPr>
      </w:pPr>
      <w:r w:rsidRPr="007F6C6D">
        <w:rPr>
          <w:b/>
          <w:bCs/>
          <w:kern w:val="0"/>
          <w:lang w:eastAsia="ru-RU"/>
        </w:rPr>
        <w:t>в администрации Янтиковского муниципального округа Чувашской Республики антимонопольного комплаенса</w:t>
      </w:r>
    </w:p>
    <w:p w:rsidR="007F6C6D" w:rsidRPr="007F6C6D" w:rsidRDefault="007F6C6D" w:rsidP="007F6C6D">
      <w:pPr>
        <w:widowControl w:val="0"/>
        <w:suppressAutoHyphens w:val="0"/>
        <w:autoSpaceDE w:val="0"/>
        <w:autoSpaceDN w:val="0"/>
        <w:adjustRightInd w:val="0"/>
        <w:spacing w:line="240" w:lineRule="auto"/>
        <w:ind w:firstLine="851"/>
        <w:rPr>
          <w:rFonts w:cs="Times New Roman CYR"/>
          <w:kern w:val="0"/>
          <w:lang w:eastAsia="ru-RU"/>
        </w:rPr>
      </w:pPr>
    </w:p>
    <w:p w:rsidR="007F6C6D" w:rsidRPr="007F6C6D" w:rsidRDefault="007F6C6D" w:rsidP="007F6C6D">
      <w:pPr>
        <w:widowControl w:val="0"/>
        <w:suppressAutoHyphens w:val="0"/>
        <w:autoSpaceDE w:val="0"/>
        <w:autoSpaceDN w:val="0"/>
        <w:adjustRightInd w:val="0"/>
        <w:spacing w:line="240" w:lineRule="auto"/>
        <w:ind w:firstLine="851"/>
        <w:jc w:val="center"/>
        <w:outlineLvl w:val="0"/>
        <w:rPr>
          <w:bCs/>
          <w:color w:val="000000"/>
          <w:kern w:val="0"/>
          <w:lang w:eastAsia="ru-RU"/>
        </w:rPr>
      </w:pPr>
      <w:bookmarkStart w:id="1" w:name="sub_10"/>
      <w:r w:rsidRPr="007F6C6D">
        <w:rPr>
          <w:b/>
          <w:bCs/>
          <w:color w:val="000000"/>
          <w:kern w:val="0"/>
          <w:lang w:eastAsia="ru-RU"/>
        </w:rPr>
        <w:t>I. Общие положения</w:t>
      </w:r>
    </w:p>
    <w:bookmarkEnd w:id="1"/>
    <w:p w:rsidR="007F6C6D" w:rsidRPr="007F6C6D" w:rsidRDefault="007F6C6D" w:rsidP="007F6C6D">
      <w:pPr>
        <w:widowControl w:val="0"/>
        <w:suppressAutoHyphens w:val="0"/>
        <w:autoSpaceDE w:val="0"/>
        <w:autoSpaceDN w:val="0"/>
        <w:adjustRightInd w:val="0"/>
        <w:spacing w:line="240" w:lineRule="auto"/>
        <w:ind w:firstLine="851"/>
        <w:rPr>
          <w:rFonts w:cs="Times New Roman CYR"/>
          <w:b/>
          <w:color w:val="000000"/>
          <w:kern w:val="0"/>
          <w:lang w:eastAsia="ru-RU"/>
        </w:rPr>
      </w:pPr>
    </w:p>
    <w:p w:rsidR="007F6C6D" w:rsidRPr="007F6C6D" w:rsidRDefault="007F6C6D" w:rsidP="007F6C6D">
      <w:pPr>
        <w:widowControl w:val="0"/>
        <w:suppressAutoHyphens w:val="0"/>
        <w:autoSpaceDE w:val="0"/>
        <w:autoSpaceDN w:val="0"/>
        <w:adjustRightInd w:val="0"/>
        <w:spacing w:line="240" w:lineRule="auto"/>
        <w:rPr>
          <w:rFonts w:cs="Times New Roman CYR"/>
          <w:color w:val="000000"/>
          <w:kern w:val="0"/>
          <w:lang w:eastAsia="ru-RU"/>
        </w:rPr>
      </w:pPr>
      <w:bookmarkStart w:id="2" w:name="sub_111"/>
      <w:r w:rsidRPr="007F6C6D">
        <w:rPr>
          <w:rFonts w:cs="Times New Roman CYR"/>
          <w:color w:val="000000"/>
          <w:kern w:val="0"/>
          <w:lang w:eastAsia="ru-RU"/>
        </w:rPr>
        <w:t xml:space="preserve">1.1. Методика расчета ключевых показателей эффективности функционирования в администрации Янтиковского муниципального округа Чувашской Республики антимонопольного комплаенса (далее - Методика) разработана администрацией Янтиковского муниципального округа Чувашской Республики в соответствии с </w:t>
      </w:r>
      <w:r w:rsidRPr="007F6C6D">
        <w:rPr>
          <w:rFonts w:eastAsia="Calibri"/>
          <w:kern w:val="0"/>
          <w:lang w:eastAsia="en-US"/>
        </w:rPr>
        <w:t xml:space="preserve">разделом </w:t>
      </w:r>
      <w:r w:rsidRPr="007F6C6D">
        <w:rPr>
          <w:rFonts w:eastAsia="Calibri"/>
          <w:kern w:val="0"/>
          <w:lang w:val="en-US" w:eastAsia="en-US"/>
        </w:rPr>
        <w:t>VI</w:t>
      </w:r>
      <w:r w:rsidRPr="007F6C6D">
        <w:rPr>
          <w:rFonts w:eastAsia="Calibri"/>
          <w:kern w:val="0"/>
          <w:lang w:eastAsia="en-US"/>
        </w:rPr>
        <w:t xml:space="preserve"> Положения об организации в администрации Янтиковского муниципального округа Чувашской Республики системы внутреннего обеспечения соответствия антимонопольного законодательства (антимонопольного комплаенса), утвержденного постановлением администрации Янтиковского муниципального округа Чувашской Республики от 31.03.2023 № 255 </w:t>
      </w:r>
      <w:r w:rsidRPr="007F6C6D">
        <w:rPr>
          <w:rFonts w:cs="Times New Roman CYR"/>
          <w:color w:val="000000"/>
          <w:kern w:val="0"/>
          <w:lang w:eastAsia="ru-RU"/>
        </w:rPr>
        <w:t xml:space="preserve">(далее - постановление от 31.03.2023 № 255), с учетом </w:t>
      </w:r>
      <w:hyperlink r:id="rId11" w:history="1">
        <w:r w:rsidRPr="007F6C6D">
          <w:rPr>
            <w:rFonts w:cs="Times New Roman CYR"/>
            <w:bCs/>
            <w:color w:val="000000"/>
            <w:kern w:val="0"/>
            <w:lang w:eastAsia="ru-RU"/>
          </w:rPr>
          <w:t>методических рекомендаций</w:t>
        </w:r>
      </w:hyperlink>
      <w:r w:rsidRPr="007F6C6D">
        <w:rPr>
          <w:rFonts w:cs="Times New Roman CYR"/>
          <w:color w:val="000000"/>
          <w:kern w:val="0"/>
          <w:lang w:eastAsia="ru-RU"/>
        </w:rPr>
        <w:t xml:space="preserve">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утвержденного </w:t>
      </w:r>
      <w:hyperlink r:id="rId12" w:history="1">
        <w:r w:rsidRPr="007F6C6D">
          <w:rPr>
            <w:rFonts w:cs="Times New Roman CYR"/>
            <w:bCs/>
            <w:color w:val="000000"/>
            <w:kern w:val="0"/>
            <w:lang w:eastAsia="ru-RU"/>
          </w:rPr>
          <w:t>распоряжением</w:t>
        </w:r>
      </w:hyperlink>
      <w:r w:rsidRPr="007F6C6D">
        <w:rPr>
          <w:rFonts w:cs="Times New Roman CYR"/>
          <w:color w:val="000000"/>
          <w:kern w:val="0"/>
          <w:lang w:eastAsia="ru-RU"/>
        </w:rPr>
        <w:t xml:space="preserve"> Правительства Российской Федерации от 18.10.2018  № 2258-р, </w:t>
      </w:r>
      <w:hyperlink r:id="rId13" w:history="1">
        <w:r w:rsidRPr="007F6C6D">
          <w:rPr>
            <w:rFonts w:cs="Times New Roman CYR"/>
            <w:bCs/>
            <w:color w:val="000000"/>
            <w:kern w:val="0"/>
            <w:lang w:eastAsia="ru-RU"/>
          </w:rPr>
          <w:t>приказа</w:t>
        </w:r>
      </w:hyperlink>
      <w:r w:rsidRPr="007F6C6D">
        <w:rPr>
          <w:rFonts w:cs="Times New Roman CYR"/>
          <w:color w:val="000000"/>
          <w:kern w:val="0"/>
          <w:lang w:eastAsia="ru-RU"/>
        </w:rPr>
        <w:t xml:space="preserve"> ФАС России от 27.12.2022 № 1034/22 «Об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w:t>
      </w:r>
    </w:p>
    <w:p w:rsidR="007F6C6D" w:rsidRPr="007F6C6D" w:rsidRDefault="007F6C6D" w:rsidP="007F6C6D">
      <w:pPr>
        <w:widowControl w:val="0"/>
        <w:suppressAutoHyphens w:val="0"/>
        <w:autoSpaceDE w:val="0"/>
        <w:autoSpaceDN w:val="0"/>
        <w:adjustRightInd w:val="0"/>
        <w:spacing w:line="240" w:lineRule="auto"/>
        <w:rPr>
          <w:rFonts w:cs="Times New Roman CYR"/>
          <w:color w:val="000000"/>
          <w:kern w:val="0"/>
          <w:lang w:eastAsia="ru-RU"/>
        </w:rPr>
      </w:pPr>
      <w:bookmarkStart w:id="3" w:name="sub_112"/>
      <w:bookmarkEnd w:id="2"/>
      <w:r w:rsidRPr="007F6C6D">
        <w:rPr>
          <w:rFonts w:cs="Times New Roman CYR"/>
          <w:color w:val="000000"/>
          <w:kern w:val="0"/>
          <w:lang w:eastAsia="ru-RU"/>
        </w:rPr>
        <w:t xml:space="preserve">1.2. В целях оценки эффективности функционирования в администрации Янтиковского муниципального округа Чувашской Республики антимонопольного комплаенса в соответствии с </w:t>
      </w:r>
      <w:hyperlink r:id="rId14" w:history="1">
        <w:r w:rsidRPr="007F6C6D">
          <w:rPr>
            <w:rFonts w:cs="Times New Roman CYR"/>
            <w:bCs/>
            <w:color w:val="000000"/>
            <w:kern w:val="0"/>
            <w:lang w:eastAsia="ru-RU"/>
          </w:rPr>
          <w:t>постановлением</w:t>
        </w:r>
      </w:hyperlink>
      <w:r w:rsidRPr="007F6C6D">
        <w:rPr>
          <w:rFonts w:cs="Times New Roman CYR"/>
          <w:color w:val="000000"/>
          <w:kern w:val="0"/>
          <w:lang w:eastAsia="ru-RU"/>
        </w:rPr>
        <w:t xml:space="preserve"> от 31.03.2023  № 255 рассчитываются ключевые показатели эффективности антимонопольного комплаенса (далее - КПЭ) для администрации Янтиковского муниципального округа Чувашской Республики.</w:t>
      </w:r>
    </w:p>
    <w:bookmarkEnd w:id="3"/>
    <w:p w:rsidR="007F6C6D" w:rsidRPr="007F6C6D" w:rsidRDefault="007F6C6D" w:rsidP="007F6C6D">
      <w:pPr>
        <w:widowControl w:val="0"/>
        <w:suppressAutoHyphens w:val="0"/>
        <w:autoSpaceDE w:val="0"/>
        <w:autoSpaceDN w:val="0"/>
        <w:adjustRightInd w:val="0"/>
        <w:spacing w:line="240" w:lineRule="auto"/>
        <w:ind w:firstLine="284"/>
        <w:rPr>
          <w:rFonts w:cs="Times New Roman CYR"/>
          <w:color w:val="000000"/>
          <w:kern w:val="0"/>
          <w:lang w:eastAsia="ru-RU"/>
        </w:rPr>
      </w:pPr>
    </w:p>
    <w:p w:rsidR="007F6C6D" w:rsidRPr="007F6C6D" w:rsidRDefault="007F6C6D" w:rsidP="007F6C6D">
      <w:pPr>
        <w:widowControl w:val="0"/>
        <w:shd w:val="clear" w:color="auto" w:fill="FFFFFF"/>
        <w:suppressAutoHyphens w:val="0"/>
        <w:autoSpaceDE w:val="0"/>
        <w:autoSpaceDN w:val="0"/>
        <w:adjustRightInd w:val="0"/>
        <w:spacing w:before="100" w:beforeAutospacing="1" w:after="100" w:afterAutospacing="1" w:line="240" w:lineRule="auto"/>
        <w:ind w:firstLine="720"/>
        <w:jc w:val="center"/>
        <w:rPr>
          <w:rFonts w:cs="Times New Roman CYR"/>
          <w:b/>
          <w:color w:val="000000"/>
          <w:kern w:val="0"/>
          <w:lang w:eastAsia="ru-RU"/>
        </w:rPr>
      </w:pPr>
      <w:r w:rsidRPr="007F6C6D">
        <w:rPr>
          <w:rFonts w:cs="Times New Roman CYR"/>
          <w:b/>
          <w:color w:val="000000"/>
          <w:kern w:val="0"/>
          <w:lang w:eastAsia="ru-RU"/>
        </w:rPr>
        <w:t>II. Методика расчета КПЭ для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2.1. КПЭ для администрации Янтиковского муниципального округа Чувашской Республики являются:</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а)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б)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2.2.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рассчитывается по формуле:</w:t>
      </w:r>
    </w:p>
    <w:p w:rsidR="007F6C6D" w:rsidRPr="007F6C6D" w:rsidRDefault="007F6C6D" w:rsidP="007F6C6D">
      <w:pPr>
        <w:widowControl w:val="0"/>
        <w:numPr>
          <w:ilvl w:val="0"/>
          <w:numId w:val="17"/>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КСН -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КНП - количество нарушений антимонопольного законодательства со стороны администрации Янтиковского муниципального округа Чувашской Республики, допущенных в отчетном периоде три года ранее;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КНоп - количество нарушений антимонопольного законодательства со стороны администрации Янтиковского муниципального округа Чувашской Республики в отчетном периоде, за который рассчитывается ключевой показатель.</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Для целей расчета под отчетным периодом понимается календарный год.</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случае,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При расчете показателя снижения количества нарушений антимонопольного законодательства со стороны федерального органа исполнительной власти под нарушением антимонопольного законодательства со стороны федерального органа исполнительной власти понимаются:</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решения по делу о нарушении антимонопольного законодательства, принятые антимонопольным органом в отношении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выданные антимонопольным органом администрации Янтиковского муниципального округа Чувашской Республики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направленные антимонопольным органом администрации Янтиковского муниципального округа Чувашской Республики предостережения о недопустимости совершения действий, которые могут привести к нарушению антимонопольного законодательства.</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2.3.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 рассчитывается по формуле:</w:t>
      </w:r>
    </w:p>
    <w:p w:rsidR="007F6C6D" w:rsidRPr="007F6C6D" w:rsidRDefault="007F6C6D" w:rsidP="007F6C6D">
      <w:pPr>
        <w:widowControl w:val="0"/>
        <w:numPr>
          <w:ilvl w:val="0"/>
          <w:numId w:val="18"/>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Кэпнпа -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Кпнпа - количество проектов нормативных правовых актов администрации Янтиковского муниципального округа Чувашской Республики, в которых данным органом выявлены риски нарушения антимонопольного законодательства (в отчетном периоде);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Кноп - количество проектов нормативных правовых актов администрации Янтиковского муниципального округа Чувашской Республики,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случае, если за отчетный период в проектах актов антимонопольным органом или администрацией Янтиковского муниципального округа Чувашской Республики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2.4.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муниципального округа Чувашской Республики рассчитывается по формуле:</w:t>
      </w:r>
    </w:p>
    <w:p w:rsidR="007F6C6D" w:rsidRPr="007F6C6D" w:rsidRDefault="007F6C6D" w:rsidP="007F6C6D">
      <w:pPr>
        <w:widowControl w:val="0"/>
        <w:numPr>
          <w:ilvl w:val="0"/>
          <w:numId w:val="19"/>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Кэнпа - коэффициент эффективности выявления нарушении антимонопольного законодательства в нормативных правовых актах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Кнпа - количество нормативных правовых актов администрации Янтиковского муниципального округа Чувашской Республики, в которых данным органом выявлены риски нарушения антимонопольного законодательства (в отчетном периоде);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КНоп - количество нормативных правовых актов администрации Янтиковского муниципального округа Чувашской Республики, в которых антимонопольным органом выявлены нарушения антимонопольного законодательства (в отчетном периоде),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случае, если за отчетный период нормативные правовые акты, нарушающие антимонопольное законодательство, антимонопольным органом или администрацией Янтиковского муниципального округа Чувашской Республики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p>
    <w:p w:rsidR="007F6C6D" w:rsidRPr="007F6C6D" w:rsidRDefault="007F6C6D" w:rsidP="007F6C6D">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r w:rsidRPr="007F6C6D">
        <w:rPr>
          <w:rFonts w:cs="Times New Roman CYR"/>
          <w:b/>
          <w:color w:val="000000"/>
          <w:kern w:val="0"/>
          <w:lang w:eastAsia="ru-RU"/>
        </w:rPr>
        <w:t>III. Методика расчета КПЭ для уполномоченного подразделения (должностного лица)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3.1. Для уполномоченного подразделения (должностного лица) администрации Янтиковского муниципального округа Чувашской Республики рассчитывается КПЭ - доля сотрудников администрации Янтиковского муниципального округа Чувашской Республики, в отношении которых были проведены обучающие мероприятия по антимонопольному законодательству и антимонопольному комплаенсу.</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3.2. Доля сотрудников администрации Янтиковского муниципального округа Чувашской Республики, с которыми были проведены обучающие мероприятия по антимонопольному законодательству и антимонопольному комплаенсу, рассчитывается по формуле:</w:t>
      </w:r>
    </w:p>
    <w:p w:rsidR="007F6C6D" w:rsidRPr="007F6C6D" w:rsidRDefault="007F6C6D" w:rsidP="007F6C6D">
      <w:pPr>
        <w:widowControl w:val="0"/>
        <w:numPr>
          <w:ilvl w:val="0"/>
          <w:numId w:val="20"/>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ДСо - доля сотрудников администрации Янтиковского муниципального округа Чувашской Республики, с которыми были проведены обучающие мероприятия по антимонопольному законодательству и антимонопольному комплаенсу;</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КСо - количество сотрудников администрации Янтиковского муниципального округа Чувашской Республики,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были проведены обучающие мероприятия по антимонопольному законодательству и антимонопольному комплаенсу;</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КСобщ - общее количество сотрудников администрации Янтиковского муниципального округа Чувашской Республики, чьи трудовые (должностные) обязанности предусматривают выполнение функций, связанных с рисками нарушения антимонопольного законодательства.</w:t>
      </w:r>
    </w:p>
    <w:p w:rsidR="007F6C6D" w:rsidRPr="007F6C6D" w:rsidRDefault="007F6C6D" w:rsidP="007F6C6D">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p>
    <w:p w:rsidR="007F6C6D" w:rsidRPr="007F6C6D" w:rsidRDefault="007F6C6D" w:rsidP="007F6C6D">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r w:rsidRPr="007F6C6D">
        <w:rPr>
          <w:rFonts w:cs="Times New Roman CYR"/>
          <w:b/>
          <w:color w:val="000000"/>
          <w:kern w:val="0"/>
          <w:lang w:eastAsia="ru-RU"/>
        </w:rPr>
        <w:t>IV. Оценка значений КПЭ для администрации Янтиковского муниципального округа Чувашской Республики и КПЗ для уполномоченного подразделения (должностного лица) администрации Янтиковского муниципального округа Чувашской Республики</w:t>
      </w:r>
    </w:p>
    <w:p w:rsidR="007F6C6D" w:rsidRPr="007F6C6D" w:rsidRDefault="007F6C6D" w:rsidP="007F6C6D">
      <w:pPr>
        <w:widowControl w:val="0"/>
        <w:shd w:val="clear" w:color="auto" w:fill="FFFFFF"/>
        <w:suppressAutoHyphens w:val="0"/>
        <w:autoSpaceDE w:val="0"/>
        <w:autoSpaceDN w:val="0"/>
        <w:adjustRightInd w:val="0"/>
        <w:spacing w:line="240" w:lineRule="auto"/>
        <w:jc w:val="center"/>
        <w:rPr>
          <w:rFonts w:cs="Times New Roman CYR"/>
          <w:color w:val="000000"/>
          <w:kern w:val="0"/>
          <w:lang w:eastAsia="ru-RU"/>
        </w:rPr>
      </w:pP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4.1. Оценка значений КПЭ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Ключевой показатель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определяется в рамках анализа выявленных нарушений антимонопольного законодательства в деятельности администрации Янтиковского муниципального округа Чувашской Республики за предыдущие три года (наличие предостережений, предупреждений, штрафов, жалоб, возбужденных дел), проводимого в соответствии с </w:t>
      </w:r>
      <w:hyperlink r:id="rId15" w:anchor="/document/72084212/entry/1151" w:history="1">
        <w:r w:rsidRPr="007F6C6D">
          <w:rPr>
            <w:rFonts w:cs="Times New Roman CYR"/>
            <w:color w:val="000000"/>
            <w:kern w:val="0"/>
            <w:lang w:eastAsia="ru-RU"/>
          </w:rPr>
          <w:t>подпунктом «а» пункта 15</w:t>
        </w:r>
      </w:hyperlink>
      <w:r w:rsidRPr="007F6C6D">
        <w:rPr>
          <w:rFonts w:cs="Times New Roman CYR"/>
          <w:color w:val="000000"/>
          <w:kern w:val="0"/>
          <w:lang w:eastAsia="ru-RU"/>
        </w:rPr>
        <w:t> Методических рекомендаций.</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Ежегодная оценка значения КПЭ «показатель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призвана обеспечить понимание эффективности функционирования антимонопольного комплаенса в администрации Янтиковского муниципального округа Чувашской Республики и служит одним из ключевых факторов для определения областей деятельности, содержащих высокие комплаенс-риски. </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Целевое значение коэффициента определяется администрацией Янтиковского муниципального округа Чувашской Республики самостоятельно. При этом следует учитывать, что в случае, если количество нарушений в 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должен превышать значение «1». </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Показатель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должен учитываться при составлении карты рисков и "дорожной карты" по устранению выявленных рисков. </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4.2. Оценка значений КПЭ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 и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муниципального округа Чувашской Республики». </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Оценка вышеуказанных значений КПЭ направлена на оценку эффективности мероприятий антимонопольного комплаенса, предусмотренных </w:t>
      </w:r>
      <w:hyperlink r:id="rId16" w:anchor="/document/72084212/entry/1152" w:history="1">
        <w:r w:rsidRPr="007F6C6D">
          <w:rPr>
            <w:rFonts w:cs="Times New Roman CYR"/>
            <w:color w:val="000000"/>
            <w:kern w:val="0"/>
            <w:lang w:eastAsia="ru-RU"/>
          </w:rPr>
          <w:t xml:space="preserve">подпунктами </w:t>
        </w:r>
      </w:hyperlink>
      <w:r w:rsidRPr="007F6C6D">
        <w:rPr>
          <w:rFonts w:cs="Times New Roman CYR"/>
          <w:color w:val="000000"/>
          <w:kern w:val="0"/>
          <w:lang w:eastAsia="ru-RU"/>
        </w:rPr>
        <w:t>3.2.2 и </w:t>
      </w:r>
      <w:hyperlink r:id="rId17" w:anchor="/document/72084212/entry/1153" w:history="1">
        <w:r w:rsidRPr="007F6C6D">
          <w:rPr>
            <w:rFonts w:cs="Times New Roman CYR"/>
            <w:color w:val="000000"/>
            <w:kern w:val="0"/>
            <w:lang w:eastAsia="ru-RU"/>
          </w:rPr>
          <w:t xml:space="preserve">3.2.3 пункта </w:t>
        </w:r>
      </w:hyperlink>
      <w:r w:rsidRPr="007F6C6D">
        <w:rPr>
          <w:rFonts w:cs="Times New Roman CYR"/>
          <w:color w:val="000000"/>
          <w:kern w:val="0"/>
          <w:lang w:eastAsia="ru-RU"/>
        </w:rPr>
        <w:t xml:space="preserve">3.2  постановление от 31.03.2023 № 255. </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При эффективном проведении мероприятий по анализу нормативных правовых актов администрации Янтиковского муниципального округа Чувашской Республики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Янтиковского муниципального округа Чувашской Республики, в отношении которых антимонопольным органом выявлены нарушения антимонопольного законодательства (то есть низкое значение знаменателя).</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администрации Янтиковского муниципального округа Чувашской Республики.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Целевое значение коэффициента определяется администрацией Янтиковского муниципального округа Чувашской Республики самостоятельно. При этом следует учитывать, что в случае, если количество проектов актов администрации Янтиковского муниципального округа Чувашской Республики, содержащих риски нарушения антимонопольного законодательства, или актов администрации Янтиковского муниципального округа Чувашской Республики,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администрации Янтиковского муниципального округа Чувашской Республики» или «коэффициент эффективности выявления нарушений антимонопольного законодательства нормативными правовыми актами администрации Янтиковского муниципального округа Чувашской Республики» должен превышать значение «1».</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4.3. Оценка значения КПЭ «сотрудников администрации Янтиковского муниципального округа Чувашской Республики, с которыми были проведены обучающие мероприятия по антимонопольному законодательству и антимонопольному комплаенсу».</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Консультирование и обучение служащих администрации Янтиковского муниципального округа Чувашской Республики по вопросам, связанным с соблюдением антимонопольного законодательства и антимонопольным комплаенсом, отнесено к компетенции уполномоченного подразделения (должностного лица) администрации Янтиковского муниципального округа Чувашской Республики согласно </w:t>
      </w:r>
      <w:hyperlink r:id="rId18" w:anchor="/document/72084212/entry/1114" w:history="1">
        <w:r w:rsidRPr="007F6C6D">
          <w:rPr>
            <w:rFonts w:cs="Times New Roman CYR"/>
            <w:color w:val="000000"/>
            <w:kern w:val="0"/>
            <w:lang w:eastAsia="ru-RU"/>
          </w:rPr>
          <w:t>подпункту «г» пункта 11</w:t>
        </w:r>
      </w:hyperlink>
      <w:r w:rsidRPr="007F6C6D">
        <w:rPr>
          <w:rFonts w:cs="Times New Roman CYR"/>
          <w:color w:val="000000"/>
          <w:kern w:val="0"/>
          <w:lang w:eastAsia="ru-RU"/>
        </w:rPr>
        <w:t> Методических рекомендаций и направлено на профилактику нарушений требований антимонопольного законодательства в деятельности федерального органа исполнительной власти.</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Расчет данного показателя предусматривает определение сотрудников администрации Янтиковского муниципального округа Чувашской Республики,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комплаенсу. Высокое значение количества сотрудников, с которыми были проведены обучающие мероприятия по антимонопольному законодательству и антимонопольному комплаенсу (числитель), обеспечивает высокое значение КПЭ.</w:t>
      </w:r>
    </w:p>
    <w:p w:rsidR="007F6C6D" w:rsidRPr="007F6C6D" w:rsidRDefault="007F6C6D" w:rsidP="007F6C6D">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Целевое значение коэффициента определяется администрации Янтиковского муниципального округа Чувашской Республики самостоятельно. 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сотрудников администрации Янтиковского муниципального округа Чувашской Республики, в отношении которых были проведены обучающие мероприятия по антимонопольному законодательству и антимонопольному комплаенсу» будет составлять «1».</w:t>
      </w:r>
    </w:p>
    <w:p w:rsidR="007F6C6D" w:rsidRPr="007F6C6D" w:rsidRDefault="007F6C6D" w:rsidP="007F6C6D">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351857" w:rsidRPr="00485CC1" w:rsidRDefault="00351857" w:rsidP="007F6C6D">
      <w:pPr>
        <w:spacing w:line="240" w:lineRule="auto"/>
        <w:rPr>
          <w:sz w:val="28"/>
          <w:szCs w:val="28"/>
        </w:rPr>
      </w:pPr>
    </w:p>
    <w:sectPr w:rsidR="00351857" w:rsidRPr="00485CC1" w:rsidSect="007F6C6D">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817AE">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80777"/>
      <w:docPartObj>
        <w:docPartGallery w:val="Page Numbers (Top of Page)"/>
        <w:docPartUnique/>
      </w:docPartObj>
    </w:sdtPr>
    <w:sdtEndPr/>
    <w:sdtContent>
      <w:p w:rsidR="007F6C6D" w:rsidRDefault="007F6C6D">
        <w:pPr>
          <w:pStyle w:val="af6"/>
          <w:jc w:val="center"/>
        </w:pPr>
        <w:r>
          <w:fldChar w:fldCharType="begin"/>
        </w:r>
        <w:r>
          <w:instrText>PAGE   \* MERGEFORMAT</w:instrText>
        </w:r>
        <w:r>
          <w:fldChar w:fldCharType="separate"/>
        </w:r>
        <w:r w:rsidR="004817AE">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0.5pt;visibility:visible;mso-wrap-style:square" o:bullet="t">
        <v:imagedata r:id="rId1" o:title="formula"/>
      </v:shape>
    </w:pict>
  </w:numPicBullet>
  <w:numPicBullet w:numPicBulletId="1">
    <w:pict>
      <v:shape id="_x0000_i1027" type="#_x0000_t75" style="width:30.75pt;height:10.5pt;visibility:visible;mso-wrap-style:square" o:bullet="t">
        <v:imagedata r:id="rId2" o:title="formula (1)"/>
      </v:shape>
    </w:pict>
  </w:numPicBullet>
  <w:numPicBullet w:numPicBulletId="2">
    <w:pict>
      <v:shape id="_x0000_i1028" type="#_x0000_t75" style="width:27pt;height:10.5pt;visibility:visible;mso-wrap-style:square" o:bullet="t">
        <v:imagedata r:id="rId3" o:title="formula (2)"/>
      </v:shape>
    </w:pict>
  </w:numPicBullet>
  <w:numPicBullet w:numPicBulletId="3">
    <w:pict>
      <v:shape id="_x0000_i1029" type="#_x0000_t75" style="width:26.25pt;height:10.5pt;visibility:visible;mso-wrap-style:square" o:bullet="t">
        <v:imagedata r:id="rId4" o:title="formula (3)"/>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27BE5327"/>
    <w:multiLevelType w:val="hybridMultilevel"/>
    <w:tmpl w:val="4F1AE928"/>
    <w:lvl w:ilvl="0" w:tplc="55BED972">
      <w:start w:val="1"/>
      <w:numFmt w:val="bullet"/>
      <w:lvlText w:val=""/>
      <w:lvlPicBulletId w:val="3"/>
      <w:lvlJc w:val="left"/>
      <w:pPr>
        <w:tabs>
          <w:tab w:val="num" w:pos="720"/>
        </w:tabs>
        <w:ind w:left="720" w:hanging="360"/>
      </w:pPr>
      <w:rPr>
        <w:rFonts w:ascii="Symbol" w:hAnsi="Symbol" w:hint="default"/>
        <w:sz w:val="70"/>
        <w:szCs w:val="70"/>
      </w:rPr>
    </w:lvl>
    <w:lvl w:ilvl="1" w:tplc="2A2A1B2C" w:tentative="1">
      <w:start w:val="1"/>
      <w:numFmt w:val="bullet"/>
      <w:lvlText w:val=""/>
      <w:lvlJc w:val="left"/>
      <w:pPr>
        <w:tabs>
          <w:tab w:val="num" w:pos="1440"/>
        </w:tabs>
        <w:ind w:left="1440" w:hanging="360"/>
      </w:pPr>
      <w:rPr>
        <w:rFonts w:ascii="Symbol" w:hAnsi="Symbol" w:hint="default"/>
      </w:rPr>
    </w:lvl>
    <w:lvl w:ilvl="2" w:tplc="B10E1706" w:tentative="1">
      <w:start w:val="1"/>
      <w:numFmt w:val="bullet"/>
      <w:lvlText w:val=""/>
      <w:lvlJc w:val="left"/>
      <w:pPr>
        <w:tabs>
          <w:tab w:val="num" w:pos="2160"/>
        </w:tabs>
        <w:ind w:left="2160" w:hanging="360"/>
      </w:pPr>
      <w:rPr>
        <w:rFonts w:ascii="Symbol" w:hAnsi="Symbol" w:hint="default"/>
      </w:rPr>
    </w:lvl>
    <w:lvl w:ilvl="3" w:tplc="C094980E" w:tentative="1">
      <w:start w:val="1"/>
      <w:numFmt w:val="bullet"/>
      <w:lvlText w:val=""/>
      <w:lvlJc w:val="left"/>
      <w:pPr>
        <w:tabs>
          <w:tab w:val="num" w:pos="2880"/>
        </w:tabs>
        <w:ind w:left="2880" w:hanging="360"/>
      </w:pPr>
      <w:rPr>
        <w:rFonts w:ascii="Symbol" w:hAnsi="Symbol" w:hint="default"/>
      </w:rPr>
    </w:lvl>
    <w:lvl w:ilvl="4" w:tplc="E416D456" w:tentative="1">
      <w:start w:val="1"/>
      <w:numFmt w:val="bullet"/>
      <w:lvlText w:val=""/>
      <w:lvlJc w:val="left"/>
      <w:pPr>
        <w:tabs>
          <w:tab w:val="num" w:pos="3600"/>
        </w:tabs>
        <w:ind w:left="3600" w:hanging="360"/>
      </w:pPr>
      <w:rPr>
        <w:rFonts w:ascii="Symbol" w:hAnsi="Symbol" w:hint="default"/>
      </w:rPr>
    </w:lvl>
    <w:lvl w:ilvl="5" w:tplc="7A5EEDCA" w:tentative="1">
      <w:start w:val="1"/>
      <w:numFmt w:val="bullet"/>
      <w:lvlText w:val=""/>
      <w:lvlJc w:val="left"/>
      <w:pPr>
        <w:tabs>
          <w:tab w:val="num" w:pos="4320"/>
        </w:tabs>
        <w:ind w:left="4320" w:hanging="360"/>
      </w:pPr>
      <w:rPr>
        <w:rFonts w:ascii="Symbol" w:hAnsi="Symbol" w:hint="default"/>
      </w:rPr>
    </w:lvl>
    <w:lvl w:ilvl="6" w:tplc="FFAC103A" w:tentative="1">
      <w:start w:val="1"/>
      <w:numFmt w:val="bullet"/>
      <w:lvlText w:val=""/>
      <w:lvlJc w:val="left"/>
      <w:pPr>
        <w:tabs>
          <w:tab w:val="num" w:pos="5040"/>
        </w:tabs>
        <w:ind w:left="5040" w:hanging="360"/>
      </w:pPr>
      <w:rPr>
        <w:rFonts w:ascii="Symbol" w:hAnsi="Symbol" w:hint="default"/>
      </w:rPr>
    </w:lvl>
    <w:lvl w:ilvl="7" w:tplc="C47A0BAA" w:tentative="1">
      <w:start w:val="1"/>
      <w:numFmt w:val="bullet"/>
      <w:lvlText w:val=""/>
      <w:lvlJc w:val="left"/>
      <w:pPr>
        <w:tabs>
          <w:tab w:val="num" w:pos="5760"/>
        </w:tabs>
        <w:ind w:left="5760" w:hanging="360"/>
      </w:pPr>
      <w:rPr>
        <w:rFonts w:ascii="Symbol" w:hAnsi="Symbol" w:hint="default"/>
      </w:rPr>
    </w:lvl>
    <w:lvl w:ilvl="8" w:tplc="FA70302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15:restartNumberingAfterBreak="0">
    <w:nsid w:val="3D120E7E"/>
    <w:multiLevelType w:val="hybridMultilevel"/>
    <w:tmpl w:val="B55057F0"/>
    <w:lvl w:ilvl="0" w:tplc="E9A4DC18">
      <w:start w:val="1"/>
      <w:numFmt w:val="bullet"/>
      <w:lvlText w:val=""/>
      <w:lvlPicBulletId w:val="1"/>
      <w:lvlJc w:val="left"/>
      <w:pPr>
        <w:tabs>
          <w:tab w:val="num" w:pos="720"/>
        </w:tabs>
        <w:ind w:left="720" w:hanging="360"/>
      </w:pPr>
      <w:rPr>
        <w:rFonts w:ascii="Symbol" w:hAnsi="Symbol" w:hint="default"/>
        <w:color w:val="auto"/>
        <w:sz w:val="70"/>
        <w:szCs w:val="70"/>
      </w:rPr>
    </w:lvl>
    <w:lvl w:ilvl="1" w:tplc="616274C6" w:tentative="1">
      <w:start w:val="1"/>
      <w:numFmt w:val="bullet"/>
      <w:lvlText w:val=""/>
      <w:lvlJc w:val="left"/>
      <w:pPr>
        <w:tabs>
          <w:tab w:val="num" w:pos="1440"/>
        </w:tabs>
        <w:ind w:left="1440" w:hanging="360"/>
      </w:pPr>
      <w:rPr>
        <w:rFonts w:ascii="Symbol" w:hAnsi="Symbol" w:hint="default"/>
      </w:rPr>
    </w:lvl>
    <w:lvl w:ilvl="2" w:tplc="521694AC" w:tentative="1">
      <w:start w:val="1"/>
      <w:numFmt w:val="bullet"/>
      <w:lvlText w:val=""/>
      <w:lvlJc w:val="left"/>
      <w:pPr>
        <w:tabs>
          <w:tab w:val="num" w:pos="2160"/>
        </w:tabs>
        <w:ind w:left="2160" w:hanging="360"/>
      </w:pPr>
      <w:rPr>
        <w:rFonts w:ascii="Symbol" w:hAnsi="Symbol" w:hint="default"/>
      </w:rPr>
    </w:lvl>
    <w:lvl w:ilvl="3" w:tplc="1A046658" w:tentative="1">
      <w:start w:val="1"/>
      <w:numFmt w:val="bullet"/>
      <w:lvlText w:val=""/>
      <w:lvlJc w:val="left"/>
      <w:pPr>
        <w:tabs>
          <w:tab w:val="num" w:pos="2880"/>
        </w:tabs>
        <w:ind w:left="2880" w:hanging="360"/>
      </w:pPr>
      <w:rPr>
        <w:rFonts w:ascii="Symbol" w:hAnsi="Symbol" w:hint="default"/>
      </w:rPr>
    </w:lvl>
    <w:lvl w:ilvl="4" w:tplc="B2BA3BAC" w:tentative="1">
      <w:start w:val="1"/>
      <w:numFmt w:val="bullet"/>
      <w:lvlText w:val=""/>
      <w:lvlJc w:val="left"/>
      <w:pPr>
        <w:tabs>
          <w:tab w:val="num" w:pos="3600"/>
        </w:tabs>
        <w:ind w:left="3600" w:hanging="360"/>
      </w:pPr>
      <w:rPr>
        <w:rFonts w:ascii="Symbol" w:hAnsi="Symbol" w:hint="default"/>
      </w:rPr>
    </w:lvl>
    <w:lvl w:ilvl="5" w:tplc="98EAEFE8" w:tentative="1">
      <w:start w:val="1"/>
      <w:numFmt w:val="bullet"/>
      <w:lvlText w:val=""/>
      <w:lvlJc w:val="left"/>
      <w:pPr>
        <w:tabs>
          <w:tab w:val="num" w:pos="4320"/>
        </w:tabs>
        <w:ind w:left="4320" w:hanging="360"/>
      </w:pPr>
      <w:rPr>
        <w:rFonts w:ascii="Symbol" w:hAnsi="Symbol" w:hint="default"/>
      </w:rPr>
    </w:lvl>
    <w:lvl w:ilvl="6" w:tplc="5B58CB4A" w:tentative="1">
      <w:start w:val="1"/>
      <w:numFmt w:val="bullet"/>
      <w:lvlText w:val=""/>
      <w:lvlJc w:val="left"/>
      <w:pPr>
        <w:tabs>
          <w:tab w:val="num" w:pos="5040"/>
        </w:tabs>
        <w:ind w:left="5040" w:hanging="360"/>
      </w:pPr>
      <w:rPr>
        <w:rFonts w:ascii="Symbol" w:hAnsi="Symbol" w:hint="default"/>
      </w:rPr>
    </w:lvl>
    <w:lvl w:ilvl="7" w:tplc="74848F86" w:tentative="1">
      <w:start w:val="1"/>
      <w:numFmt w:val="bullet"/>
      <w:lvlText w:val=""/>
      <w:lvlJc w:val="left"/>
      <w:pPr>
        <w:tabs>
          <w:tab w:val="num" w:pos="5760"/>
        </w:tabs>
        <w:ind w:left="5760" w:hanging="360"/>
      </w:pPr>
      <w:rPr>
        <w:rFonts w:ascii="Symbol" w:hAnsi="Symbol" w:hint="default"/>
      </w:rPr>
    </w:lvl>
    <w:lvl w:ilvl="8" w:tplc="9A7281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DEE6FE0"/>
    <w:multiLevelType w:val="hybridMultilevel"/>
    <w:tmpl w:val="5C94F048"/>
    <w:lvl w:ilvl="0" w:tplc="9FD06D72">
      <w:start w:val="1"/>
      <w:numFmt w:val="bullet"/>
      <w:lvlText w:val=""/>
      <w:lvlPicBulletId w:val="2"/>
      <w:lvlJc w:val="left"/>
      <w:pPr>
        <w:tabs>
          <w:tab w:val="num" w:pos="720"/>
        </w:tabs>
        <w:ind w:left="720" w:hanging="360"/>
      </w:pPr>
      <w:rPr>
        <w:rFonts w:ascii="Symbol" w:hAnsi="Symbol" w:hint="default"/>
        <w:sz w:val="70"/>
        <w:szCs w:val="70"/>
      </w:rPr>
    </w:lvl>
    <w:lvl w:ilvl="1" w:tplc="61661566" w:tentative="1">
      <w:start w:val="1"/>
      <w:numFmt w:val="bullet"/>
      <w:lvlText w:val=""/>
      <w:lvlJc w:val="left"/>
      <w:pPr>
        <w:tabs>
          <w:tab w:val="num" w:pos="1440"/>
        </w:tabs>
        <w:ind w:left="1440" w:hanging="360"/>
      </w:pPr>
      <w:rPr>
        <w:rFonts w:ascii="Symbol" w:hAnsi="Symbol" w:hint="default"/>
      </w:rPr>
    </w:lvl>
    <w:lvl w:ilvl="2" w:tplc="3EA0D398" w:tentative="1">
      <w:start w:val="1"/>
      <w:numFmt w:val="bullet"/>
      <w:lvlText w:val=""/>
      <w:lvlJc w:val="left"/>
      <w:pPr>
        <w:tabs>
          <w:tab w:val="num" w:pos="2160"/>
        </w:tabs>
        <w:ind w:left="2160" w:hanging="360"/>
      </w:pPr>
      <w:rPr>
        <w:rFonts w:ascii="Symbol" w:hAnsi="Symbol" w:hint="default"/>
      </w:rPr>
    </w:lvl>
    <w:lvl w:ilvl="3" w:tplc="2662FA52" w:tentative="1">
      <w:start w:val="1"/>
      <w:numFmt w:val="bullet"/>
      <w:lvlText w:val=""/>
      <w:lvlJc w:val="left"/>
      <w:pPr>
        <w:tabs>
          <w:tab w:val="num" w:pos="2880"/>
        </w:tabs>
        <w:ind w:left="2880" w:hanging="360"/>
      </w:pPr>
      <w:rPr>
        <w:rFonts w:ascii="Symbol" w:hAnsi="Symbol" w:hint="default"/>
      </w:rPr>
    </w:lvl>
    <w:lvl w:ilvl="4" w:tplc="C73281DA" w:tentative="1">
      <w:start w:val="1"/>
      <w:numFmt w:val="bullet"/>
      <w:lvlText w:val=""/>
      <w:lvlJc w:val="left"/>
      <w:pPr>
        <w:tabs>
          <w:tab w:val="num" w:pos="3600"/>
        </w:tabs>
        <w:ind w:left="3600" w:hanging="360"/>
      </w:pPr>
      <w:rPr>
        <w:rFonts w:ascii="Symbol" w:hAnsi="Symbol" w:hint="default"/>
      </w:rPr>
    </w:lvl>
    <w:lvl w:ilvl="5" w:tplc="2FECD0A6" w:tentative="1">
      <w:start w:val="1"/>
      <w:numFmt w:val="bullet"/>
      <w:lvlText w:val=""/>
      <w:lvlJc w:val="left"/>
      <w:pPr>
        <w:tabs>
          <w:tab w:val="num" w:pos="4320"/>
        </w:tabs>
        <w:ind w:left="4320" w:hanging="360"/>
      </w:pPr>
      <w:rPr>
        <w:rFonts w:ascii="Symbol" w:hAnsi="Symbol" w:hint="default"/>
      </w:rPr>
    </w:lvl>
    <w:lvl w:ilvl="6" w:tplc="ED14D450" w:tentative="1">
      <w:start w:val="1"/>
      <w:numFmt w:val="bullet"/>
      <w:lvlText w:val=""/>
      <w:lvlJc w:val="left"/>
      <w:pPr>
        <w:tabs>
          <w:tab w:val="num" w:pos="5040"/>
        </w:tabs>
        <w:ind w:left="5040" w:hanging="360"/>
      </w:pPr>
      <w:rPr>
        <w:rFonts w:ascii="Symbol" w:hAnsi="Symbol" w:hint="default"/>
      </w:rPr>
    </w:lvl>
    <w:lvl w:ilvl="7" w:tplc="8D28DFDA" w:tentative="1">
      <w:start w:val="1"/>
      <w:numFmt w:val="bullet"/>
      <w:lvlText w:val=""/>
      <w:lvlJc w:val="left"/>
      <w:pPr>
        <w:tabs>
          <w:tab w:val="num" w:pos="5760"/>
        </w:tabs>
        <w:ind w:left="5760" w:hanging="360"/>
      </w:pPr>
      <w:rPr>
        <w:rFonts w:ascii="Symbol" w:hAnsi="Symbol" w:hint="default"/>
      </w:rPr>
    </w:lvl>
    <w:lvl w:ilvl="8" w:tplc="585C4A0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0" w15:restartNumberingAfterBreak="0">
    <w:nsid w:val="623D1CE2"/>
    <w:multiLevelType w:val="hybridMultilevel"/>
    <w:tmpl w:val="83B2B53C"/>
    <w:lvl w:ilvl="0" w:tplc="38BCD236">
      <w:start w:val="1"/>
      <w:numFmt w:val="bullet"/>
      <w:lvlText w:val=""/>
      <w:lvlPicBulletId w:val="0"/>
      <w:lvlJc w:val="left"/>
      <w:pPr>
        <w:tabs>
          <w:tab w:val="num" w:pos="720"/>
        </w:tabs>
        <w:ind w:left="720" w:hanging="360"/>
      </w:pPr>
      <w:rPr>
        <w:rFonts w:ascii="Symbol" w:hAnsi="Symbol" w:hint="default"/>
        <w:color w:val="000000" w:themeColor="text1"/>
        <w:sz w:val="70"/>
        <w:szCs w:val="70"/>
      </w:rPr>
    </w:lvl>
    <w:lvl w:ilvl="1" w:tplc="240E7AC8" w:tentative="1">
      <w:start w:val="1"/>
      <w:numFmt w:val="bullet"/>
      <w:lvlText w:val=""/>
      <w:lvlJc w:val="left"/>
      <w:pPr>
        <w:tabs>
          <w:tab w:val="num" w:pos="1440"/>
        </w:tabs>
        <w:ind w:left="1440" w:hanging="360"/>
      </w:pPr>
      <w:rPr>
        <w:rFonts w:ascii="Symbol" w:hAnsi="Symbol" w:hint="default"/>
      </w:rPr>
    </w:lvl>
    <w:lvl w:ilvl="2" w:tplc="E7703088" w:tentative="1">
      <w:start w:val="1"/>
      <w:numFmt w:val="bullet"/>
      <w:lvlText w:val=""/>
      <w:lvlJc w:val="left"/>
      <w:pPr>
        <w:tabs>
          <w:tab w:val="num" w:pos="2160"/>
        </w:tabs>
        <w:ind w:left="2160" w:hanging="360"/>
      </w:pPr>
      <w:rPr>
        <w:rFonts w:ascii="Symbol" w:hAnsi="Symbol" w:hint="default"/>
      </w:rPr>
    </w:lvl>
    <w:lvl w:ilvl="3" w:tplc="2F041922" w:tentative="1">
      <w:start w:val="1"/>
      <w:numFmt w:val="bullet"/>
      <w:lvlText w:val=""/>
      <w:lvlJc w:val="left"/>
      <w:pPr>
        <w:tabs>
          <w:tab w:val="num" w:pos="2880"/>
        </w:tabs>
        <w:ind w:left="2880" w:hanging="360"/>
      </w:pPr>
      <w:rPr>
        <w:rFonts w:ascii="Symbol" w:hAnsi="Symbol" w:hint="default"/>
      </w:rPr>
    </w:lvl>
    <w:lvl w:ilvl="4" w:tplc="B2367748" w:tentative="1">
      <w:start w:val="1"/>
      <w:numFmt w:val="bullet"/>
      <w:lvlText w:val=""/>
      <w:lvlJc w:val="left"/>
      <w:pPr>
        <w:tabs>
          <w:tab w:val="num" w:pos="3600"/>
        </w:tabs>
        <w:ind w:left="3600" w:hanging="360"/>
      </w:pPr>
      <w:rPr>
        <w:rFonts w:ascii="Symbol" w:hAnsi="Symbol" w:hint="default"/>
      </w:rPr>
    </w:lvl>
    <w:lvl w:ilvl="5" w:tplc="739A445A" w:tentative="1">
      <w:start w:val="1"/>
      <w:numFmt w:val="bullet"/>
      <w:lvlText w:val=""/>
      <w:lvlJc w:val="left"/>
      <w:pPr>
        <w:tabs>
          <w:tab w:val="num" w:pos="4320"/>
        </w:tabs>
        <w:ind w:left="4320" w:hanging="360"/>
      </w:pPr>
      <w:rPr>
        <w:rFonts w:ascii="Symbol" w:hAnsi="Symbol" w:hint="default"/>
      </w:rPr>
    </w:lvl>
    <w:lvl w:ilvl="6" w:tplc="B9AEDF20" w:tentative="1">
      <w:start w:val="1"/>
      <w:numFmt w:val="bullet"/>
      <w:lvlText w:val=""/>
      <w:lvlJc w:val="left"/>
      <w:pPr>
        <w:tabs>
          <w:tab w:val="num" w:pos="5040"/>
        </w:tabs>
        <w:ind w:left="5040" w:hanging="360"/>
      </w:pPr>
      <w:rPr>
        <w:rFonts w:ascii="Symbol" w:hAnsi="Symbol" w:hint="default"/>
      </w:rPr>
    </w:lvl>
    <w:lvl w:ilvl="7" w:tplc="7F847C78" w:tentative="1">
      <w:start w:val="1"/>
      <w:numFmt w:val="bullet"/>
      <w:lvlText w:val=""/>
      <w:lvlJc w:val="left"/>
      <w:pPr>
        <w:tabs>
          <w:tab w:val="num" w:pos="5760"/>
        </w:tabs>
        <w:ind w:left="5760" w:hanging="360"/>
      </w:pPr>
      <w:rPr>
        <w:rFonts w:ascii="Symbol" w:hAnsi="Symbol" w:hint="default"/>
      </w:rPr>
    </w:lvl>
    <w:lvl w:ilvl="8" w:tplc="912E306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9"/>
  </w:num>
  <w:num w:numId="3">
    <w:abstractNumId w:val="13"/>
  </w:num>
  <w:num w:numId="4">
    <w:abstractNumId w:val="11"/>
  </w:num>
  <w:num w:numId="5">
    <w:abstractNumId w:val="25"/>
  </w:num>
  <w:num w:numId="6">
    <w:abstractNumId w:val="22"/>
  </w:num>
  <w:num w:numId="7">
    <w:abstractNumId w:val="16"/>
  </w:num>
  <w:num w:numId="8">
    <w:abstractNumId w:val="21"/>
  </w:num>
  <w:num w:numId="9">
    <w:abstractNumId w:val="24"/>
  </w:num>
  <w:num w:numId="10">
    <w:abstractNumId w:val="7"/>
  </w:num>
  <w:num w:numId="11">
    <w:abstractNumId w:val="23"/>
  </w:num>
  <w:num w:numId="12">
    <w:abstractNumId w:val="8"/>
  </w:num>
  <w:num w:numId="13">
    <w:abstractNumId w:val="9"/>
  </w:num>
  <w:num w:numId="14">
    <w:abstractNumId w:val="17"/>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18"/>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01A2"/>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3624"/>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7AE"/>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7F6C6D"/>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1B73A"/>
  <w15:docId w15:val="{705AE946-738A-4BED-801D-BC267737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39"/>
    <w:rsid w:val="007F6C6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internet.garant.ru/document/redirect/72168186/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2084212/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084212/100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48776746/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AB2D-3B37-4CCD-AC73-5E6567D1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8</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194</cp:revision>
  <cp:lastPrinted>2024-05-06T06:57:00Z</cp:lastPrinted>
  <dcterms:created xsi:type="dcterms:W3CDTF">2023-01-09T05:07:00Z</dcterms:created>
  <dcterms:modified xsi:type="dcterms:W3CDTF">2024-05-13T12:53:00Z</dcterms:modified>
</cp:coreProperties>
</file>