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52A52">
            <w:pPr>
              <w:pStyle w:val="TableParagraph"/>
              <w:spacing w:line="243" w:lineRule="exact"/>
              <w:ind w:right="367"/>
              <w:jc w:val="right"/>
              <w:rPr>
                <w:b/>
              </w:rPr>
            </w:pPr>
            <w:r>
              <w:rPr>
                <w:b/>
              </w:rPr>
              <w:t xml:space="preserve">№ </w:t>
            </w:r>
            <w:r w:rsidR="008B6A85">
              <w:rPr>
                <w:b/>
              </w:rPr>
              <w:t>66</w:t>
            </w:r>
            <w:r w:rsidR="00DD5310">
              <w:rPr>
                <w:b/>
              </w:rPr>
              <w:t xml:space="preserve"> </w:t>
            </w:r>
            <w:r w:rsidR="002117F6">
              <w:rPr>
                <w:b/>
              </w:rPr>
              <w:t xml:space="preserve">от </w:t>
            </w:r>
            <w:r w:rsidR="008B6A85">
              <w:rPr>
                <w:b/>
              </w:rPr>
              <w:t>14</w:t>
            </w:r>
            <w:r w:rsidR="00371A1F">
              <w:rPr>
                <w:b/>
              </w:rPr>
              <w:t xml:space="preserve"> </w:t>
            </w:r>
            <w:r w:rsidR="00D52A52">
              <w:rPr>
                <w:b/>
              </w:rPr>
              <w:t>октября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align>center</wp:align>
            </wp:positionH>
            <wp:positionV relativeFrom="paragraph">
              <wp:posOffset>469900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574E8A" w:rsidRDefault="00574E8A" w:rsidP="00F04631">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8B6A85">
        <w:rPr>
          <w:rFonts w:asciiTheme="majorHAnsi" w:hAnsiTheme="majorHAnsi"/>
          <w:b/>
          <w:sz w:val="21"/>
          <w:szCs w:val="21"/>
        </w:rPr>
        <w:t>14</w:t>
      </w:r>
      <w:r w:rsidR="00D52A52">
        <w:rPr>
          <w:rFonts w:asciiTheme="majorHAnsi" w:hAnsiTheme="majorHAnsi"/>
          <w:b/>
          <w:sz w:val="21"/>
          <w:szCs w:val="21"/>
        </w:rPr>
        <w:t>.10</w:t>
      </w:r>
      <w:r>
        <w:rPr>
          <w:rFonts w:asciiTheme="majorHAnsi" w:hAnsiTheme="majorHAnsi"/>
          <w:b/>
          <w:sz w:val="21"/>
          <w:szCs w:val="21"/>
        </w:rPr>
        <w:t>.2024</w:t>
      </w:r>
      <w:r w:rsidRPr="008C3B7F">
        <w:rPr>
          <w:rFonts w:asciiTheme="majorHAnsi" w:hAnsiTheme="majorHAnsi"/>
          <w:b/>
          <w:sz w:val="21"/>
          <w:szCs w:val="21"/>
        </w:rPr>
        <w:t xml:space="preserve"> г. №</w:t>
      </w:r>
      <w:r w:rsidR="008B6A85">
        <w:rPr>
          <w:rFonts w:asciiTheme="majorHAnsi" w:hAnsiTheme="majorHAnsi"/>
          <w:b/>
          <w:sz w:val="21"/>
          <w:szCs w:val="21"/>
        </w:rPr>
        <w:t xml:space="preserve"> 1081</w:t>
      </w:r>
    </w:p>
    <w:p w:rsidR="008B6A85" w:rsidRPr="008B6A85" w:rsidRDefault="008B6A85" w:rsidP="00F04631">
      <w:pPr>
        <w:ind w:right="367"/>
        <w:jc w:val="both"/>
        <w:rPr>
          <w:rFonts w:asciiTheme="majorHAnsi" w:hAnsiTheme="majorHAnsi"/>
          <w:b/>
          <w:i/>
          <w:sz w:val="24"/>
          <w:szCs w:val="24"/>
        </w:rPr>
      </w:pPr>
      <w:r w:rsidRPr="008B6A85">
        <w:rPr>
          <w:rFonts w:asciiTheme="majorHAnsi" w:hAnsiTheme="majorHAnsi"/>
          <w:b/>
          <w:i/>
          <w:sz w:val="24"/>
          <w:szCs w:val="24"/>
        </w:rPr>
        <w:t>«</w:t>
      </w:r>
      <w:r w:rsidRPr="008B6A85">
        <w:rPr>
          <w:b/>
          <w:i/>
          <w:sz w:val="24"/>
          <w:szCs w:val="24"/>
        </w:rPr>
        <w:t>О внесении изменений в постановление администрации Комсомольского муниципального округа Чувашской Республики от 18 апреля 2023 года № 350 «О денежном содержании и материальном стимулировании лиц, замещающих муниципальные должности и должности муниципальной службы в администрации Комсомольского муниципального округа Чувашской Республики</w:t>
      </w:r>
      <w:r w:rsidRPr="008B6A85">
        <w:rPr>
          <w:b/>
          <w:i/>
          <w:sz w:val="24"/>
          <w:szCs w:val="24"/>
        </w:rPr>
        <w:t>»</w:t>
      </w:r>
    </w:p>
    <w:p w:rsidR="009F3469" w:rsidRDefault="009F3469" w:rsidP="009F3469">
      <w:pPr>
        <w:ind w:firstLine="720"/>
        <w:jc w:val="both"/>
        <w:rPr>
          <w:sz w:val="26"/>
          <w:szCs w:val="26"/>
        </w:rPr>
      </w:pPr>
    </w:p>
    <w:p w:rsidR="008B6A85" w:rsidRPr="008B6A85" w:rsidRDefault="008B6A85" w:rsidP="008B6A85">
      <w:pPr>
        <w:ind w:right="-1" w:firstLine="567"/>
        <w:jc w:val="both"/>
        <w:rPr>
          <w:sz w:val="20"/>
          <w:szCs w:val="20"/>
        </w:rPr>
      </w:pPr>
      <w:r w:rsidRPr="008B6A85">
        <w:rPr>
          <w:sz w:val="20"/>
          <w:szCs w:val="20"/>
        </w:rPr>
        <w:t>Руководствуясь решением Собрания депутатов Комсомольского муниципального округа Чувашской Республики от 04 октября 2024 года № 31/369 «О внесении изменений в решение Собрания депутатов Комсомольского муниципального округа Чувашской Республики от 28 декабря 2022 года № 8/128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 в целях упорядочения оплаты труда лиц, замещающих муниципальные должности и должности           муниципальной службы администрация Комсомольского муниципального округа Чувашской Республики  п о с т а н о в л я е т:</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xml:space="preserve">1. Внести в Положение о денежном содержании и материальном стимулировании лиц, замещающих муниципальные должности и должности муниципальной службы в </w:t>
      </w:r>
      <w:r w:rsidRPr="008B6A85">
        <w:rPr>
          <w:bCs/>
          <w:sz w:val="20"/>
          <w:szCs w:val="20"/>
        </w:rPr>
        <w:t xml:space="preserve">администрации Комсомольского муниципального округа Чувашской Республики, утвержденное постановлением администрации </w:t>
      </w:r>
      <w:r w:rsidRPr="008B6A85">
        <w:rPr>
          <w:sz w:val="20"/>
          <w:szCs w:val="20"/>
        </w:rPr>
        <w:t>Комсомольского муниципального округа Чувашской Республики от 18 апреля 2023 года № 350 «О денежном содержании и материальном стимулировании лиц, замещающих муниципальные должности и должности муниципальной службы в администрации Комсомольского муниципального округа Чувашской Республики» (далее - Положение) (с изменениями, внесенными постановлением администрации Комсомольского муниципального округа Чувашской Республики от 10 ноября 2023 года № 1328), следующие изменения:</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xml:space="preserve">1) подпункт 14.1 пункта 14 </w:t>
      </w:r>
      <w:r w:rsidRPr="008B6A85">
        <w:rPr>
          <w:bCs/>
          <w:color w:val="000000"/>
          <w:sz w:val="20"/>
          <w:szCs w:val="20"/>
        </w:rPr>
        <w:t>изложить в следующей редакции:</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«14.1. Фонд оплаты труда лиц, замещающих муниципальные должности, и должности муниципальной службы в администрации Комсомольского муниципального округа Чувашской Республики формируется, за счет средств, направленных для выплаты (в расчете на год):</w:t>
      </w:r>
    </w:p>
    <w:tbl>
      <w:tblPr>
        <w:tblW w:w="9454" w:type="dxa"/>
        <w:tblInd w:w="-8" w:type="dxa"/>
        <w:tblLook w:val="04A0" w:firstRow="1" w:lastRow="0" w:firstColumn="1" w:lastColumn="0" w:noHBand="0" w:noVBand="1"/>
      </w:tblPr>
      <w:tblGrid>
        <w:gridCol w:w="5003"/>
        <w:gridCol w:w="4451"/>
      </w:tblGrid>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Составляющие фонда оплаты труда</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Количество должностных окладов, предусматриваемых при формировании фонда оплаты труда (должностных окладов)</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Должностной оклад</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12</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Ежемесячное денежное поощрение</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30</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Ежемесячная надбавка к должностному окладу за выслугу лет</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3</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Ежемесячная надбавка к должностному окладу за особые условия службы</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14</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Ежемесячная выплата за классный чин</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4</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 xml:space="preserve">Ежемесячная процентная надбавка к должностному </w:t>
            </w:r>
            <w:proofErr w:type="gramStart"/>
            <w:r w:rsidRPr="008B6A85">
              <w:rPr>
                <w:sz w:val="20"/>
                <w:szCs w:val="20"/>
              </w:rPr>
              <w:t>окладу  за</w:t>
            </w:r>
            <w:proofErr w:type="gramEnd"/>
            <w:r w:rsidRPr="008B6A85">
              <w:rPr>
                <w:sz w:val="20"/>
                <w:szCs w:val="20"/>
              </w:rPr>
              <w:t xml:space="preserve"> работу со сведениями, составляющими государственную тайну</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1,5</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Премии за выполнение особо важных и сложных заданий</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6</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Единовременная выплата при предоставлении ежегодного оплачиваемого отпуска и материальная помощь</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3</w:t>
            </w:r>
          </w:p>
        </w:tc>
      </w:tr>
      <w:tr w:rsidR="008B6A85" w:rsidRPr="008B6A85" w:rsidTr="008B6A85">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rPr>
                <w:sz w:val="20"/>
                <w:szCs w:val="20"/>
              </w:rPr>
            </w:pPr>
            <w:r w:rsidRPr="008B6A85">
              <w:rPr>
                <w:sz w:val="20"/>
                <w:szCs w:val="20"/>
              </w:rPr>
              <w:t>Итого</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B6A85" w:rsidRPr="008B6A85" w:rsidRDefault="008B6A85">
            <w:pPr>
              <w:spacing w:line="276" w:lineRule="auto"/>
              <w:ind w:firstLine="425"/>
              <w:jc w:val="center"/>
              <w:rPr>
                <w:sz w:val="20"/>
                <w:szCs w:val="20"/>
              </w:rPr>
            </w:pPr>
            <w:r w:rsidRPr="008B6A85">
              <w:rPr>
                <w:sz w:val="20"/>
                <w:szCs w:val="20"/>
              </w:rPr>
              <w:t>73,5»;</w:t>
            </w:r>
          </w:p>
        </w:tc>
      </w:tr>
    </w:tbl>
    <w:p w:rsidR="008B6A85" w:rsidRPr="008B6A85" w:rsidRDefault="008B6A85" w:rsidP="008B6A85">
      <w:pPr>
        <w:tabs>
          <w:tab w:val="left" w:pos="6663"/>
        </w:tabs>
        <w:ind w:right="-1"/>
        <w:jc w:val="both"/>
        <w:rPr>
          <w:bCs/>
          <w:color w:val="000000"/>
          <w:sz w:val="20"/>
          <w:szCs w:val="20"/>
          <w:lang w:eastAsia="ru-RU"/>
        </w:rPr>
      </w:pPr>
    </w:p>
    <w:p w:rsidR="008B6A85" w:rsidRPr="008B6A85" w:rsidRDefault="008B6A85" w:rsidP="008B6A85">
      <w:pPr>
        <w:tabs>
          <w:tab w:val="left" w:pos="6663"/>
        </w:tabs>
        <w:ind w:right="-1" w:firstLine="567"/>
        <w:jc w:val="both"/>
        <w:rPr>
          <w:color w:val="000000" w:themeColor="text1"/>
          <w:sz w:val="20"/>
          <w:szCs w:val="20"/>
        </w:rPr>
      </w:pPr>
      <w:r w:rsidRPr="008B6A85">
        <w:rPr>
          <w:bCs/>
          <w:color w:val="000000"/>
          <w:sz w:val="20"/>
          <w:szCs w:val="20"/>
        </w:rPr>
        <w:t xml:space="preserve">2) приложение № 1 к </w:t>
      </w:r>
      <w:r w:rsidRPr="008B6A85">
        <w:rPr>
          <w:bCs/>
          <w:sz w:val="20"/>
          <w:szCs w:val="20"/>
        </w:rPr>
        <w:t xml:space="preserve">Положению </w:t>
      </w:r>
      <w:r w:rsidRPr="008B6A85">
        <w:rPr>
          <w:bCs/>
          <w:color w:val="000000"/>
          <w:sz w:val="20"/>
          <w:szCs w:val="20"/>
        </w:rPr>
        <w:t xml:space="preserve">изложить в редакции согласно </w:t>
      </w:r>
      <w:proofErr w:type="gramStart"/>
      <w:r w:rsidRPr="008B6A85">
        <w:rPr>
          <w:bCs/>
          <w:color w:val="000000"/>
          <w:sz w:val="20"/>
          <w:szCs w:val="20"/>
        </w:rPr>
        <w:t>приложению</w:t>
      </w:r>
      <w:proofErr w:type="gramEnd"/>
      <w:r w:rsidRPr="008B6A85">
        <w:rPr>
          <w:bCs/>
          <w:color w:val="000000"/>
          <w:sz w:val="20"/>
          <w:szCs w:val="20"/>
        </w:rPr>
        <w:t xml:space="preserve"> </w:t>
      </w:r>
      <w:r w:rsidRPr="008B6A85">
        <w:rPr>
          <w:sz w:val="20"/>
          <w:szCs w:val="20"/>
        </w:rPr>
        <w:t>к настоящему постановлению.</w:t>
      </w:r>
    </w:p>
    <w:p w:rsidR="008B6A85" w:rsidRPr="008B6A85" w:rsidRDefault="008B6A85" w:rsidP="008B6A85">
      <w:pPr>
        <w:tabs>
          <w:tab w:val="left" w:pos="6663"/>
        </w:tabs>
        <w:ind w:right="-1" w:firstLine="567"/>
        <w:jc w:val="both"/>
        <w:rPr>
          <w:sz w:val="20"/>
          <w:szCs w:val="20"/>
        </w:rPr>
      </w:pPr>
      <w:r w:rsidRPr="008B6A85">
        <w:rPr>
          <w:sz w:val="20"/>
          <w:szCs w:val="20"/>
        </w:rPr>
        <w:t xml:space="preserve">2. Настоящее постановление вступает в силу со дня его официального опубликования в периодическом печатном издании </w:t>
      </w:r>
      <w:r w:rsidRPr="008B6A85">
        <w:rPr>
          <w:sz w:val="20"/>
          <w:szCs w:val="20"/>
        </w:rPr>
        <w:lastRenderedPageBreak/>
        <w:t>«Вестник Комсомольского муниципального округа Чувашской Республики» и распространяется на правоотношения, возникшие с 01 июля 2024 года.</w:t>
      </w:r>
    </w:p>
    <w:p w:rsidR="008B6A85" w:rsidRDefault="008B6A85" w:rsidP="008B6A85">
      <w:pPr>
        <w:suppressAutoHyphens/>
        <w:jc w:val="both"/>
        <w:rPr>
          <w:b/>
          <w:sz w:val="24"/>
          <w:szCs w:val="24"/>
        </w:rPr>
      </w:pPr>
    </w:p>
    <w:p w:rsidR="008B6A85" w:rsidRPr="00AB27EF" w:rsidRDefault="008B6A85" w:rsidP="008B6A85">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BE6767">
          <w:rPr>
            <w:rStyle w:val="af8"/>
            <w:sz w:val="24"/>
            <w:szCs w:val="24"/>
          </w:rPr>
          <w:t>https://komsml.cap.ru/doc/laws/</w:t>
        </w:r>
      </w:hyperlink>
    </w:p>
    <w:p w:rsidR="008B6A85" w:rsidRPr="00712C58" w:rsidRDefault="008B6A85" w:rsidP="008B6A85">
      <w:pPr>
        <w:ind w:right="141"/>
        <w:jc w:val="both"/>
        <w:rPr>
          <w:b/>
          <w:i/>
          <w:sz w:val="24"/>
          <w:szCs w:val="24"/>
        </w:rPr>
      </w:pPr>
    </w:p>
    <w:p w:rsidR="008B6A85" w:rsidRPr="00854972" w:rsidRDefault="008B6A85" w:rsidP="008B6A85">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8B6A85" w:rsidRPr="00854972" w:rsidRDefault="008B6A85" w:rsidP="008B6A85">
      <w:pPr>
        <w:jc w:val="both"/>
      </w:pPr>
      <w:r w:rsidRPr="00854972">
        <w:t xml:space="preserve">муниципального округа                                                                                                      </w:t>
      </w:r>
      <w:r>
        <w:t xml:space="preserve">                               Н.Н. Раськин</w:t>
      </w:r>
      <w:r w:rsidRPr="00854972">
        <w:t xml:space="preserve"> </w:t>
      </w:r>
    </w:p>
    <w:p w:rsidR="008B6A85" w:rsidRDefault="008B6A85" w:rsidP="008B6A85">
      <w:pPr>
        <w:jc w:val="both"/>
      </w:pPr>
      <w:r w:rsidRPr="00854972">
        <w:t xml:space="preserve">пост. № </w:t>
      </w:r>
      <w:r>
        <w:t>1081 от 14</w:t>
      </w:r>
      <w:r>
        <w:t>.10</w:t>
      </w:r>
      <w:r w:rsidRPr="00854972">
        <w:t>.2024</w:t>
      </w:r>
      <w:r>
        <w:t xml:space="preserve"> </w:t>
      </w:r>
      <w:r w:rsidRPr="00854972">
        <w:t>г</w:t>
      </w:r>
    </w:p>
    <w:p w:rsidR="008B6A85" w:rsidRDefault="008B6A85" w:rsidP="008B6A85">
      <w:pPr>
        <w:jc w:val="both"/>
      </w:pPr>
    </w:p>
    <w:p w:rsidR="008B6A85" w:rsidRDefault="008B6A85" w:rsidP="008B6A85">
      <w:pPr>
        <w:jc w:val="both"/>
      </w:pPr>
    </w:p>
    <w:p w:rsidR="008B6A85" w:rsidRDefault="008B6A85" w:rsidP="008B6A85">
      <w:pPr>
        <w:jc w:val="both"/>
      </w:pPr>
    </w:p>
    <w:p w:rsidR="008B6A85" w:rsidRDefault="008B6A85" w:rsidP="008B6A85">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14.10.2024</w:t>
      </w:r>
      <w:r w:rsidRPr="008C3B7F">
        <w:rPr>
          <w:rFonts w:asciiTheme="majorHAnsi" w:hAnsiTheme="majorHAnsi"/>
          <w:b/>
          <w:sz w:val="21"/>
          <w:szCs w:val="21"/>
        </w:rPr>
        <w:t xml:space="preserve"> г. №</w:t>
      </w:r>
      <w:r>
        <w:rPr>
          <w:rFonts w:asciiTheme="majorHAnsi" w:hAnsiTheme="majorHAnsi"/>
          <w:b/>
          <w:sz w:val="21"/>
          <w:szCs w:val="21"/>
        </w:rPr>
        <w:t xml:space="preserve"> 1082</w:t>
      </w:r>
    </w:p>
    <w:p w:rsidR="008B6A85" w:rsidRDefault="008B6A85" w:rsidP="008B6A85">
      <w:pPr>
        <w:tabs>
          <w:tab w:val="left" w:pos="6663"/>
        </w:tabs>
        <w:ind w:right="141"/>
        <w:jc w:val="both"/>
        <w:rPr>
          <w:b/>
          <w:i/>
          <w:sz w:val="24"/>
          <w:szCs w:val="24"/>
        </w:rPr>
      </w:pPr>
      <w:r w:rsidRPr="008B6A85">
        <w:rPr>
          <w:b/>
          <w:i/>
          <w:sz w:val="24"/>
          <w:szCs w:val="24"/>
        </w:rPr>
        <w:t>«</w:t>
      </w:r>
      <w:r w:rsidRPr="008B6A85">
        <w:rPr>
          <w:b/>
          <w:i/>
          <w:sz w:val="24"/>
          <w:szCs w:val="24"/>
        </w:rPr>
        <w:t>О внесении изменений в постановление администрации Комсомольского муниципального округа Чувашской Республики от 19 апреля 2023 года № 362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w:t>
      </w:r>
    </w:p>
    <w:p w:rsidR="008B6A85" w:rsidRDefault="008B6A85" w:rsidP="008B6A85">
      <w:pPr>
        <w:tabs>
          <w:tab w:val="left" w:pos="6663"/>
        </w:tabs>
        <w:ind w:right="141"/>
        <w:jc w:val="both"/>
        <w:rPr>
          <w:b/>
          <w:i/>
          <w:sz w:val="24"/>
          <w:szCs w:val="24"/>
        </w:rPr>
      </w:pPr>
    </w:p>
    <w:p w:rsidR="008B6A85" w:rsidRPr="008B6A85" w:rsidRDefault="008B6A85" w:rsidP="008B6A85">
      <w:pPr>
        <w:ind w:right="-1" w:firstLine="567"/>
        <w:jc w:val="both"/>
        <w:rPr>
          <w:sz w:val="20"/>
          <w:szCs w:val="20"/>
        </w:rPr>
      </w:pPr>
      <w:r w:rsidRPr="008B6A85">
        <w:rPr>
          <w:sz w:val="20"/>
          <w:szCs w:val="20"/>
        </w:rPr>
        <w:t>Руководствуясь решением Собрания депутатов Комсомольского муниципального округа Чувашской Республики от 04 октября 2024 года № 31/370 «О внесении изменений в решение Собрания депутатов Комсомольского муниципального округа Чувашской Республики от 28 декабря 2022 года № 8/129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администрация Комсомольского муниципального округа Чувашской Республики  п о с т а н о в л я е т:</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1. Внести в Положение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w:t>
      </w:r>
      <w:r w:rsidRPr="008B6A85">
        <w:rPr>
          <w:bCs/>
          <w:sz w:val="20"/>
          <w:szCs w:val="20"/>
        </w:rPr>
        <w:t xml:space="preserve">, утвержденное постановлением администрации </w:t>
      </w:r>
      <w:r w:rsidRPr="008B6A85">
        <w:rPr>
          <w:sz w:val="20"/>
          <w:szCs w:val="20"/>
        </w:rPr>
        <w:t>Комсомольского муниципального округа Чувашской Республики от 19 апреля 2023 года № 362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(с изменениями, внесенными постановлением администрации Комсомольского муниципального округа Чувашской Республики от 14 ноября 2023 года № 1330), следующие изменения:</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1) подпункт 3.4.1 пункта 3.4 раздела 3 изложить в следующей редакции:</w:t>
      </w:r>
      <w:bookmarkStart w:id="0" w:name="sub_341"/>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«3.4.1. Ежемесячное денежное поощрение устанавливается в размере до 1,53 должностного оклада.»;</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2) раздел 4 изложить в следующей редакции:</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«4. Фонд оплаты труда</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При формировании фонда оплаты труда работников предусматриваются следующие средства для выплаты (в расчете на год):</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1) должностного оклада - в размере 12 должностных окладов;</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2) дополнительных выплат:</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ежемесячного денежного поощрения - в размере 18,4 должностного оклада;</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ежемесячной надбавки к должностному окладу за выслугу лет - в размере 2 должностных окладов;</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ежемесячной надбавки к должностному окладу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w:t>
      </w:r>
      <w:hyperlink r:id="rId10" w:anchor="/document/10102673/entry/101" w:history="1">
        <w:r w:rsidRPr="008B6A85">
          <w:rPr>
            <w:rStyle w:val="af8"/>
            <w:sz w:val="20"/>
            <w:szCs w:val="20"/>
          </w:rPr>
          <w:t>государственную тайну</w:t>
        </w:r>
      </w:hyperlink>
      <w:r w:rsidRPr="008B6A85">
        <w:rPr>
          <w:sz w:val="20"/>
          <w:szCs w:val="20"/>
        </w:rPr>
        <w:t>, - в размере 10 должностных окладов;</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премий по результатам работы - в размере 3 должностных окладов;</w:t>
      </w:r>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 единовременной выплаты при предоставлении ежегодного оплачиваемого отпуска - в размере 2 должностных окладов;</w:t>
      </w:r>
    </w:p>
    <w:p w:rsidR="008B6A85" w:rsidRPr="008B6A85" w:rsidRDefault="008B6A85" w:rsidP="008B6A85">
      <w:pPr>
        <w:tabs>
          <w:tab w:val="left" w:pos="6663"/>
        </w:tabs>
        <w:ind w:right="-1" w:firstLine="709"/>
        <w:jc w:val="both"/>
        <w:rPr>
          <w:color w:val="000000" w:themeColor="text1"/>
          <w:sz w:val="20"/>
          <w:szCs w:val="20"/>
        </w:rPr>
      </w:pPr>
      <w:r w:rsidRPr="008B6A85">
        <w:rPr>
          <w:color w:val="000000" w:themeColor="text1"/>
          <w:sz w:val="20"/>
          <w:szCs w:val="20"/>
        </w:rPr>
        <w:t xml:space="preserve">- </w:t>
      </w:r>
      <w:r w:rsidRPr="008B6A85">
        <w:rPr>
          <w:sz w:val="20"/>
          <w:szCs w:val="20"/>
        </w:rPr>
        <w:t>материальной помощи - в размере 2 должностных окладов.».</w:t>
      </w:r>
      <w:bookmarkEnd w:id="0"/>
    </w:p>
    <w:p w:rsidR="008B6A85" w:rsidRPr="008B6A85" w:rsidRDefault="008B6A85" w:rsidP="008B6A85">
      <w:pPr>
        <w:tabs>
          <w:tab w:val="left" w:pos="6663"/>
        </w:tabs>
        <w:ind w:right="-1" w:firstLine="709"/>
        <w:jc w:val="both"/>
        <w:rPr>
          <w:color w:val="000000" w:themeColor="text1"/>
          <w:sz w:val="20"/>
          <w:szCs w:val="20"/>
        </w:rPr>
      </w:pPr>
      <w:r w:rsidRPr="008B6A85">
        <w:rPr>
          <w:sz w:val="20"/>
          <w:szCs w:val="20"/>
        </w:rPr>
        <w:t>2. Настоящее постановление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 и распространяется на правоотношения, возникшие с 01 июля 2024 года.</w:t>
      </w:r>
    </w:p>
    <w:p w:rsidR="008B6A85" w:rsidRDefault="008B6A85" w:rsidP="008B6A85">
      <w:pPr>
        <w:tabs>
          <w:tab w:val="left" w:pos="6663"/>
        </w:tabs>
        <w:ind w:right="141"/>
        <w:jc w:val="both"/>
        <w:rPr>
          <w:b/>
          <w:i/>
          <w:sz w:val="24"/>
          <w:szCs w:val="24"/>
        </w:rPr>
      </w:pPr>
    </w:p>
    <w:p w:rsidR="008B6A85" w:rsidRDefault="008B6A85" w:rsidP="008B6A85">
      <w:pPr>
        <w:tabs>
          <w:tab w:val="left" w:pos="6663"/>
        </w:tabs>
        <w:ind w:right="141"/>
        <w:jc w:val="both"/>
        <w:rPr>
          <w:b/>
          <w:i/>
          <w:sz w:val="24"/>
          <w:szCs w:val="24"/>
        </w:rPr>
      </w:pPr>
    </w:p>
    <w:p w:rsidR="008B6A85" w:rsidRPr="00AB27EF" w:rsidRDefault="008B6A85" w:rsidP="008B6A85">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p>
    <w:p w:rsidR="008B6A85" w:rsidRPr="00712C58" w:rsidRDefault="008B6A85" w:rsidP="008B6A85">
      <w:pPr>
        <w:ind w:right="141"/>
        <w:jc w:val="both"/>
        <w:rPr>
          <w:b/>
          <w:i/>
          <w:sz w:val="24"/>
          <w:szCs w:val="24"/>
        </w:rPr>
      </w:pPr>
    </w:p>
    <w:p w:rsidR="008B6A85" w:rsidRPr="00854972" w:rsidRDefault="008B6A85" w:rsidP="008B6A85">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8B6A85" w:rsidRPr="00854972" w:rsidRDefault="008B6A85" w:rsidP="008B6A85">
      <w:pPr>
        <w:jc w:val="both"/>
      </w:pPr>
      <w:r w:rsidRPr="00854972">
        <w:t xml:space="preserve">муниципального округа                                                                                                      </w:t>
      </w:r>
      <w:r>
        <w:t xml:space="preserve">                               Н.Н. Раськин</w:t>
      </w:r>
      <w:r w:rsidRPr="00854972">
        <w:t xml:space="preserve"> </w:t>
      </w:r>
    </w:p>
    <w:p w:rsidR="009F3469" w:rsidRPr="008B6A85" w:rsidRDefault="008B6A85" w:rsidP="008B6A85">
      <w:pPr>
        <w:jc w:val="both"/>
      </w:pPr>
      <w:r w:rsidRPr="00854972">
        <w:t xml:space="preserve">пост. № </w:t>
      </w:r>
      <w:r>
        <w:t>108</w:t>
      </w:r>
      <w:r>
        <w:t>2</w:t>
      </w:r>
      <w:r>
        <w:t xml:space="preserve"> от 14.10</w:t>
      </w:r>
      <w:r w:rsidRPr="00854972">
        <w:t>.2024</w:t>
      </w:r>
      <w:r>
        <w:t xml:space="preserve"> </w:t>
      </w:r>
      <w:r w:rsidRPr="00854972">
        <w:t>г</w:t>
      </w:r>
      <w:bookmarkStart w:id="1" w:name="_GoBack"/>
      <w:bookmarkEnd w:id="1"/>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8C7CE1">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5"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6"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7"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9" w15:restartNumberingAfterBreak="0">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2"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7"/>
  </w:num>
  <w:num w:numId="5">
    <w:abstractNumId w:val="21"/>
  </w:num>
  <w:num w:numId="6">
    <w:abstractNumId w:val="15"/>
  </w:num>
  <w:num w:numId="7">
    <w:abstractNumId w:val="10"/>
  </w:num>
  <w:num w:numId="8">
    <w:abstractNumId w:val="6"/>
  </w:num>
  <w:num w:numId="9">
    <w:abstractNumId w:val="8"/>
  </w:num>
  <w:num w:numId="10">
    <w:abstractNumId w:val="11"/>
  </w:num>
  <w:num w:numId="11">
    <w:abstractNumId w:val="0"/>
  </w:num>
  <w:num w:numId="12">
    <w:abstractNumId w:val="22"/>
  </w:num>
  <w:num w:numId="13">
    <w:abstractNumId w:val="1"/>
  </w:num>
  <w:num w:numId="14">
    <w:abstractNumId w:val="2"/>
  </w:num>
  <w:num w:numId="15">
    <w:abstractNumId w:val="12"/>
  </w:num>
  <w:num w:numId="16">
    <w:abstractNumId w:val="4"/>
  </w:num>
  <w:num w:numId="17">
    <w:abstractNumId w:val="16"/>
  </w:num>
  <w:num w:numId="18">
    <w:abstractNumId w:val="20"/>
  </w:num>
  <w:num w:numId="19">
    <w:abstractNumId w:val="17"/>
  </w:num>
  <w:num w:numId="20">
    <w:abstractNumId w:val="13"/>
  </w:num>
  <w:num w:numId="21">
    <w:abstractNumId w:val="3"/>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07984"/>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660E9"/>
    <w:rsid w:val="002844D2"/>
    <w:rsid w:val="002D0911"/>
    <w:rsid w:val="002D30B6"/>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47367"/>
    <w:rsid w:val="00662E1B"/>
    <w:rsid w:val="006C4C93"/>
    <w:rsid w:val="00700FED"/>
    <w:rsid w:val="00712C58"/>
    <w:rsid w:val="00727991"/>
    <w:rsid w:val="00797E00"/>
    <w:rsid w:val="007A07EC"/>
    <w:rsid w:val="007C59DB"/>
    <w:rsid w:val="007D2BA2"/>
    <w:rsid w:val="007D5C95"/>
    <w:rsid w:val="007E7E23"/>
    <w:rsid w:val="00814C08"/>
    <w:rsid w:val="008308FA"/>
    <w:rsid w:val="00833C25"/>
    <w:rsid w:val="00854972"/>
    <w:rsid w:val="00896859"/>
    <w:rsid w:val="008B6A85"/>
    <w:rsid w:val="008C3B7F"/>
    <w:rsid w:val="008C7CE1"/>
    <w:rsid w:val="008D743E"/>
    <w:rsid w:val="0091094D"/>
    <w:rsid w:val="00994944"/>
    <w:rsid w:val="009B5592"/>
    <w:rsid w:val="009C588F"/>
    <w:rsid w:val="009E6CCF"/>
    <w:rsid w:val="009F3469"/>
    <w:rsid w:val="00A05EFA"/>
    <w:rsid w:val="00A1431A"/>
    <w:rsid w:val="00A23D96"/>
    <w:rsid w:val="00A3380B"/>
    <w:rsid w:val="00A33B11"/>
    <w:rsid w:val="00A574EF"/>
    <w:rsid w:val="00AA45D8"/>
    <w:rsid w:val="00AB27EF"/>
    <w:rsid w:val="00B37590"/>
    <w:rsid w:val="00B45A49"/>
    <w:rsid w:val="00B47A0E"/>
    <w:rsid w:val="00B87F89"/>
    <w:rsid w:val="00B972FC"/>
    <w:rsid w:val="00BB64CE"/>
    <w:rsid w:val="00BC6CC0"/>
    <w:rsid w:val="00BD6551"/>
    <w:rsid w:val="00BE6767"/>
    <w:rsid w:val="00BF668F"/>
    <w:rsid w:val="00BF67C3"/>
    <w:rsid w:val="00C073CE"/>
    <w:rsid w:val="00C32BB2"/>
    <w:rsid w:val="00C37515"/>
    <w:rsid w:val="00C475FC"/>
    <w:rsid w:val="00C7266E"/>
    <w:rsid w:val="00CD4222"/>
    <w:rsid w:val="00D15C88"/>
    <w:rsid w:val="00D52A52"/>
    <w:rsid w:val="00D65AC1"/>
    <w:rsid w:val="00DD5310"/>
    <w:rsid w:val="00DE37DB"/>
    <w:rsid w:val="00E2014B"/>
    <w:rsid w:val="00E33478"/>
    <w:rsid w:val="00E42778"/>
    <w:rsid w:val="00E42FDF"/>
    <w:rsid w:val="00E565DF"/>
    <w:rsid w:val="00ED2B5E"/>
    <w:rsid w:val="00EF7BB4"/>
    <w:rsid w:val="00F04631"/>
    <w:rsid w:val="00F840E1"/>
    <w:rsid w:val="00F91799"/>
    <w:rsid w:val="00F96646"/>
    <w:rsid w:val="00FA560B"/>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975E-B62B-452C-AE9B-A039AA97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32</cp:revision>
  <dcterms:created xsi:type="dcterms:W3CDTF">2024-08-01T10:23:00Z</dcterms:created>
  <dcterms:modified xsi:type="dcterms:W3CDTF">2024-10-23T06:49:00Z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