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3471"/>
        <w:gridCol w:w="2052"/>
        <w:gridCol w:w="3762"/>
      </w:tblGrid>
      <w:tr w:rsidR="005B3657" w:rsidRPr="00EA70E6" w:rsidTr="005E6371">
        <w:trPr>
          <w:trHeight w:val="2536"/>
        </w:trPr>
        <w:tc>
          <w:tcPr>
            <w:tcW w:w="3471" w:type="dxa"/>
          </w:tcPr>
          <w:p w:rsidR="005B3657" w:rsidRDefault="005B3657" w:rsidP="005E6371">
            <w:pPr>
              <w:rPr>
                <w:b/>
                <w:bCs/>
                <w:lang w:val="en-US"/>
              </w:rPr>
            </w:pPr>
          </w:p>
          <w:p w:rsidR="005B3657" w:rsidRPr="009B353B" w:rsidRDefault="005B3657" w:rsidP="005E6371">
            <w:pPr>
              <w:rPr>
                <w:b/>
                <w:bCs/>
              </w:rPr>
            </w:pPr>
          </w:p>
          <w:p w:rsidR="005B3657" w:rsidRDefault="005B3657" w:rsidP="005E6371">
            <w:pPr>
              <w:rPr>
                <w:b/>
                <w:bCs/>
              </w:rPr>
            </w:pPr>
          </w:p>
          <w:p w:rsidR="005B3657" w:rsidRPr="00CC460B" w:rsidRDefault="005B3657" w:rsidP="005E6371">
            <w:pPr>
              <w:rPr>
                <w:b/>
                <w:bCs/>
              </w:rPr>
            </w:pPr>
          </w:p>
          <w:p w:rsidR="005B3657" w:rsidRDefault="005B3657" w:rsidP="005E6371">
            <w:pPr>
              <w:pStyle w:val="1"/>
              <w:spacing w:before="0" w:after="0"/>
              <w:ind w:right="283"/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</w:t>
            </w:r>
          </w:p>
          <w:p w:rsidR="005B3657" w:rsidRDefault="005B3657" w:rsidP="005E6371">
            <w:pPr>
              <w:pStyle w:val="a3"/>
            </w:pPr>
            <w:r>
              <w:rPr>
                <w:b/>
                <w:bCs/>
              </w:rPr>
              <w:t xml:space="preserve">                   </w:t>
            </w:r>
            <w:proofErr w:type="spellStart"/>
            <w:r w:rsidRPr="00EA70E6">
              <w:rPr>
                <w:b/>
                <w:bCs/>
              </w:rPr>
              <w:t>Вăрнар</w:t>
            </w:r>
            <w:proofErr w:type="spellEnd"/>
            <w:r>
              <w:t xml:space="preserve">    </w:t>
            </w:r>
          </w:p>
          <w:p w:rsidR="005B3657" w:rsidRDefault="005B3657" w:rsidP="005E6371">
            <w:pPr>
              <w:pStyle w:val="1"/>
              <w:spacing w:before="0" w:after="0"/>
              <w:ind w:right="283"/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муниципаллă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округĕн</w:t>
            </w:r>
            <w:proofErr w:type="spellEnd"/>
          </w:p>
          <w:p w:rsidR="005B3657" w:rsidRDefault="005B3657" w:rsidP="005E6371">
            <w:pPr>
              <w:ind w:right="283"/>
              <w:jc w:val="center"/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Администрацийĕ</w:t>
            </w:r>
            <w:proofErr w:type="spellEnd"/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EA70E6" w:rsidRDefault="005B3657" w:rsidP="005E63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EA70E6">
              <w:rPr>
                <w:b/>
                <w:bCs/>
              </w:rPr>
              <w:t>ЙЫШĂНУ</w:t>
            </w: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CC460B" w:rsidRDefault="00FC4E15" w:rsidP="005E63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14.02.2023</w:t>
            </w:r>
            <w:r w:rsidR="005B3657">
              <w:rPr>
                <w:b/>
                <w:bCs/>
              </w:rPr>
              <w:t xml:space="preserve">  ҫ. </w:t>
            </w:r>
            <w:r>
              <w:rPr>
                <w:b/>
                <w:bCs/>
              </w:rPr>
              <w:t xml:space="preserve"> </w:t>
            </w:r>
            <w:r w:rsidR="005B3657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104</w:t>
            </w: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CC460B" w:rsidRDefault="005B3657" w:rsidP="005E6371">
            <w:pPr>
              <w:jc w:val="center"/>
              <w:rPr>
                <w:b/>
                <w:bCs/>
              </w:rPr>
            </w:pPr>
            <w:proofErr w:type="spellStart"/>
            <w:r w:rsidRPr="00EA70E6">
              <w:rPr>
                <w:b/>
                <w:bCs/>
              </w:rPr>
              <w:t>Вăрнар</w:t>
            </w:r>
            <w:proofErr w:type="spellEnd"/>
            <w:r w:rsidRPr="00EA70E6">
              <w:rPr>
                <w:b/>
                <w:bCs/>
              </w:rPr>
              <w:t xml:space="preserve"> </w:t>
            </w:r>
            <w:proofErr w:type="spellStart"/>
            <w:r w:rsidRPr="00EA70E6">
              <w:rPr>
                <w:b/>
                <w:bCs/>
              </w:rPr>
              <w:t>поселокĕ</w:t>
            </w:r>
            <w:proofErr w:type="spellEnd"/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</w:p>
        </w:tc>
        <w:tc>
          <w:tcPr>
            <w:tcW w:w="2052" w:type="dxa"/>
          </w:tcPr>
          <w:p w:rsidR="005B3657" w:rsidRPr="00CC460B" w:rsidRDefault="005B3657" w:rsidP="005E6371">
            <w:pPr>
              <w:rPr>
                <w:b/>
                <w:bCs/>
              </w:rPr>
            </w:pPr>
          </w:p>
          <w:p w:rsidR="005B3657" w:rsidRPr="00FC4E15" w:rsidRDefault="005B3657" w:rsidP="005E6371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B3657" w:rsidRPr="00FC4E15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FC4E15" w:rsidRDefault="005B3657" w:rsidP="005E6371">
            <w:pPr>
              <w:jc w:val="center"/>
              <w:rPr>
                <w:b/>
                <w:bCs/>
              </w:rPr>
            </w:pPr>
          </w:p>
          <w:p w:rsidR="005B3657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CC460B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Чувашская Республика</w:t>
            </w: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 xml:space="preserve">Администрация </w:t>
            </w:r>
          </w:p>
          <w:p w:rsidR="005B3657" w:rsidRDefault="005B3657" w:rsidP="005E6371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 xml:space="preserve">Вурнарского </w:t>
            </w: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муниципального округа</w:t>
            </w: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ПОСТАНОВЛЕНИЕ</w:t>
            </w: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FC4E15" w:rsidRDefault="00FC4E15" w:rsidP="005E6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14.02.2023 г. </w:t>
            </w:r>
            <w:r w:rsidR="005B3657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104</w:t>
            </w: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п. Вурнары</w:t>
            </w:r>
          </w:p>
          <w:p w:rsidR="005B3657" w:rsidRPr="00EA70E6" w:rsidRDefault="005B3657" w:rsidP="005E6371">
            <w:pPr>
              <w:jc w:val="center"/>
              <w:rPr>
                <w:b/>
                <w:bCs/>
              </w:rPr>
            </w:pPr>
          </w:p>
        </w:tc>
      </w:tr>
    </w:tbl>
    <w:p w:rsidR="005B3657" w:rsidRDefault="005B3657" w:rsidP="005B3657">
      <w:pPr>
        <w:tabs>
          <w:tab w:val="left" w:pos="4253"/>
        </w:tabs>
        <w:ind w:right="5386"/>
        <w:jc w:val="both"/>
      </w:pPr>
    </w:p>
    <w:p w:rsidR="005B3657" w:rsidRDefault="005B3657" w:rsidP="005B3657">
      <w:pPr>
        <w:pStyle w:val="a3"/>
        <w:rPr>
          <w:b/>
        </w:rPr>
      </w:pPr>
      <w:r>
        <w:rPr>
          <w:b/>
        </w:rPr>
        <w:t xml:space="preserve">Об утверждении муниципальной программы </w:t>
      </w:r>
    </w:p>
    <w:p w:rsidR="005B3657" w:rsidRDefault="005B3657" w:rsidP="005B3657">
      <w:pPr>
        <w:pStyle w:val="a3"/>
        <w:rPr>
          <w:b/>
        </w:rPr>
      </w:pPr>
      <w:r>
        <w:rPr>
          <w:b/>
        </w:rPr>
        <w:t xml:space="preserve">Вурнарского муниципального округа </w:t>
      </w:r>
    </w:p>
    <w:p w:rsidR="005B3657" w:rsidRDefault="005B3657" w:rsidP="005B3657">
      <w:pPr>
        <w:pStyle w:val="a3"/>
        <w:rPr>
          <w:b/>
        </w:rPr>
      </w:pPr>
      <w:r>
        <w:rPr>
          <w:b/>
        </w:rPr>
        <w:t xml:space="preserve">Чувашской Республики «Социальная </w:t>
      </w:r>
    </w:p>
    <w:p w:rsidR="005B3657" w:rsidRDefault="005B3657" w:rsidP="005B3657">
      <w:pPr>
        <w:pStyle w:val="a3"/>
        <w:rPr>
          <w:b/>
        </w:rPr>
      </w:pPr>
      <w:r>
        <w:rPr>
          <w:b/>
        </w:rPr>
        <w:t>поддержка граждан»</w:t>
      </w:r>
    </w:p>
    <w:p w:rsidR="005B3657" w:rsidRDefault="005B3657" w:rsidP="005B3657">
      <w:pPr>
        <w:pStyle w:val="a3"/>
      </w:pPr>
    </w:p>
    <w:p w:rsidR="005B3657" w:rsidRDefault="005B3657" w:rsidP="005B3657">
      <w:pPr>
        <w:pStyle w:val="a3"/>
      </w:pPr>
      <w:r>
        <w:tab/>
        <w:t>В соответствии с Федеральным законом от 06.10.2003 №131–ФЗ «Об общих принципах местного самоуправления в Российской Федерации», Уставом Вурнарского муниципального округа Чувашской Республики, администрация Вурнарского муниципального округа Чувашской Республики постановляет:</w:t>
      </w:r>
    </w:p>
    <w:p w:rsidR="005B3657" w:rsidRDefault="005B3657" w:rsidP="005B3657">
      <w:pPr>
        <w:ind w:firstLine="708"/>
        <w:jc w:val="both"/>
      </w:pPr>
      <w:bookmarkStart w:id="0" w:name="sub_1"/>
      <w:r>
        <w:t xml:space="preserve">1. Утвердить прилагаемую </w:t>
      </w:r>
      <w:hyperlink w:anchor="sub_1000" w:history="1">
        <w:r>
          <w:rPr>
            <w:rStyle w:val="a5"/>
            <w:color w:val="auto"/>
          </w:rPr>
          <w:t>м</w:t>
        </w:r>
        <w:r w:rsidRPr="00370687">
          <w:rPr>
            <w:rStyle w:val="a5"/>
            <w:color w:val="auto"/>
          </w:rPr>
          <w:t>униципальную программу</w:t>
        </w:r>
      </w:hyperlink>
      <w:r>
        <w:t xml:space="preserve"> Вурнарского муниципального округа Чувашской Республики "Социальная поддержка граждан" (далее - Муниципальная программа).</w:t>
      </w:r>
    </w:p>
    <w:p w:rsidR="005B3657" w:rsidRDefault="005B3657" w:rsidP="005B3657">
      <w:pPr>
        <w:ind w:firstLine="708"/>
        <w:jc w:val="both"/>
      </w:pPr>
      <w:bookmarkStart w:id="1" w:name="sub_2"/>
      <w:bookmarkEnd w:id="0"/>
      <w:r>
        <w:t xml:space="preserve">2. Утвердить ответственным исполнителем </w:t>
      </w:r>
      <w:hyperlink w:anchor="sub_1000" w:history="1">
        <w:r>
          <w:rPr>
            <w:rStyle w:val="a5"/>
            <w:color w:val="auto"/>
          </w:rPr>
          <w:t>м</w:t>
        </w:r>
        <w:r w:rsidRPr="00370687">
          <w:rPr>
            <w:rStyle w:val="a5"/>
            <w:color w:val="auto"/>
          </w:rPr>
          <w:t>униципальной программы</w:t>
        </w:r>
      </w:hyperlink>
      <w:r w:rsidRPr="003A0D7F">
        <w:t xml:space="preserve"> </w:t>
      </w:r>
      <w:r>
        <w:t xml:space="preserve">Вурнарского муниципального округа Чувашской Республики "Социальная поддержка граждан" отдел культуры, по делам национальностей, физической культуры и спорта </w:t>
      </w:r>
      <w:r w:rsidRPr="001D5739">
        <w:rPr>
          <w:color w:val="000000"/>
        </w:rPr>
        <w:t>администрации Вурнарского муниципального округа Чувашской Республики</w:t>
      </w:r>
      <w:r>
        <w:t>.</w:t>
      </w:r>
    </w:p>
    <w:p w:rsidR="005B3657" w:rsidRDefault="005B3657" w:rsidP="005B3657">
      <w:pPr>
        <w:ind w:firstLine="708"/>
        <w:jc w:val="both"/>
      </w:pPr>
      <w:r>
        <w:t xml:space="preserve">3. Финансовому отделу администрации Вурнарского </w:t>
      </w:r>
      <w:r w:rsidRPr="001D5739">
        <w:rPr>
          <w:color w:val="000000"/>
        </w:rPr>
        <w:t>муниципального округа Чувашской Республики</w:t>
      </w:r>
      <w:r>
        <w:t xml:space="preserve"> при формировании бюджета Вурнарского </w:t>
      </w:r>
      <w:r w:rsidRPr="001D5739">
        <w:rPr>
          <w:color w:val="000000"/>
        </w:rPr>
        <w:t>муниципального округа Чувашской Республики</w:t>
      </w:r>
      <w:r>
        <w:t xml:space="preserve">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5B3657" w:rsidRDefault="005B3657" w:rsidP="005B3657">
      <w:pPr>
        <w:ind w:firstLine="708"/>
        <w:jc w:val="both"/>
      </w:pPr>
      <w:r>
        <w:t>4.</w:t>
      </w:r>
      <w:bookmarkStart w:id="2" w:name="sub_4"/>
      <w:bookmarkEnd w:id="1"/>
      <w:r>
        <w:t xml:space="preserve"> Признать утратившими силу:</w:t>
      </w:r>
    </w:p>
    <w:p w:rsidR="005B3657" w:rsidRDefault="005B3657" w:rsidP="005B3657">
      <w:pPr>
        <w:ind w:firstLine="709"/>
        <w:jc w:val="both"/>
      </w:pPr>
      <w:r>
        <w:rPr>
          <w:lang w:eastAsia="en-US"/>
        </w:rPr>
        <w:t>постановление администрации Вурнарского района Чувашской Республики от 12.07.2019 № 401 «Об утверждении муниципальной программы Вурнарского района Чувашской Республики «</w:t>
      </w:r>
      <w:r>
        <w:t>Социальная поддержка граждан Вурнарского района Чувашской Республики</w:t>
      </w:r>
      <w:r>
        <w:rPr>
          <w:lang w:eastAsia="en-US"/>
        </w:rPr>
        <w:t>»;</w:t>
      </w:r>
    </w:p>
    <w:p w:rsidR="005B3657" w:rsidRDefault="005B3657" w:rsidP="005B3657">
      <w:pPr>
        <w:autoSpaceDE w:val="0"/>
        <w:ind w:firstLine="708"/>
        <w:jc w:val="both"/>
      </w:pPr>
      <w:r>
        <w:rPr>
          <w:lang w:eastAsia="en-US"/>
        </w:rPr>
        <w:t xml:space="preserve">постановление администрации Вурнарского района Чувашской Республики от </w:t>
      </w:r>
      <w:r>
        <w:t xml:space="preserve">27.07.2022 </w:t>
      </w:r>
      <w:r>
        <w:rPr>
          <w:lang w:eastAsia="en-US"/>
        </w:rPr>
        <w:t>№ 475 «О внесении изменений в  муниципальную программу Вурнарского района Чувашской Республики «</w:t>
      </w:r>
      <w:r>
        <w:t>Социальная поддержка граждан</w:t>
      </w:r>
      <w:r w:rsidRPr="00340A8B">
        <w:t xml:space="preserve"> </w:t>
      </w:r>
      <w:r>
        <w:t>Вурнарского района Чувашской Республики</w:t>
      </w:r>
      <w:r>
        <w:rPr>
          <w:lang w:eastAsia="en-US"/>
        </w:rPr>
        <w:t>».</w:t>
      </w:r>
    </w:p>
    <w:p w:rsidR="005B3657" w:rsidRDefault="005B3657" w:rsidP="005B3657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Вурнарского муниципального округа - начальника отдела образования и молодежной политики.</w:t>
      </w:r>
    </w:p>
    <w:bookmarkEnd w:id="2"/>
    <w:p w:rsidR="005B3657" w:rsidRDefault="005B3657" w:rsidP="005B3657">
      <w:pPr>
        <w:jc w:val="both"/>
      </w:pPr>
      <w:r>
        <w:tab/>
        <w:t>6. Настоящее постановление вступает в силу после его официального опубликования  и распространяется на правоотношения, возникшие с 01 января 2023 года.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3"/>
        <w:gridCol w:w="3160"/>
      </w:tblGrid>
      <w:tr w:rsidR="005B3657" w:rsidTr="005E637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5B3657" w:rsidRDefault="005B3657" w:rsidP="005E6371">
            <w:pPr>
              <w:pStyle w:val="a7"/>
              <w:jc w:val="both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5B3657" w:rsidRDefault="005B3657" w:rsidP="005E6371">
            <w:pPr>
              <w:pStyle w:val="a6"/>
            </w:pPr>
          </w:p>
        </w:tc>
      </w:tr>
    </w:tbl>
    <w:p w:rsidR="005B3657" w:rsidRDefault="005B3657" w:rsidP="005B3657">
      <w:pPr>
        <w:ind w:firstLine="709"/>
        <w:jc w:val="both"/>
      </w:pPr>
    </w:p>
    <w:p w:rsidR="005B3657" w:rsidRDefault="005B3657" w:rsidP="005B3657">
      <w:pPr>
        <w:tabs>
          <w:tab w:val="left" w:pos="7545"/>
        </w:tabs>
      </w:pPr>
      <w:r>
        <w:t>Глава Вурнарского</w:t>
      </w:r>
    </w:p>
    <w:p w:rsidR="005B3657" w:rsidRDefault="005B3657" w:rsidP="005B3657">
      <w:pPr>
        <w:tabs>
          <w:tab w:val="left" w:pos="7545"/>
        </w:tabs>
      </w:pPr>
      <w:r>
        <w:t xml:space="preserve">муниципального  округа                                                                      </w:t>
      </w:r>
      <w:r>
        <w:tab/>
        <w:t xml:space="preserve">       А.В.Тихонов</w:t>
      </w:r>
    </w:p>
    <w:p w:rsidR="005B3657" w:rsidRDefault="005B3657" w:rsidP="005B3657">
      <w:pPr>
        <w:tabs>
          <w:tab w:val="left" w:pos="7545"/>
        </w:tabs>
      </w:pPr>
    </w:p>
    <w:p w:rsidR="005B3657" w:rsidRDefault="005B3657" w:rsidP="005B3657">
      <w:pPr>
        <w:tabs>
          <w:tab w:val="left" w:pos="7545"/>
        </w:tabs>
        <w:rPr>
          <w:sz w:val="18"/>
          <w:szCs w:val="18"/>
        </w:rPr>
      </w:pPr>
    </w:p>
    <w:p w:rsidR="005B3657" w:rsidRDefault="005B3657" w:rsidP="005B3657">
      <w:pPr>
        <w:tabs>
          <w:tab w:val="left" w:pos="7545"/>
        </w:tabs>
        <w:rPr>
          <w:sz w:val="18"/>
          <w:szCs w:val="18"/>
        </w:rPr>
      </w:pPr>
    </w:p>
    <w:p w:rsidR="005B3657" w:rsidRDefault="005B3657" w:rsidP="005B3657">
      <w:pPr>
        <w:tabs>
          <w:tab w:val="left" w:pos="7545"/>
        </w:tabs>
        <w:rPr>
          <w:sz w:val="18"/>
          <w:szCs w:val="18"/>
        </w:rPr>
      </w:pPr>
      <w:r w:rsidRPr="003F65EC">
        <w:rPr>
          <w:sz w:val="18"/>
          <w:szCs w:val="18"/>
        </w:rPr>
        <w:t xml:space="preserve">Исп. </w:t>
      </w:r>
      <w:r>
        <w:rPr>
          <w:sz w:val="18"/>
          <w:szCs w:val="18"/>
        </w:rPr>
        <w:t>И.О.Алексеева</w:t>
      </w:r>
    </w:p>
    <w:p w:rsidR="005B3657" w:rsidRDefault="005B3657" w:rsidP="005B3657">
      <w:pPr>
        <w:tabs>
          <w:tab w:val="left" w:pos="7545"/>
        </w:tabs>
        <w:rPr>
          <w:sz w:val="18"/>
          <w:szCs w:val="18"/>
        </w:rPr>
      </w:pPr>
      <w:r>
        <w:rPr>
          <w:sz w:val="18"/>
          <w:szCs w:val="18"/>
        </w:rPr>
        <w:t>8(83537)2-53-87</w:t>
      </w: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bCs/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3"/>
        <w:gridCol w:w="3160"/>
      </w:tblGrid>
      <w:tr w:rsidR="00F90CD5" w:rsidRPr="00F90CD5" w:rsidTr="009D60BF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bCs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Cs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bCs/>
          <w:sz w:val="18"/>
          <w:szCs w:val="18"/>
        </w:rPr>
        <w:t xml:space="preserve"> </w:t>
      </w:r>
      <w:proofErr w:type="spellStart"/>
      <w:r w:rsidRPr="00F90CD5">
        <w:rPr>
          <w:sz w:val="18"/>
          <w:szCs w:val="18"/>
        </w:rPr>
        <w:t>УтвержденА</w:t>
      </w:r>
      <w:proofErr w:type="spellEnd"/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постановлением администрации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от  14.02.2023   № 104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МУНИЦИПАЛЬНАЯ ПРОГРАММА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ВУРНАРСКОГО МУНИЦИПАЛЬНОГО ОКРУГА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 ЧУВАШСКОЙ РЕСПУБЛИКИ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«СОЦИАЛЬНАЯ ПОДДЕРЖКА ГРАЖДАН»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284"/>
      </w:tblGrid>
      <w:tr w:rsidR="00F90CD5" w:rsidRPr="00F90CD5" w:rsidTr="009D60BF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Дата составления проекта Муниципальной программы: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31 января  2023 года</w:t>
            </w:r>
          </w:p>
        </w:tc>
      </w:tr>
      <w:tr w:rsidR="00F90CD5" w:rsidRPr="00F90CD5" w:rsidTr="009D60BF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Непосредственный исполнитель муниципальной программы: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Начальник отдела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Алексеева Ирина Олеговна, </w:t>
            </w:r>
            <w:hyperlink r:id="rId6" w:history="1">
              <w:r w:rsidRPr="00F90CD5">
                <w:rPr>
                  <w:rStyle w:val="ab"/>
                  <w:sz w:val="18"/>
                  <w:szCs w:val="18"/>
                  <w:lang w:val="en-US"/>
                </w:rPr>
                <w:t>vur</w:t>
              </w:r>
              <w:r w:rsidRPr="00F90CD5">
                <w:rPr>
                  <w:rStyle w:val="ab"/>
                  <w:sz w:val="18"/>
                  <w:szCs w:val="18"/>
                </w:rPr>
                <w:t>_</w:t>
              </w:r>
              <w:r w:rsidRPr="00F90CD5">
                <w:rPr>
                  <w:rStyle w:val="ab"/>
                  <w:sz w:val="18"/>
                  <w:szCs w:val="18"/>
                  <w:lang w:val="en-US"/>
                </w:rPr>
                <w:t>culture</w:t>
              </w:r>
              <w:r w:rsidRPr="00F90CD5">
                <w:rPr>
                  <w:rStyle w:val="ab"/>
                  <w:sz w:val="18"/>
                  <w:szCs w:val="18"/>
                </w:rPr>
                <w:t>@</w:t>
              </w:r>
              <w:r w:rsidRPr="00F90CD5">
                <w:rPr>
                  <w:rStyle w:val="ab"/>
                  <w:sz w:val="18"/>
                  <w:szCs w:val="18"/>
                  <w:lang w:val="en-US"/>
                </w:rPr>
                <w:t>cap</w:t>
              </w:r>
              <w:r w:rsidRPr="00F90CD5">
                <w:rPr>
                  <w:rStyle w:val="ab"/>
                  <w:sz w:val="18"/>
                  <w:szCs w:val="18"/>
                </w:rPr>
                <w:t>.</w:t>
              </w:r>
              <w:r w:rsidRPr="00F90CD5">
                <w:rPr>
                  <w:rStyle w:val="ab"/>
                  <w:sz w:val="18"/>
                  <w:szCs w:val="18"/>
                  <w:lang w:val="en-US"/>
                </w:rPr>
                <w:t>ru</w:t>
              </w:r>
            </w:hyperlink>
            <w:r w:rsidRPr="00F90CD5">
              <w:rPr>
                <w:sz w:val="18"/>
                <w:szCs w:val="18"/>
              </w:rPr>
              <w:t>, 8(83537) 2-53-87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bCs/>
          <w:sz w:val="18"/>
          <w:szCs w:val="18"/>
        </w:rPr>
        <w:sectPr w:rsidR="00F90CD5" w:rsidRPr="00F90CD5" w:rsidSect="009B353B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proofErr w:type="gramStart"/>
      <w:r w:rsidRPr="00F90CD5">
        <w:rPr>
          <w:b/>
          <w:sz w:val="18"/>
          <w:szCs w:val="18"/>
        </w:rPr>
        <w:t>П</w:t>
      </w:r>
      <w:proofErr w:type="gramEnd"/>
      <w:r w:rsidRPr="00F90CD5">
        <w:rPr>
          <w:b/>
          <w:sz w:val="18"/>
          <w:szCs w:val="18"/>
        </w:rPr>
        <w:t xml:space="preserve"> а с п о р т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муниципальной программы  </w:t>
      </w:r>
      <w:proofErr w:type="spellStart"/>
      <w:r w:rsidRPr="00F90CD5">
        <w:rPr>
          <w:b/>
          <w:sz w:val="18"/>
          <w:szCs w:val="18"/>
        </w:rPr>
        <w:t>Вурнарского</w:t>
      </w:r>
      <w:proofErr w:type="spellEnd"/>
      <w:r w:rsidRPr="00F90CD5">
        <w:rPr>
          <w:b/>
          <w:sz w:val="18"/>
          <w:szCs w:val="18"/>
        </w:rPr>
        <w:t xml:space="preserve"> муниципального округа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 Чувашской Республики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                 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tbl>
      <w:tblPr>
        <w:tblW w:w="102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образования 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rPr>
          <w:trHeight w:val="8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«Социальное обеспечение граждан»;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«Поддержка социально ориентированных некоммерческих организаций»;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«Обеспечение реализации муниципальной программы «Социальная поддержка граждан»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создание условий для роста благосостояния граждан-получателей мер социальной поддержки;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доступности социальных услуг для граждан;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обеспечение выполнения обязательств муниципалитета по социальной поддержке граждан;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качества и доступности предоставления социальных услуг;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роли сектора негосударственных некоммерческих организаций в предоставлении социальных услуг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bookmarkStart w:id="3" w:name="sub_111"/>
            <w:r w:rsidRPr="00F90CD5">
              <w:rPr>
                <w:sz w:val="18"/>
                <w:szCs w:val="18"/>
              </w:rPr>
              <w:t>Целевые индикаторы и показатели Муниципальной программы</w:t>
            </w:r>
            <w:bookmarkEnd w:id="3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достижение к 2030 году следующих целевых индикаторов и показателей: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доля граждан, получивших социальные меры поддержки от общего количества граждан, имеющих право на их предоставление  - 100,0 процентов.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Сроки и этапы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2023 - 2030 годы: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 этап - 2023 - 2025 годы;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 этап - 2026 - 2030 годы;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bookmarkStart w:id="4" w:name="sub_112"/>
            <w:r w:rsidRPr="00F90CD5">
              <w:rPr>
                <w:sz w:val="18"/>
                <w:szCs w:val="18"/>
              </w:rPr>
              <w:t>Объемы финансирования Муниципальной программы с разбивкой по годам реализации</w:t>
            </w:r>
            <w:bookmarkEnd w:id="4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прогнозируемые объемы финансирования мероприятий Муниципальной программы в 2023 - 2030 годах составляет  110366,7 тыс. рублей,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13782,1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13797,8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- 13797,8 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2026 - 2030 годах – 68989,0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из них средства: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федерального бюджета – 0,0 тыс. рублей (0 процентов),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0,0 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0,0 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– 0,0 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2026 - 2030 годах – 0,0 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республиканского бюджета Чувашской Республики –80328,3 тыс. рублей (72,8 процента),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10027,3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10043,0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- 10043,0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2026 - 2030 годах – 50215,0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бюджета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 –30038,4 тыс. рублей(27,2 процента),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3754,8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- 3754,8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- 3754,8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2026 - 2030 годах –18774,0 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внебюджетных источников – 0,0  тыс. рублей (0 процентов),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0,0 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0,0 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– 0,0 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2026 - 2030 годах – 0,0 тыс. 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Объемы финансирования Муниципальной программы подлежат ежегодному уточнению исходя из возможностей бюджета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 на очередной финансовый год и плановый период</w:t>
            </w:r>
          </w:p>
        </w:tc>
      </w:tr>
      <w:tr w:rsidR="00F90CD5" w:rsidRPr="00F90CD5" w:rsidTr="009D60B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реализация Муниципальной программы позволит обеспечить: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выполнение обязательств по социальной поддержке нуждающихся граждан;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адресный подход к предоставлению всех форм социальных услуг гражданам;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качества,  доступности и информированности  предоставления социальных услуг;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F90CD5">
              <w:rPr>
                <w:sz w:val="18"/>
                <w:szCs w:val="18"/>
              </w:rPr>
              <w:t>расширения сферы применения адресного принципа ее предоставления</w:t>
            </w:r>
            <w:proofErr w:type="gramEnd"/>
            <w:r w:rsidRPr="00F90CD5">
              <w:rPr>
                <w:sz w:val="18"/>
                <w:szCs w:val="18"/>
              </w:rPr>
              <w:t>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увеличение объемов социальных услуг, оказываемых социально ориентированными некоммерческими организациями.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Раздел I. Приоритеты государственной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Приоритеты в сфере социальной поддержки граждан определены Стратегией социально-экономического развития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до 2035 года, ежегодными посланиями Главы Чувашской Республики Государственному Совету Чувашской Республики.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 xml:space="preserve">Основным стратегическим приоритетом муниципальной политики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в сфере реализации Муниципальной программы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Муниципальная программа направлена на достижение следующих целей: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создание условий для роста благосостояния граждан - получателей мер социальной поддержки;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повышение доступности социальных услуг для граждан.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обеспечение выполнения обязательств государства по социальной поддержке граждан;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повышение роли сектора негосударственных некоммерческих организаций в предоставлении социальных услуг.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Муниципальная программа реализуется в период с 2023 по 2030 год в два этапа: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1 этап - 2023 - 2025 годы;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2 этап - 2026 - 2030 годы;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ab/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За счет реализации мероприятий 2 этапа будут достигнуты следующие результаты: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выполнение обязательств по социальной поддержке нуждающихся граждан;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повышение качества и доступности предоставления социальных услуг, в том числе в сельской местности;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 xml:space="preserve">снижение бедности среди получателей мер социальной поддержки на основе </w:t>
      </w:r>
      <w:proofErr w:type="gramStart"/>
      <w:r w:rsidRPr="00F90CD5">
        <w:rPr>
          <w:sz w:val="18"/>
          <w:szCs w:val="18"/>
        </w:rPr>
        <w:t>расширения сферы применения адресного принципа ее предоставления</w:t>
      </w:r>
      <w:proofErr w:type="gramEnd"/>
      <w:r w:rsidRPr="00F90CD5">
        <w:rPr>
          <w:sz w:val="18"/>
          <w:szCs w:val="18"/>
        </w:rPr>
        <w:t>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 xml:space="preserve"> </w:t>
      </w:r>
      <w:r w:rsidRPr="00F90CD5">
        <w:rPr>
          <w:sz w:val="18"/>
          <w:szCs w:val="18"/>
        </w:rPr>
        <w:tab/>
        <w:t>увеличение объемов социальных услуг, оказываемых социально ориентированными некоммерческими организациями.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 1 к Муниципальной программе.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законодательстве Чувашской Республики и в законодательстве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влияющих на расчет данных целевых индикаторов или показателей.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Раздел II. Обобщенная характеристика основных мероприятий подпрограммы Муниципальной программы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Достижение целей и решение задач Муниципальной программы будет осуществляться в рамках реализации следующих подпрограмм: "Социальное обеспечение граждан», «Обеспечение реализации муниципальной программы «Социальная поддержка граждан», «Поддержка социально ориентированных некоммерческих граждан».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b/>
          <w:sz w:val="18"/>
          <w:szCs w:val="18"/>
          <w:u w:val="single"/>
        </w:rPr>
        <w:t>Подпрограмма</w:t>
      </w:r>
      <w:r w:rsidRPr="00F90CD5">
        <w:rPr>
          <w:sz w:val="18"/>
          <w:szCs w:val="18"/>
        </w:rPr>
        <w:t xml:space="preserve"> «Социальное обеспечение граждан» состоит из двух  основных мероприятий: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Основное мероприятие 1. Реализация законодательства в области предоставления мер социальной поддержки отдельным категориям граждан, </w:t>
      </w:r>
      <w:proofErr w:type="gramStart"/>
      <w:r w:rsidRPr="00F90CD5">
        <w:rPr>
          <w:sz w:val="18"/>
          <w:szCs w:val="18"/>
        </w:rPr>
        <w:t>предусматривающее</w:t>
      </w:r>
      <w:proofErr w:type="gramEnd"/>
      <w:r w:rsidRPr="00F90CD5">
        <w:rPr>
          <w:sz w:val="18"/>
          <w:szCs w:val="18"/>
        </w:rPr>
        <w:t xml:space="preserve"> реализацию следующих мероприятий: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Мероприятие 1.1. Обеспечение мер социальной поддержки отдельных категорий граждан по оплате жилищно-коммунальных услуг.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Мероприятие предусматривает предоставление за счет </w:t>
      </w:r>
      <w:proofErr w:type="gramStart"/>
      <w:r w:rsidRPr="00F90CD5">
        <w:rPr>
          <w:sz w:val="18"/>
          <w:szCs w:val="18"/>
        </w:rPr>
        <w:t>средств республиканского бюджета Чувашской Республики ежемесячной компенсации расходов</w:t>
      </w:r>
      <w:proofErr w:type="gramEnd"/>
      <w:r w:rsidRPr="00F90CD5">
        <w:rPr>
          <w:sz w:val="18"/>
          <w:szCs w:val="18"/>
        </w:rPr>
        <w:t xml:space="preserve"> на оплату жилого помещения, коммунальных услуг отдельным категориям граждан из числа работников культуры и педагогических работников.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Мероприятие 1.2. Оказание материальной помощи гражданам, </w:t>
      </w:r>
      <w:proofErr w:type="gramStart"/>
      <w:r w:rsidRPr="00F90CD5">
        <w:rPr>
          <w:sz w:val="18"/>
          <w:szCs w:val="18"/>
        </w:rPr>
        <w:t>находящихся</w:t>
      </w:r>
      <w:proofErr w:type="gramEnd"/>
      <w:r w:rsidRPr="00F90CD5">
        <w:rPr>
          <w:sz w:val="18"/>
          <w:szCs w:val="18"/>
        </w:rPr>
        <w:t xml:space="preserve"> в трудной жизненной ситуации.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Мероприятие предусматривает предоставление за счет средств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материальной помощи гражданам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оказавшимся в трудной жизненной ситуации.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Мероприятие 1.3. Оказание материальной помощи отдельным категориям граждан.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sz w:val="18"/>
          <w:szCs w:val="18"/>
        </w:rPr>
        <w:t xml:space="preserve">         </w:t>
      </w:r>
      <w:proofErr w:type="gramStart"/>
      <w:r w:rsidRPr="00F90CD5">
        <w:rPr>
          <w:sz w:val="18"/>
          <w:szCs w:val="18"/>
        </w:rPr>
        <w:t xml:space="preserve">Мероприятие предусматривает предоставление за счет средств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социальной выплаты молодым специалистам, прибывшим на работу в медицинские и образовательные организации, учреждения культуры, учреждения спорта и органы местного самоуправления, расположенных на территории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на приобретение в собственность жилого помещения или земельного участка, расположенных на территории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Республики.</w:t>
      </w:r>
      <w:proofErr w:type="gramEnd"/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Основное мероприятие 2. Создание благоприятных условий жизнедеятельности ветеранам, гражданам пожилого возраста, инвалидам, предусматривающее реализацию следующих мероприятий: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Мероприятие 2.1. Проведение мероприятий, связанных с празднованием годовщины Победы в Великой Отечественной войне.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Мероприятие 2.2. Осуществление мероприятий, связанных с проведением Дня пожилых людей.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проведение мероприятий по поддержанию жизненной активности ветеранам, граждан пожилого возраста и инвалидов.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b/>
          <w:sz w:val="18"/>
          <w:szCs w:val="18"/>
        </w:rPr>
        <w:t xml:space="preserve">         </w:t>
      </w:r>
      <w:r w:rsidRPr="00F90CD5">
        <w:rPr>
          <w:b/>
          <w:sz w:val="18"/>
          <w:szCs w:val="18"/>
          <w:u w:val="single"/>
        </w:rPr>
        <w:t>Подпрограмма</w:t>
      </w:r>
      <w:r w:rsidRPr="00F90CD5">
        <w:rPr>
          <w:sz w:val="18"/>
          <w:szCs w:val="18"/>
        </w:rPr>
        <w:t xml:space="preserve"> «Поддержка социально ориентированных некоммерческих организаций» объединяет два основных мероприятия: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</w:t>
      </w:r>
      <w:r w:rsidRPr="00F90CD5">
        <w:rPr>
          <w:sz w:val="18"/>
          <w:szCs w:val="18"/>
        </w:rPr>
        <w:tab/>
        <w:t>Основное мероприятие 1. Оказание имущественной поддержки.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свободного от прав третьих лиц.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Основное мероприятие 2. Предоставление информационной поддержки.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</w:t>
      </w:r>
      <w:r w:rsidRPr="00F90CD5">
        <w:rPr>
          <w:sz w:val="18"/>
          <w:szCs w:val="18"/>
        </w:rPr>
        <w:tab/>
        <w:t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Расходы Муниципальной программы формируются за счет средств федерального бюджета, республиканского бюджета, 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и средств внебюджетных источников.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>Общий объем финансирования Муниципальной программы в 2023 - 2030 годах составляет 110366,7 тыс. рублей, в том числе за счет средств: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федерального бюджета - 0 тыс. рублей (0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республиканского бюджета Чувашской Республики - 80328,3 тыс. рублей (72,8 процента);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- 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– 30038,4 тыс. рублей (27,2 процента);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внебюджетных источников - 0 тыс. рублей (0 процентов).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Объем финансирования Муниципальной программы на 1 этапе (2023 - 2025 годы) составляет 41377,7 тыс. рублей,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-  13782,1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-  13797,8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-  13797,8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из них средства: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федерального бюджета - 0 тыс. рублей (0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- 0 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- 0 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- 0 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республиканского бюджета Чувашской Республики – 30113,3 тыс. рублей (72,8 процента)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10027,3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10043,0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10043,0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– 11264,4(27,2 процента)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3754,8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-  3754,8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-  3754,8 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внебюджетных источников - 0 тыс. рублей (0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- 0 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- 0 тыс. 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- 0 тыс. рублей.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На 2 этапе (2026 - 2030 годы) объем финансирования Муниципальной программы составляет 68989,0  тыс. рублей, из них средства: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федерального бюджета - 0 тыс. рублей (0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республиканского бюджета Чувашской Республики – 50215,0 тыс. рублей (72,8 процента);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- 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–18774,0 тыс. рублей (27,2  процента);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внебюджетных источников - 0 тыс. рублей (0 процентов).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F90CD5">
          <w:rPr>
            <w:rStyle w:val="ab"/>
            <w:sz w:val="18"/>
            <w:szCs w:val="18"/>
          </w:rPr>
          <w:t>приложении № 2</w:t>
        </w:r>
      </w:hyperlink>
      <w:r w:rsidRPr="00F90CD5">
        <w:rPr>
          <w:sz w:val="18"/>
          <w:szCs w:val="18"/>
        </w:rPr>
        <w:t xml:space="preserve"> к Муниципальной программе.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  <w:sectPr w:rsidR="00F90CD5" w:rsidRPr="00F90CD5" w:rsidSect="00A0001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Cs/>
          <w:sz w:val="18"/>
          <w:szCs w:val="18"/>
        </w:rPr>
      </w:pPr>
      <w:r w:rsidRPr="00F90CD5">
        <w:rPr>
          <w:bCs/>
          <w:sz w:val="18"/>
          <w:szCs w:val="18"/>
        </w:rPr>
        <w:t>Приложение №1</w:t>
      </w:r>
    </w:p>
    <w:p w:rsidR="00F90CD5" w:rsidRPr="00F90CD5" w:rsidRDefault="00F90CD5" w:rsidP="00F90CD5">
      <w:pPr>
        <w:tabs>
          <w:tab w:val="left" w:pos="7545"/>
        </w:tabs>
        <w:rPr>
          <w:bCs/>
          <w:sz w:val="18"/>
          <w:szCs w:val="18"/>
        </w:rPr>
      </w:pPr>
      <w:r w:rsidRPr="00F90CD5">
        <w:rPr>
          <w:bCs/>
          <w:sz w:val="18"/>
          <w:szCs w:val="18"/>
        </w:rPr>
        <w:t xml:space="preserve"> к Муниципальной программе </w:t>
      </w:r>
      <w:proofErr w:type="spellStart"/>
      <w:r w:rsidRPr="00F90CD5">
        <w:rPr>
          <w:bCs/>
          <w:sz w:val="18"/>
          <w:szCs w:val="18"/>
        </w:rPr>
        <w:t>Вурнарского</w:t>
      </w:r>
      <w:proofErr w:type="spellEnd"/>
    </w:p>
    <w:p w:rsidR="00F90CD5" w:rsidRPr="00F90CD5" w:rsidRDefault="00F90CD5" w:rsidP="00F90CD5">
      <w:pPr>
        <w:tabs>
          <w:tab w:val="left" w:pos="7545"/>
        </w:tabs>
        <w:rPr>
          <w:bCs/>
          <w:sz w:val="18"/>
          <w:szCs w:val="18"/>
        </w:rPr>
      </w:pPr>
      <w:r w:rsidRPr="00F90CD5">
        <w:rPr>
          <w:bCs/>
          <w:sz w:val="18"/>
          <w:szCs w:val="18"/>
        </w:rPr>
        <w:t xml:space="preserve"> муниципального округа Чувашской Республики  </w:t>
      </w:r>
    </w:p>
    <w:p w:rsidR="00F90CD5" w:rsidRPr="00F90CD5" w:rsidRDefault="00F90CD5" w:rsidP="00F90CD5">
      <w:pPr>
        <w:tabs>
          <w:tab w:val="left" w:pos="7545"/>
        </w:tabs>
        <w:rPr>
          <w:bCs/>
          <w:sz w:val="18"/>
          <w:szCs w:val="18"/>
        </w:rPr>
      </w:pPr>
      <w:r w:rsidRPr="00F90CD5">
        <w:rPr>
          <w:bCs/>
          <w:sz w:val="18"/>
          <w:szCs w:val="18"/>
        </w:rPr>
        <w:t>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Сведения</w:t>
      </w:r>
      <w:r w:rsidRPr="00F90CD5">
        <w:rPr>
          <w:b/>
          <w:sz w:val="18"/>
          <w:szCs w:val="18"/>
        </w:rPr>
        <w:br/>
        <w:t xml:space="preserve">о целевых индикаторах и показателях муниципальной программы </w:t>
      </w:r>
      <w:proofErr w:type="spellStart"/>
      <w:r w:rsidRPr="00F90CD5">
        <w:rPr>
          <w:b/>
          <w:sz w:val="18"/>
          <w:szCs w:val="18"/>
        </w:rPr>
        <w:t>Вурнарского</w:t>
      </w:r>
      <w:proofErr w:type="spellEnd"/>
      <w:r w:rsidRPr="00F90CD5">
        <w:rPr>
          <w:b/>
          <w:sz w:val="18"/>
          <w:szCs w:val="18"/>
        </w:rPr>
        <w:t xml:space="preserve"> муниципального округа Чувашской Республики «Социальная поддержка граждан»,  подпрограмм муниципальной программы </w:t>
      </w:r>
      <w:proofErr w:type="spellStart"/>
      <w:r w:rsidRPr="00F90CD5">
        <w:rPr>
          <w:b/>
          <w:sz w:val="18"/>
          <w:szCs w:val="18"/>
        </w:rPr>
        <w:t>Вурнарского</w:t>
      </w:r>
      <w:proofErr w:type="spellEnd"/>
      <w:r w:rsidRPr="00F90CD5">
        <w:rPr>
          <w:b/>
          <w:sz w:val="18"/>
          <w:szCs w:val="18"/>
        </w:rPr>
        <w:t xml:space="preserve"> муниципального округа Чувашской Республики «Социальная поддержка граждан» и их значениях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tbl>
      <w:tblPr>
        <w:tblStyle w:val="ad"/>
        <w:tblW w:w="0" w:type="auto"/>
        <w:tblInd w:w="-113" w:type="dxa"/>
        <w:tblLook w:val="04A0" w:firstRow="1" w:lastRow="0" w:firstColumn="1" w:lastColumn="0" w:noHBand="0" w:noVBand="1"/>
      </w:tblPr>
      <w:tblGrid>
        <w:gridCol w:w="1072"/>
        <w:gridCol w:w="5523"/>
        <w:gridCol w:w="1564"/>
        <w:gridCol w:w="1276"/>
        <w:gridCol w:w="1417"/>
        <w:gridCol w:w="1332"/>
        <w:gridCol w:w="2177"/>
      </w:tblGrid>
      <w:tr w:rsidR="00F90CD5" w:rsidRPr="00F90CD5" w:rsidTr="009D60BF">
        <w:trPr>
          <w:trHeight w:val="308"/>
        </w:trPr>
        <w:tc>
          <w:tcPr>
            <w:tcW w:w="1072" w:type="dxa"/>
            <w:vMerge w:val="restart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№ </w:t>
            </w:r>
            <w:proofErr w:type="gramStart"/>
            <w:r w:rsidRPr="00F90CD5">
              <w:rPr>
                <w:sz w:val="18"/>
                <w:szCs w:val="18"/>
              </w:rPr>
              <w:t>п</w:t>
            </w:r>
            <w:proofErr w:type="gramEnd"/>
            <w:r w:rsidRPr="00F90CD5">
              <w:rPr>
                <w:sz w:val="18"/>
                <w:szCs w:val="18"/>
              </w:rPr>
              <w:t>/п</w:t>
            </w:r>
          </w:p>
        </w:tc>
        <w:tc>
          <w:tcPr>
            <w:tcW w:w="5523" w:type="dxa"/>
            <w:vMerge w:val="restart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    Целевой индикатор и показатель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                 (наименование)</w:t>
            </w:r>
          </w:p>
        </w:tc>
        <w:tc>
          <w:tcPr>
            <w:tcW w:w="1564" w:type="dxa"/>
            <w:vMerge w:val="restart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Единица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измерения</w:t>
            </w:r>
          </w:p>
        </w:tc>
        <w:tc>
          <w:tcPr>
            <w:tcW w:w="6202" w:type="dxa"/>
            <w:gridSpan w:val="4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Значения целевых индикаторов и показателей по годам</w:t>
            </w:r>
          </w:p>
        </w:tc>
      </w:tr>
      <w:tr w:rsidR="00F90CD5" w:rsidRPr="00F90CD5" w:rsidTr="009D60BF">
        <w:trPr>
          <w:trHeight w:val="130"/>
        </w:trPr>
        <w:tc>
          <w:tcPr>
            <w:tcW w:w="1072" w:type="dxa"/>
            <w:vMerge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523" w:type="dxa"/>
            <w:vMerge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2023</w:t>
            </w:r>
          </w:p>
        </w:tc>
        <w:tc>
          <w:tcPr>
            <w:tcW w:w="141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2024</w:t>
            </w:r>
          </w:p>
        </w:tc>
        <w:tc>
          <w:tcPr>
            <w:tcW w:w="133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2025</w:t>
            </w:r>
          </w:p>
        </w:tc>
        <w:tc>
          <w:tcPr>
            <w:tcW w:w="217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2030</w:t>
            </w:r>
          </w:p>
        </w:tc>
      </w:tr>
      <w:tr w:rsidR="00F90CD5" w:rsidRPr="00F90CD5" w:rsidTr="009D60BF">
        <w:trPr>
          <w:trHeight w:val="289"/>
        </w:trPr>
        <w:tc>
          <w:tcPr>
            <w:tcW w:w="14361" w:type="dxa"/>
            <w:gridSpan w:val="7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                                                  </w:t>
            </w:r>
            <w:r w:rsidRPr="00F90CD5">
              <w:rPr>
                <w:b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</w:tr>
      <w:tr w:rsidR="00F90CD5" w:rsidRPr="00F90CD5" w:rsidTr="009D60BF">
        <w:trPr>
          <w:trHeight w:val="289"/>
        </w:trPr>
        <w:tc>
          <w:tcPr>
            <w:tcW w:w="107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1.</w:t>
            </w:r>
          </w:p>
        </w:tc>
        <w:tc>
          <w:tcPr>
            <w:tcW w:w="5523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564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процентов</w:t>
            </w:r>
          </w:p>
        </w:tc>
        <w:tc>
          <w:tcPr>
            <w:tcW w:w="1276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133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217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</w:tr>
      <w:tr w:rsidR="00F90CD5" w:rsidRPr="00F90CD5" w:rsidTr="009D60BF">
        <w:trPr>
          <w:trHeight w:val="289"/>
        </w:trPr>
        <w:tc>
          <w:tcPr>
            <w:tcW w:w="14361" w:type="dxa"/>
            <w:gridSpan w:val="7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F90CD5">
              <w:rPr>
                <w:b/>
                <w:sz w:val="18"/>
                <w:szCs w:val="18"/>
              </w:rPr>
              <w:t>Подпрограмма «Социальное обеспечение граждан»</w:t>
            </w:r>
          </w:p>
        </w:tc>
      </w:tr>
      <w:tr w:rsidR="00F90CD5" w:rsidRPr="00F90CD5" w:rsidTr="009D60BF">
        <w:trPr>
          <w:trHeight w:val="289"/>
        </w:trPr>
        <w:tc>
          <w:tcPr>
            <w:tcW w:w="107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1.</w:t>
            </w:r>
          </w:p>
        </w:tc>
        <w:tc>
          <w:tcPr>
            <w:tcW w:w="5523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Доля </w:t>
            </w:r>
            <w:r w:rsidRPr="00F90CD5">
              <w:rPr>
                <w:iCs/>
                <w:sz w:val="18"/>
                <w:szCs w:val="18"/>
              </w:rPr>
              <w:t>граждан</w:t>
            </w:r>
            <w:r w:rsidRPr="00F90CD5">
              <w:rPr>
                <w:sz w:val="18"/>
                <w:szCs w:val="18"/>
              </w:rPr>
              <w:t xml:space="preserve">, получивших меры </w:t>
            </w:r>
            <w:r w:rsidRPr="00F90CD5">
              <w:rPr>
                <w:iCs/>
                <w:sz w:val="18"/>
                <w:szCs w:val="18"/>
              </w:rPr>
              <w:t>социальной</w:t>
            </w:r>
            <w:r w:rsidRPr="00F90CD5">
              <w:rPr>
                <w:sz w:val="18"/>
                <w:szCs w:val="18"/>
              </w:rPr>
              <w:t xml:space="preserve"> </w:t>
            </w:r>
            <w:r w:rsidRPr="00F90CD5">
              <w:rPr>
                <w:iCs/>
                <w:sz w:val="18"/>
                <w:szCs w:val="18"/>
              </w:rPr>
              <w:t>поддержки</w:t>
            </w:r>
            <w:r w:rsidRPr="00F90CD5">
              <w:rPr>
                <w:sz w:val="18"/>
                <w:szCs w:val="18"/>
              </w:rPr>
              <w:t xml:space="preserve"> (оплата жилищно-коммунальных услуг, материальная помощь гражданам, оказавшимся в трудной жизненной ситуации) от общего числа обратившихся </w:t>
            </w:r>
            <w:r w:rsidRPr="00F90CD5">
              <w:rPr>
                <w:iCs/>
                <w:sz w:val="18"/>
                <w:szCs w:val="18"/>
              </w:rPr>
              <w:t>граждан</w:t>
            </w:r>
            <w:r w:rsidRPr="00F90CD5">
              <w:rPr>
                <w:sz w:val="18"/>
                <w:szCs w:val="18"/>
              </w:rPr>
              <w:t>, имеющих такое право</w:t>
            </w:r>
          </w:p>
        </w:tc>
        <w:tc>
          <w:tcPr>
            <w:tcW w:w="1564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процентов </w:t>
            </w:r>
          </w:p>
        </w:tc>
        <w:tc>
          <w:tcPr>
            <w:tcW w:w="1276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133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217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</w:tr>
      <w:tr w:rsidR="00F90CD5" w:rsidRPr="00F90CD5" w:rsidTr="009D60BF">
        <w:trPr>
          <w:trHeight w:val="289"/>
        </w:trPr>
        <w:tc>
          <w:tcPr>
            <w:tcW w:w="107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2.</w:t>
            </w:r>
          </w:p>
        </w:tc>
        <w:tc>
          <w:tcPr>
            <w:tcW w:w="5523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Количество гражда</w:t>
            </w:r>
            <w:proofErr w:type="gramStart"/>
            <w:r w:rsidRPr="00F90CD5">
              <w:rPr>
                <w:sz w:val="18"/>
                <w:szCs w:val="18"/>
              </w:rPr>
              <w:t>н(</w:t>
            </w:r>
            <w:proofErr w:type="gramEnd"/>
            <w:r w:rsidRPr="00F90CD5">
              <w:rPr>
                <w:sz w:val="18"/>
                <w:szCs w:val="18"/>
              </w:rPr>
              <w:t>молодых специалистов), получающих социальную выплату</w:t>
            </w:r>
          </w:p>
        </w:tc>
        <w:tc>
          <w:tcPr>
            <w:tcW w:w="1564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граждан</w:t>
            </w:r>
          </w:p>
        </w:tc>
        <w:tc>
          <w:tcPr>
            <w:tcW w:w="1276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133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217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</w:tr>
      <w:tr w:rsidR="00F90CD5" w:rsidRPr="00F90CD5" w:rsidTr="009D60BF">
        <w:trPr>
          <w:trHeight w:val="906"/>
        </w:trPr>
        <w:tc>
          <w:tcPr>
            <w:tcW w:w="107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3.</w:t>
            </w:r>
          </w:p>
        </w:tc>
        <w:tc>
          <w:tcPr>
            <w:tcW w:w="5523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Увеличение количества публикаций и сюжетов в средствах массовой информации о мероприятиях социальной направленности и мерах социальной поддержки</w:t>
            </w:r>
          </w:p>
        </w:tc>
        <w:tc>
          <w:tcPr>
            <w:tcW w:w="1564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100,5</w:t>
            </w:r>
          </w:p>
        </w:tc>
        <w:tc>
          <w:tcPr>
            <w:tcW w:w="141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101</w:t>
            </w:r>
          </w:p>
        </w:tc>
        <w:tc>
          <w:tcPr>
            <w:tcW w:w="133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101,5</w:t>
            </w:r>
          </w:p>
        </w:tc>
        <w:tc>
          <w:tcPr>
            <w:tcW w:w="217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105,0</w:t>
            </w:r>
          </w:p>
        </w:tc>
      </w:tr>
      <w:tr w:rsidR="00F90CD5" w:rsidRPr="00F90CD5" w:rsidTr="009D60BF">
        <w:trPr>
          <w:trHeight w:val="1054"/>
        </w:trPr>
        <w:tc>
          <w:tcPr>
            <w:tcW w:w="107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4.</w:t>
            </w:r>
          </w:p>
        </w:tc>
        <w:tc>
          <w:tcPr>
            <w:tcW w:w="5523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Количество мероприятий по созданию благоприятных условий жизнедеятельности ветеранов и граждан пожилого возраста.</w:t>
            </w:r>
          </w:p>
        </w:tc>
        <w:tc>
          <w:tcPr>
            <w:tcW w:w="1564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276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141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133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217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2</w:t>
            </w:r>
          </w:p>
        </w:tc>
      </w:tr>
      <w:tr w:rsidR="00F90CD5" w:rsidRPr="00F90CD5" w:rsidTr="009D60BF">
        <w:trPr>
          <w:trHeight w:val="289"/>
        </w:trPr>
        <w:tc>
          <w:tcPr>
            <w:tcW w:w="14361" w:type="dxa"/>
            <w:gridSpan w:val="7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                            </w:t>
            </w:r>
            <w:r w:rsidRPr="00F90CD5">
              <w:rPr>
                <w:b/>
                <w:sz w:val="18"/>
                <w:szCs w:val="18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F90CD5" w:rsidRPr="00F90CD5" w:rsidTr="009D60BF">
        <w:trPr>
          <w:trHeight w:val="910"/>
        </w:trPr>
        <w:tc>
          <w:tcPr>
            <w:tcW w:w="107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1.</w:t>
            </w:r>
          </w:p>
        </w:tc>
        <w:tc>
          <w:tcPr>
            <w:tcW w:w="5523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Увеличение количества зарегистрированных на территории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 благотворительных организаций</w:t>
            </w:r>
          </w:p>
        </w:tc>
        <w:tc>
          <w:tcPr>
            <w:tcW w:w="1564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единиц</w:t>
            </w:r>
          </w:p>
        </w:tc>
        <w:tc>
          <w:tcPr>
            <w:tcW w:w="1276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0</w:t>
            </w:r>
          </w:p>
        </w:tc>
        <w:tc>
          <w:tcPr>
            <w:tcW w:w="141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0</w:t>
            </w:r>
          </w:p>
        </w:tc>
        <w:tc>
          <w:tcPr>
            <w:tcW w:w="1332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0</w:t>
            </w:r>
          </w:p>
        </w:tc>
        <w:tc>
          <w:tcPr>
            <w:tcW w:w="2177" w:type="dxa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 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        1</w:t>
            </w: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Приложение № 2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к муниципальной  программе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«Социальная поддержка граждан»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РЕСУРСНОЕ ОБЕСПЕЧЕНИЕ  И ПРОГНОЗНАЯ (СПРАВОЧНАЯ) ОЦЕНКА РАСХОДОВ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за счет всех источников финансирования реализации муниципальной программы </w:t>
      </w:r>
      <w:proofErr w:type="spellStart"/>
      <w:r w:rsidRPr="00F90CD5">
        <w:rPr>
          <w:b/>
          <w:sz w:val="18"/>
          <w:szCs w:val="18"/>
        </w:rPr>
        <w:t>Вурнарского</w:t>
      </w:r>
      <w:proofErr w:type="spellEnd"/>
      <w:r w:rsidRPr="00F90CD5">
        <w:rPr>
          <w:b/>
          <w:sz w:val="18"/>
          <w:szCs w:val="18"/>
        </w:rPr>
        <w:t xml:space="preserve"> муниципального округа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Чувашской Республики 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bCs/>
          <w:sz w:val="18"/>
          <w:szCs w:val="18"/>
        </w:rPr>
      </w:pPr>
    </w:p>
    <w:tbl>
      <w:tblPr>
        <w:tblW w:w="4869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2"/>
        <w:gridCol w:w="2128"/>
        <w:gridCol w:w="1421"/>
        <w:gridCol w:w="1555"/>
        <w:gridCol w:w="1984"/>
        <w:gridCol w:w="1277"/>
        <w:gridCol w:w="1134"/>
        <w:gridCol w:w="1134"/>
        <w:gridCol w:w="1558"/>
      </w:tblGrid>
      <w:tr w:rsidR="00F90CD5" w:rsidRPr="00F90CD5" w:rsidTr="009D60BF">
        <w:trPr>
          <w:trHeight w:val="20"/>
        </w:trPr>
        <w:tc>
          <w:tcPr>
            <w:tcW w:w="656" w:type="pct"/>
            <w:vMerge w:val="restar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Статус</w:t>
            </w:r>
          </w:p>
        </w:tc>
        <w:tc>
          <w:tcPr>
            <w:tcW w:w="75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Наименование </w:t>
            </w:r>
            <w:r w:rsidRPr="00F90CD5">
              <w:rPr>
                <w:sz w:val="18"/>
                <w:szCs w:val="18"/>
              </w:rPr>
              <w:lastRenderedPageBreak/>
              <w:t xml:space="preserve">муниципальной программы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Республики,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подпрограммы  муниципальной программы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мероприятия)</w:t>
            </w:r>
          </w:p>
        </w:tc>
        <w:tc>
          <w:tcPr>
            <w:tcW w:w="1060" w:type="pct"/>
            <w:gridSpan w:val="2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Код бюджетной классификации</w:t>
            </w:r>
          </w:p>
        </w:tc>
        <w:tc>
          <w:tcPr>
            <w:tcW w:w="707" w:type="pct"/>
            <w:vMerge w:val="restart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Источники</w:t>
            </w:r>
            <w:r w:rsidRPr="00F90CD5">
              <w:rPr>
                <w:sz w:val="18"/>
                <w:szCs w:val="18"/>
              </w:rPr>
              <w:br/>
            </w:r>
            <w:r w:rsidRPr="00F90CD5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81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 xml:space="preserve">                             Расходы по годам, тыс. рублей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54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целевая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статья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расходов</w:t>
            </w:r>
          </w:p>
        </w:tc>
        <w:tc>
          <w:tcPr>
            <w:tcW w:w="707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2023</w:t>
            </w:r>
          </w:p>
        </w:tc>
        <w:tc>
          <w:tcPr>
            <w:tcW w:w="404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2024</w:t>
            </w:r>
          </w:p>
        </w:tc>
        <w:tc>
          <w:tcPr>
            <w:tcW w:w="404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2025</w:t>
            </w:r>
          </w:p>
        </w:tc>
        <w:tc>
          <w:tcPr>
            <w:tcW w:w="555" w:type="pct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2026–2030</w:t>
            </w:r>
          </w:p>
        </w:tc>
      </w:tr>
      <w:tr w:rsidR="00F90CD5" w:rsidRPr="00F90CD5" w:rsidTr="009D60BF">
        <w:trPr>
          <w:trHeight w:val="20"/>
          <w:tblHeader/>
        </w:trPr>
        <w:tc>
          <w:tcPr>
            <w:tcW w:w="656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58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</w:t>
            </w: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11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</w:t>
            </w:r>
          </w:p>
        </w:tc>
      </w:tr>
      <w:tr w:rsidR="00F90CD5" w:rsidRPr="00F90CD5" w:rsidTr="009D60BF">
        <w:trPr>
          <w:trHeight w:val="435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Ц300000000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13782,1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13797,8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13797,8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68989,0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Ц300000000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10027,3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10043,0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10043,0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50215,0</w:t>
            </w:r>
          </w:p>
        </w:tc>
      </w:tr>
      <w:tr w:rsidR="00F90CD5" w:rsidRPr="00F90CD5" w:rsidTr="009D60BF">
        <w:trPr>
          <w:trHeight w:val="445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Ц300000000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18774,0</w:t>
            </w:r>
          </w:p>
        </w:tc>
      </w:tr>
      <w:tr w:rsidR="00F90CD5" w:rsidRPr="00F90CD5" w:rsidTr="009D60BF">
        <w:trPr>
          <w:trHeight w:val="566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70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«Социальное  обеспечение граждан»</w:t>
            </w: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Ц310000000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13424,4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13424,4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13424,4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67122,0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Ц310000000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48348,0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Ц310000000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18774,0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974,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12979,4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12979,4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12979,4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64897,0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974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48348,0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3309,8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3309,8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3309,8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16549,0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Ц310500000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2225,0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Ц310500000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</w:t>
            </w:r>
            <w:r w:rsidRPr="00F90CD5">
              <w:rPr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445,0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2225,0</w:t>
            </w:r>
          </w:p>
        </w:tc>
      </w:tr>
      <w:tr w:rsidR="00F90CD5" w:rsidRPr="00F90CD5" w:rsidTr="009D60BF">
        <w:trPr>
          <w:trHeight w:val="596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Оказание имущественной поддержки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Предоставление информационной поддержки</w:t>
            </w: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51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566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55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Обеспечение реализации муниципальной программы «Социальная поддержка граждан»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974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ЦЗЭ0000000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357,7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373,4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373,4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1867,0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974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ЦЗЭ0000000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357,7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373,4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373,4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1867,0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758" w:type="pct"/>
            <w:vMerge w:val="restart"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proofErr w:type="spellStart"/>
            <w:r w:rsidRPr="00F90CD5">
              <w:rPr>
                <w:sz w:val="18"/>
                <w:szCs w:val="18"/>
              </w:rPr>
              <w:t>Общепрограммные</w:t>
            </w:r>
            <w:proofErr w:type="spellEnd"/>
            <w:r w:rsidRPr="00F90CD5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974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ЦЗЭ0100000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357,7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373,4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373,4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1867,0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974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ЦЗЭ0100000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357,7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373,4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373,4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1867,0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07"/>
        </w:trPr>
        <w:tc>
          <w:tcPr>
            <w:tcW w:w="656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8" w:type="pct"/>
            <w:vMerge/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внебюджетные </w:t>
            </w:r>
            <w:r w:rsidRPr="00F90CD5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  <w:sectPr w:rsidR="00F90CD5" w:rsidRPr="00F90CD5" w:rsidSect="005B5199">
          <w:pgSz w:w="16838" w:h="11906" w:orient="landscape"/>
          <w:pgMar w:top="284" w:right="850" w:bottom="993" w:left="1701" w:header="708" w:footer="708" w:gutter="0"/>
          <w:cols w:space="708"/>
          <w:docGrid w:linePitch="360"/>
        </w:sect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>Приложение № 3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к Муниципальной программе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П о д п р о г р а м </w:t>
      </w:r>
      <w:proofErr w:type="spellStart"/>
      <w:proofErr w:type="gramStart"/>
      <w:r w:rsidRPr="00F90CD5">
        <w:rPr>
          <w:b/>
          <w:sz w:val="18"/>
          <w:szCs w:val="18"/>
        </w:rPr>
        <w:t>м</w:t>
      </w:r>
      <w:proofErr w:type="spellEnd"/>
      <w:proofErr w:type="gramEnd"/>
      <w:r w:rsidRPr="00F90CD5">
        <w:rPr>
          <w:b/>
          <w:sz w:val="18"/>
          <w:szCs w:val="18"/>
        </w:rPr>
        <w:t xml:space="preserve"> а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«Социальное обеспечение граждан» Муниципальной программы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proofErr w:type="spellStart"/>
      <w:r w:rsidRPr="00F90CD5">
        <w:rPr>
          <w:b/>
          <w:sz w:val="18"/>
          <w:szCs w:val="18"/>
        </w:rPr>
        <w:t>Вурнарского</w:t>
      </w:r>
      <w:proofErr w:type="spellEnd"/>
      <w:r w:rsidRPr="00F90CD5">
        <w:rPr>
          <w:b/>
          <w:sz w:val="18"/>
          <w:szCs w:val="18"/>
        </w:rPr>
        <w:t xml:space="preserve"> муниципального округа Чувашской Республики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 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Паспорт подпрограммы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образования 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Цель подпрограммы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Задачи подпрограммы           –      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уровня жизни граждан – получателей мер социальной поддержки;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  <w:r w:rsidRPr="00F90CD5">
              <w:rPr>
                <w:sz w:val="18"/>
                <w:szCs w:val="18"/>
              </w:rPr>
              <w:t>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достижение к 2030 году следующих целевых индикаторов и показателей: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доля </w:t>
            </w:r>
            <w:r w:rsidRPr="00F90CD5">
              <w:rPr>
                <w:iCs/>
                <w:sz w:val="18"/>
                <w:szCs w:val="18"/>
              </w:rPr>
              <w:t>граждан</w:t>
            </w:r>
            <w:r w:rsidRPr="00F90CD5">
              <w:rPr>
                <w:sz w:val="18"/>
                <w:szCs w:val="18"/>
              </w:rPr>
              <w:t xml:space="preserve">, получивших меры </w:t>
            </w:r>
            <w:r w:rsidRPr="00F90CD5">
              <w:rPr>
                <w:iCs/>
                <w:sz w:val="18"/>
                <w:szCs w:val="18"/>
              </w:rPr>
              <w:t>социальной</w:t>
            </w:r>
            <w:r w:rsidRPr="00F90CD5">
              <w:rPr>
                <w:sz w:val="18"/>
                <w:szCs w:val="18"/>
              </w:rPr>
              <w:t xml:space="preserve"> </w:t>
            </w:r>
            <w:r w:rsidRPr="00F90CD5">
              <w:rPr>
                <w:iCs/>
                <w:sz w:val="18"/>
                <w:szCs w:val="18"/>
              </w:rPr>
              <w:t>поддержки</w:t>
            </w:r>
            <w:r w:rsidRPr="00F90CD5">
              <w:rPr>
                <w:sz w:val="18"/>
                <w:szCs w:val="18"/>
              </w:rPr>
              <w:t xml:space="preserve"> (оплата жилищно-коммунальных услуг, материальная помощь гражданам, оказавшимся в трудной жизненной ситуации) от общего числа обратившихся </w:t>
            </w:r>
            <w:r w:rsidRPr="00F90CD5">
              <w:rPr>
                <w:iCs/>
                <w:sz w:val="18"/>
                <w:szCs w:val="18"/>
              </w:rPr>
              <w:t>граждан</w:t>
            </w:r>
            <w:r w:rsidRPr="00F90CD5">
              <w:rPr>
                <w:sz w:val="18"/>
                <w:szCs w:val="18"/>
              </w:rPr>
              <w:t>, имеющих такое право – 100 %;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количество гражда</w:t>
            </w:r>
            <w:proofErr w:type="gramStart"/>
            <w:r w:rsidRPr="00F90CD5">
              <w:rPr>
                <w:sz w:val="18"/>
                <w:szCs w:val="18"/>
              </w:rPr>
              <w:t>н(</w:t>
            </w:r>
            <w:proofErr w:type="gramEnd"/>
            <w:r w:rsidRPr="00F90CD5">
              <w:rPr>
                <w:sz w:val="18"/>
                <w:szCs w:val="18"/>
              </w:rPr>
              <w:t>молодых специалистов), получающих социальную выплату – 5;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увеличение количества публикаций и сюжетов в средствах массовой информации о мероприятиях социальной направленности и мерах социальной поддержки – 105 %;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количество мероприятий по созданию благоприятных условий жизнедеятельности ветеранов и граждан пожилого возраста - 2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2023 - 2030 годы: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 этап - 2023 - 2025 годы;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 этап - 2026 - 2030 годы;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прогнозируемые объемы финансирования реализации мероприятий подпрограммы на 2023–2030 годы составляют 107395,2 тыс. рублей,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 13424,4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13424,4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- 13424,4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 – 2030 годах – 67122,0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из них средства: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федерального бюджета – 0,0 тыс. рублей </w:t>
            </w:r>
            <w:proofErr w:type="gramStart"/>
            <w:r w:rsidRPr="00F90CD5">
              <w:rPr>
                <w:sz w:val="18"/>
                <w:szCs w:val="18"/>
              </w:rPr>
              <w:t xml:space="preserve">( </w:t>
            </w:r>
            <w:proofErr w:type="gramEnd"/>
            <w:r w:rsidRPr="00F90CD5">
              <w:rPr>
                <w:sz w:val="18"/>
                <w:szCs w:val="18"/>
              </w:rPr>
              <w:t>0 процентов);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республиканского бюджета Чувашской Республики –77356,8 тыс. рублей (72 процента),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9669,6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9669,6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-  9669,6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 – 2030 годах – 48348,0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 xml:space="preserve">бюджета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– 30038,4  тыс. рублей (28 процентов),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 3754,8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 3754,8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–  3754,8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 – 2030 годах – 18774,0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внебюджетных источников – 0,0 тыс. рублей (0  процентов),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– 0,0 тыс. рублей.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 – 2030 годах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на очередной финансовый год и плановый период.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повысить уровень социальной защищенности отдельных категорий граждан.</w:t>
            </w: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Раздел I. Приоритеты и цели подпрограммы, общая характеристика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участия органов местного самоуправления в реализации подпрограммы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proofErr w:type="gramStart"/>
      <w:r w:rsidRPr="00F90CD5">
        <w:rPr>
          <w:sz w:val="18"/>
          <w:szCs w:val="18"/>
        </w:rPr>
        <w:t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Подпрограмма "Социальное обеспечение граждан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Республики" муниципальной программы "Социальная поддержка граждан" (далее - подпрограмма) является неотъемлемой частью Муниципальной программы.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Цель подпрограммы: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повышение уровня жизни граждан - получателей мер социальной поддержки.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Для достижения указанных целей необходимо решение следующей задачи: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реализация </w:t>
      </w:r>
      <w:proofErr w:type="gramStart"/>
      <w:r w:rsidRPr="00F90CD5">
        <w:rPr>
          <w:sz w:val="18"/>
          <w:szCs w:val="18"/>
        </w:rPr>
        <w:t>системы мер социальной поддержки отдельных категорий граждан</w:t>
      </w:r>
      <w:proofErr w:type="gramEnd"/>
      <w:r w:rsidRPr="00F90CD5">
        <w:rPr>
          <w:sz w:val="18"/>
          <w:szCs w:val="18"/>
        </w:rPr>
        <w:t>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Раздел II. Перечень и сведения о целевых индикаторах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и </w:t>
      </w:r>
      <w:proofErr w:type="gramStart"/>
      <w:r w:rsidRPr="00F90CD5">
        <w:rPr>
          <w:b/>
          <w:sz w:val="18"/>
          <w:szCs w:val="18"/>
        </w:rPr>
        <w:t>показателях</w:t>
      </w:r>
      <w:proofErr w:type="gramEnd"/>
      <w:r w:rsidRPr="00F90CD5">
        <w:rPr>
          <w:b/>
          <w:sz w:val="18"/>
          <w:szCs w:val="18"/>
        </w:rPr>
        <w:t xml:space="preserve"> подпрограммы с расшифровкой плановых значений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по годам ее реализации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Целевыми индикаторами и показателями подпрограммы являются: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- доля </w:t>
      </w:r>
      <w:r w:rsidRPr="00F90CD5">
        <w:rPr>
          <w:iCs/>
          <w:sz w:val="18"/>
          <w:szCs w:val="18"/>
        </w:rPr>
        <w:t>граждан</w:t>
      </w:r>
      <w:r w:rsidRPr="00F90CD5">
        <w:rPr>
          <w:sz w:val="18"/>
          <w:szCs w:val="18"/>
        </w:rPr>
        <w:t xml:space="preserve">, получивших меры </w:t>
      </w:r>
      <w:r w:rsidRPr="00F90CD5">
        <w:rPr>
          <w:iCs/>
          <w:sz w:val="18"/>
          <w:szCs w:val="18"/>
        </w:rPr>
        <w:t>социальной</w:t>
      </w:r>
      <w:r w:rsidRPr="00F90CD5">
        <w:rPr>
          <w:sz w:val="18"/>
          <w:szCs w:val="18"/>
        </w:rPr>
        <w:t xml:space="preserve"> </w:t>
      </w:r>
      <w:r w:rsidRPr="00F90CD5">
        <w:rPr>
          <w:iCs/>
          <w:sz w:val="18"/>
          <w:szCs w:val="18"/>
        </w:rPr>
        <w:t>поддержки (</w:t>
      </w:r>
      <w:r w:rsidRPr="00F90CD5">
        <w:rPr>
          <w:sz w:val="18"/>
          <w:szCs w:val="18"/>
        </w:rPr>
        <w:t xml:space="preserve">по оплате жилищно-коммунальных услуг, материальная помощь гражданам, оказавшимся в трудной жизненной ситуации) от общего числа обратившихся </w:t>
      </w:r>
      <w:r w:rsidRPr="00F90CD5">
        <w:rPr>
          <w:iCs/>
          <w:sz w:val="18"/>
          <w:szCs w:val="18"/>
        </w:rPr>
        <w:t>граждан</w:t>
      </w:r>
      <w:r w:rsidRPr="00F90CD5">
        <w:rPr>
          <w:sz w:val="18"/>
          <w:szCs w:val="18"/>
        </w:rPr>
        <w:t>, имеющих такое право;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количество гражда</w:t>
      </w:r>
      <w:proofErr w:type="gramStart"/>
      <w:r w:rsidRPr="00F90CD5">
        <w:rPr>
          <w:sz w:val="18"/>
          <w:szCs w:val="18"/>
        </w:rPr>
        <w:t>н(</w:t>
      </w:r>
      <w:proofErr w:type="gramEnd"/>
      <w:r w:rsidRPr="00F90CD5">
        <w:rPr>
          <w:sz w:val="18"/>
          <w:szCs w:val="18"/>
        </w:rPr>
        <w:t>молодых специалистов), получающих социальную выплату;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увеличение количества публикаций и сюжетов в средствах массовой информации о мероприятиях социальной направленности и мерах социальной поддержки;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- количество мероприятий по созданию благоприятных условий жизнедеятельности ветеранов и граждан пожилого возраста.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результате реализации мероприятий подпрограммы ожидается достижение к 2030 году следующих целевых индикаторов и  показателей: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доля </w:t>
      </w:r>
      <w:r w:rsidRPr="00F90CD5">
        <w:rPr>
          <w:iCs/>
          <w:sz w:val="18"/>
          <w:szCs w:val="18"/>
        </w:rPr>
        <w:t>граждан</w:t>
      </w:r>
      <w:r w:rsidRPr="00F90CD5">
        <w:rPr>
          <w:sz w:val="18"/>
          <w:szCs w:val="18"/>
        </w:rPr>
        <w:t xml:space="preserve">, получивших меры </w:t>
      </w:r>
      <w:r w:rsidRPr="00F90CD5">
        <w:rPr>
          <w:iCs/>
          <w:sz w:val="18"/>
          <w:szCs w:val="18"/>
        </w:rPr>
        <w:t>социальной</w:t>
      </w:r>
      <w:r w:rsidRPr="00F90CD5">
        <w:rPr>
          <w:sz w:val="18"/>
          <w:szCs w:val="18"/>
        </w:rPr>
        <w:t xml:space="preserve"> </w:t>
      </w:r>
      <w:r w:rsidRPr="00F90CD5">
        <w:rPr>
          <w:iCs/>
          <w:sz w:val="18"/>
          <w:szCs w:val="18"/>
        </w:rPr>
        <w:t>поддержки (</w:t>
      </w:r>
      <w:r w:rsidRPr="00F90CD5">
        <w:rPr>
          <w:sz w:val="18"/>
          <w:szCs w:val="18"/>
        </w:rPr>
        <w:t xml:space="preserve">по оплате жилищно-коммунальных услуг, материальная помощь гражданам, оказавшимся в трудной жизненной ситуации) от общего числа обратившихся </w:t>
      </w:r>
      <w:r w:rsidRPr="00F90CD5">
        <w:rPr>
          <w:iCs/>
          <w:sz w:val="18"/>
          <w:szCs w:val="18"/>
        </w:rPr>
        <w:t>граждан</w:t>
      </w:r>
      <w:r w:rsidRPr="00F90CD5">
        <w:rPr>
          <w:sz w:val="18"/>
          <w:szCs w:val="18"/>
        </w:rPr>
        <w:t>, имеющих такое право: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- 100,0 процентов;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- 100,0 процентов;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- 100,0 процентов;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2030 году - 100,0 процентов.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количество гражда</w:t>
      </w:r>
      <w:proofErr w:type="gramStart"/>
      <w:r w:rsidRPr="00F90CD5">
        <w:rPr>
          <w:sz w:val="18"/>
          <w:szCs w:val="18"/>
        </w:rPr>
        <w:t>н(</w:t>
      </w:r>
      <w:proofErr w:type="gramEnd"/>
      <w:r w:rsidRPr="00F90CD5">
        <w:rPr>
          <w:sz w:val="18"/>
          <w:szCs w:val="18"/>
        </w:rPr>
        <w:t>молодых специалистов), получающих социальную выплату: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5 граждан;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- 5 граждан;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- 5 граждан;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2030 году - 5 граждан</w:t>
      </w:r>
      <w:proofErr w:type="gramStart"/>
      <w:r w:rsidRPr="00F90CD5">
        <w:rPr>
          <w:sz w:val="18"/>
          <w:szCs w:val="18"/>
        </w:rPr>
        <w:t>;.</w:t>
      </w:r>
      <w:proofErr w:type="gramEnd"/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увеличение количества публикаций и сюжетов в средствах массовой информации о мероприятиях социальной направленности и мерах социальной поддержки: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>в 2023 году - 100,5 процентов;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- 101,0 процентов;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- 101,5 процентов;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2030 году - 105,0 процентов;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количество мероприятий по созданию благоприятных условий жизнедеятельности ветеранов и граждан пожилого возраста: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2019 году - 2 мероприятия;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2020 году - 2 мероприятия;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2021 году - 2 мероприятия;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2022 году - 2 мероприятия;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- 2 мероприятия;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- 2 мероприятия;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- 2 мероприятия;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2030 году - 2 мероприятия;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2035 году - 2 мероприятия.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Раздел III. Характеристики основных мероприятий, мероприятий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подпрограммы с указанием сроков и этапов их реализации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Подпрограмма объединяет два основных мероприятия: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Основное мероприятие 1. Реализация законодательства в области предоставления мер социальной поддержки отдельным категориям граждан, </w:t>
      </w:r>
      <w:proofErr w:type="gramStart"/>
      <w:r w:rsidRPr="00F90CD5">
        <w:rPr>
          <w:sz w:val="18"/>
          <w:szCs w:val="18"/>
        </w:rPr>
        <w:t>предусматривающее</w:t>
      </w:r>
      <w:proofErr w:type="gramEnd"/>
      <w:r w:rsidRPr="00F90CD5">
        <w:rPr>
          <w:sz w:val="18"/>
          <w:szCs w:val="18"/>
        </w:rPr>
        <w:t xml:space="preserve"> реализацию мероприятий.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Мероприятие 1.1. Обеспечение мер социальной поддержки отдельных категорий граждан по оплате жилищно-коммунальных услуг.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Мероприятие предусматривает предоставление за счет </w:t>
      </w:r>
      <w:proofErr w:type="gramStart"/>
      <w:r w:rsidRPr="00F90CD5">
        <w:rPr>
          <w:sz w:val="18"/>
          <w:szCs w:val="18"/>
        </w:rPr>
        <w:t>средств республиканского бюджета Чувашской Республики ежемесячной компенсации расходов</w:t>
      </w:r>
      <w:proofErr w:type="gramEnd"/>
      <w:r w:rsidRPr="00F90CD5">
        <w:rPr>
          <w:sz w:val="18"/>
          <w:szCs w:val="18"/>
        </w:rPr>
        <w:t xml:space="preserve"> на оплату жилого помещения, коммунальных услуг отдельным категориям граждан из числа работников культуры и педагогических работников.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Мероприятие 1.2. Оказание материальной помощи гражданам, </w:t>
      </w:r>
      <w:proofErr w:type="gramStart"/>
      <w:r w:rsidRPr="00F90CD5">
        <w:rPr>
          <w:sz w:val="18"/>
          <w:szCs w:val="18"/>
        </w:rPr>
        <w:t>находящихся</w:t>
      </w:r>
      <w:proofErr w:type="gramEnd"/>
      <w:r w:rsidRPr="00F90CD5">
        <w:rPr>
          <w:sz w:val="18"/>
          <w:szCs w:val="18"/>
        </w:rPr>
        <w:t xml:space="preserve"> в трудной жизненной ситуации.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Мероприятие предусматривает предоставление за счет средств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материальной помощи гражданам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оказавшимся в трудной жизненной ситуации.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Мероприятие 1.3. Оказание материальной помощи отдельным категориям граждан.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</w:t>
      </w:r>
      <w:proofErr w:type="gramStart"/>
      <w:r w:rsidRPr="00F90CD5">
        <w:rPr>
          <w:sz w:val="18"/>
          <w:szCs w:val="18"/>
        </w:rPr>
        <w:t xml:space="preserve">Мероприятие предусматривает предоставление за счет средств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социальной выплаты молодым специалистам, прибывшим на работу в медицинские и образовательные организации, учреждения культуры, учреждения спорта и органы местного самоуправления, расположенных на территории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на приобретение в собственность жилого помещения или земельного участка, расположенных на территории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Республики.</w:t>
      </w:r>
      <w:proofErr w:type="gramEnd"/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b/>
          <w:sz w:val="18"/>
          <w:szCs w:val="18"/>
        </w:rPr>
        <w:t xml:space="preserve">   </w:t>
      </w:r>
      <w:r w:rsidRPr="00F90CD5">
        <w:rPr>
          <w:sz w:val="18"/>
          <w:szCs w:val="18"/>
        </w:rPr>
        <w:t>Основное мероприятие 2. Создание благоприятных условий жизнедеятельности ветеранам, гражданам пожилого возраста, инвалидам, предусматривающее реализацию следующих мероприятий: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Мероприятие 2.1. Проведение мероприятий, связанных с празднованием годовщины Победы в Великой Отечественной войне.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Мероприятие 2.2. Осуществление мероприятий, связанных с проведением Дня пожилых людей.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проведение мероприятий по поддержанию жизненной активности ветеранам, граждан пожилого возраста и инвалидов.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Подпрограмма реализуется в период с 2023 по 2030 год в два этапа: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1 этап – 2023–2025 годы;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2 этап – 2026–2030 годы.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При этом большинство мероприятий подпрограммы реализуется ежегодно с установленной периодичностью.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Раздел IV. Обоснование объема финансовых ресурсов, необходимых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proofErr w:type="gramStart"/>
      <w:r w:rsidRPr="00F90CD5">
        <w:rPr>
          <w:b/>
          <w:sz w:val="18"/>
          <w:szCs w:val="18"/>
        </w:rPr>
        <w:t xml:space="preserve">для реализации подпрограммы (с расшифровкой по источникам </w:t>
      </w:r>
      <w:proofErr w:type="gramEnd"/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>финансирования, по этапам и годам ее реализации)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и средств внебюджетных источников.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Общий объем финансирования подпрограммы в 2023 –</w:t>
      </w:r>
      <w:r w:rsidRPr="00F90CD5">
        <w:rPr>
          <w:sz w:val="18"/>
          <w:szCs w:val="18"/>
        </w:rPr>
        <w:br/>
        <w:t>2030 годах составляет  107395,2 тыс. рублей, в том числе за счет средств: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федерального бюджета – 0,0 тыс. рублей (0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республиканского бюджета Чувашской Республики – 77356,8 тыс. рублей </w:t>
      </w:r>
      <w:proofErr w:type="gramStart"/>
      <w:r w:rsidRPr="00F90CD5">
        <w:rPr>
          <w:sz w:val="18"/>
          <w:szCs w:val="18"/>
        </w:rPr>
        <w:t xml:space="preserve">( </w:t>
      </w:r>
      <w:proofErr w:type="gramEnd"/>
      <w:r w:rsidRPr="00F90CD5">
        <w:rPr>
          <w:sz w:val="18"/>
          <w:szCs w:val="18"/>
        </w:rPr>
        <w:t>72 процента);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 30038,4 тыс. рублей (28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внебюджетных источников – 0,0 тыс. рублей </w:t>
      </w:r>
      <w:proofErr w:type="gramStart"/>
      <w:r w:rsidRPr="00F90CD5">
        <w:rPr>
          <w:sz w:val="18"/>
          <w:szCs w:val="18"/>
        </w:rPr>
        <w:t xml:space="preserve">( </w:t>
      </w:r>
      <w:proofErr w:type="gramEnd"/>
      <w:r w:rsidRPr="00F90CD5">
        <w:rPr>
          <w:sz w:val="18"/>
          <w:szCs w:val="18"/>
        </w:rPr>
        <w:t>0 процентов).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Прогнозируемый объем финансирования подпрограммы на 1 этапе (2023–2025 годы) составляет  40273,2 тыс. рублей,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13424,4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>в 2024 году –13424,4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–13424,4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из них средства: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федерального бюджета – 0,0 тыс. рублей (0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республиканского бюджета Чувашской Республики – 29008,8 тыс. рублей (72 процента),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 9669,6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9669,6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9669,6 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– 11264,4 тыс. рублей (28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 3754,8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 3754,8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 3754,8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внебюджетных источников –  0,0 тыс. рублей (0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0,0 тыс. рублей.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На 2 этапе (2026–2030 годы) объем финансирования Муниципальной программы составляет  67122,0 тыс. рублей, из них средства: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федерального бюджета – 0,0 тыс. рублей </w:t>
      </w:r>
      <w:proofErr w:type="gramStart"/>
      <w:r w:rsidRPr="00F90CD5">
        <w:rPr>
          <w:sz w:val="18"/>
          <w:szCs w:val="18"/>
        </w:rPr>
        <w:t xml:space="preserve">( </w:t>
      </w:r>
      <w:proofErr w:type="gramEnd"/>
      <w:r w:rsidRPr="00F90CD5">
        <w:rPr>
          <w:sz w:val="18"/>
          <w:szCs w:val="18"/>
        </w:rPr>
        <w:t>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республиканского бюджета Чувашской Республики – 48348,0 тыс. рублей (72 процента);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–  18774,0 тыс. рублей </w:t>
      </w:r>
      <w:proofErr w:type="gramStart"/>
      <w:r w:rsidRPr="00F90CD5">
        <w:rPr>
          <w:sz w:val="18"/>
          <w:szCs w:val="18"/>
        </w:rPr>
        <w:t xml:space="preserve">( </w:t>
      </w:r>
      <w:proofErr w:type="gramEnd"/>
      <w:r w:rsidRPr="00F90CD5">
        <w:rPr>
          <w:sz w:val="18"/>
          <w:szCs w:val="18"/>
        </w:rPr>
        <w:t>28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внебюджетных источников – 0,0 тыс. рублей (0 процентов).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№ 1 к настоящей подпрограмме.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  <w:sectPr w:rsidR="00F90CD5" w:rsidRPr="00F90CD5" w:rsidSect="00654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№ 1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к подпрограмме «Социальное обеспечение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граждан»   Муниципальной программы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«Социальная поддержка граждан»             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Ресурсное обеспечение и прогнозная (справочная) оценка расходов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за счет всех источников финансирования реализации подпрограммы «Социальное обеспечение граждан»  Муниципальной программы </w:t>
      </w:r>
      <w:proofErr w:type="spellStart"/>
      <w:r w:rsidRPr="00F90CD5">
        <w:rPr>
          <w:b/>
          <w:sz w:val="18"/>
          <w:szCs w:val="18"/>
        </w:rPr>
        <w:t>Вурнарского</w:t>
      </w:r>
      <w:proofErr w:type="spellEnd"/>
      <w:r w:rsidRPr="00F90CD5">
        <w:rPr>
          <w:b/>
          <w:sz w:val="18"/>
          <w:szCs w:val="18"/>
        </w:rPr>
        <w:t xml:space="preserve"> муниципального округа Чувашской Республики 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134"/>
        <w:gridCol w:w="1276"/>
        <w:gridCol w:w="992"/>
        <w:gridCol w:w="993"/>
        <w:gridCol w:w="992"/>
        <w:gridCol w:w="1134"/>
        <w:gridCol w:w="1984"/>
        <w:gridCol w:w="236"/>
        <w:gridCol w:w="757"/>
        <w:gridCol w:w="992"/>
        <w:gridCol w:w="850"/>
        <w:gridCol w:w="1134"/>
      </w:tblGrid>
      <w:tr w:rsidR="00F90CD5" w:rsidRPr="00F90CD5" w:rsidTr="009D60BF">
        <w:trPr>
          <w:trHeight w:val="660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Статус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Наименование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подпрограммы муниципальной программы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муниципального округа Чувашской Республики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Код </w:t>
            </w:r>
            <w:hyperlink r:id="rId7" w:history="1">
              <w:r w:rsidRPr="00F90CD5">
                <w:rPr>
                  <w:rStyle w:val="ab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Источники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hyperlink r:id="rId8" w:history="1">
              <w:r w:rsidRPr="00F90CD5">
                <w:rPr>
                  <w:rStyle w:val="ab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2026-2030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13</w:t>
            </w:r>
          </w:p>
        </w:tc>
      </w:tr>
      <w:tr w:rsidR="00F90CD5" w:rsidRPr="00F90CD5" w:rsidTr="009D60BF">
        <w:trPr>
          <w:trHeight w:val="3962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«Социальное  обеспечение граждан»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</w:t>
            </w:r>
            <w:proofErr w:type="gramStart"/>
            <w:r w:rsidRPr="00F90CD5">
              <w:rPr>
                <w:sz w:val="18"/>
                <w:szCs w:val="18"/>
              </w:rPr>
              <w:t xml:space="preserve">соисполнители - отдел образования </w:t>
            </w:r>
            <w:r w:rsidRPr="00F90CD5">
              <w:rPr>
                <w:sz w:val="18"/>
                <w:szCs w:val="18"/>
              </w:rPr>
              <w:lastRenderedPageBreak/>
              <w:t xml:space="preserve">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управление по благоустройству и развитию территорий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</w:t>
            </w:r>
            <w:r w:rsidRPr="00F90CD5">
              <w:rPr>
                <w:sz w:val="18"/>
                <w:szCs w:val="18"/>
              </w:rPr>
              <w:lastRenderedPageBreak/>
              <w:t xml:space="preserve">муниципального округа, 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  <w:proofErr w:type="gramEnd"/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13424,4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13424,4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67122,0</w:t>
            </w:r>
          </w:p>
        </w:tc>
      </w:tr>
      <w:tr w:rsidR="00F90CD5" w:rsidRPr="00F90CD5" w:rsidTr="009D60BF">
        <w:trPr>
          <w:trHeight w:val="141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96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48348,0</w:t>
            </w:r>
          </w:p>
        </w:tc>
      </w:tr>
      <w:tr w:rsidR="00F90CD5" w:rsidRPr="00F90CD5" w:rsidTr="009D60BF">
        <w:trPr>
          <w:trHeight w:val="437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3754,8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18774,0</w:t>
            </w:r>
          </w:p>
        </w:tc>
      </w:tr>
      <w:tr w:rsidR="00F90CD5" w:rsidRPr="00F90CD5" w:rsidTr="009D60BF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985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соисполнители - отдел образования и молодежной политики администрации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 отдел </w:t>
            </w:r>
            <w:r w:rsidRPr="00F90CD5">
              <w:rPr>
                <w:sz w:val="18"/>
                <w:szCs w:val="18"/>
              </w:rPr>
              <w:lastRenderedPageBreak/>
              <w:t xml:space="preserve">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112979,4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12979,4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12979,4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64897,0</w:t>
            </w:r>
          </w:p>
        </w:tc>
      </w:tr>
      <w:tr w:rsidR="00F90CD5" w:rsidRPr="00F90CD5" w:rsidTr="009D60BF">
        <w:trPr>
          <w:trHeight w:val="1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59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48348,0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3309,8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3309,8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3309,8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16549,0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1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Доля </w:t>
            </w:r>
            <w:r w:rsidRPr="00F90CD5">
              <w:rPr>
                <w:iCs/>
                <w:sz w:val="18"/>
                <w:szCs w:val="18"/>
              </w:rPr>
              <w:t>граждан</w:t>
            </w:r>
            <w:r w:rsidRPr="00F90CD5">
              <w:rPr>
                <w:sz w:val="18"/>
                <w:szCs w:val="18"/>
              </w:rPr>
              <w:t xml:space="preserve">, получивших меры </w:t>
            </w:r>
            <w:r w:rsidRPr="00F90CD5">
              <w:rPr>
                <w:iCs/>
                <w:sz w:val="18"/>
                <w:szCs w:val="18"/>
              </w:rPr>
              <w:t>социальной</w:t>
            </w:r>
            <w:r w:rsidRPr="00F90CD5">
              <w:rPr>
                <w:sz w:val="18"/>
                <w:szCs w:val="18"/>
              </w:rPr>
              <w:t xml:space="preserve"> </w:t>
            </w:r>
            <w:r w:rsidRPr="00F90CD5">
              <w:rPr>
                <w:iCs/>
                <w:sz w:val="18"/>
                <w:szCs w:val="18"/>
              </w:rPr>
              <w:t>поддержки</w:t>
            </w:r>
            <w:r w:rsidRPr="00F90CD5">
              <w:rPr>
                <w:sz w:val="18"/>
                <w:szCs w:val="18"/>
              </w:rPr>
              <w:t xml:space="preserve"> (оплата жилищно-коммунальных услуг, материальная помощь гражданам, оказавшимся в трудной жизненной ситуации) от общего числа обратившихся </w:t>
            </w:r>
            <w:r w:rsidRPr="00F90CD5">
              <w:rPr>
                <w:iCs/>
                <w:sz w:val="18"/>
                <w:szCs w:val="18"/>
              </w:rPr>
              <w:t>граждан</w:t>
            </w:r>
            <w:r w:rsidRPr="00F90CD5">
              <w:rPr>
                <w:sz w:val="18"/>
                <w:szCs w:val="18"/>
              </w:rPr>
              <w:t>, имеющих такое прав</w:t>
            </w:r>
            <w:proofErr w:type="gramStart"/>
            <w:r w:rsidRPr="00F90CD5">
              <w:rPr>
                <w:sz w:val="18"/>
                <w:szCs w:val="18"/>
              </w:rPr>
              <w:t>о(</w:t>
            </w:r>
            <w:proofErr w:type="gramEnd"/>
            <w:r w:rsidRPr="00F90CD5">
              <w:rPr>
                <w:sz w:val="18"/>
                <w:szCs w:val="18"/>
              </w:rPr>
              <w:t>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</w:t>
            </w:r>
          </w:p>
        </w:tc>
      </w:tr>
      <w:tr w:rsidR="00F90CD5" w:rsidRPr="00F90CD5" w:rsidTr="009D60BF">
        <w:trPr>
          <w:trHeight w:val="165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Количество гражда</w:t>
            </w:r>
            <w:proofErr w:type="gramStart"/>
            <w:r w:rsidRPr="00F90CD5">
              <w:rPr>
                <w:sz w:val="18"/>
                <w:szCs w:val="18"/>
              </w:rPr>
              <w:t>н(</w:t>
            </w:r>
            <w:proofErr w:type="gramEnd"/>
            <w:r w:rsidRPr="00F90CD5">
              <w:rPr>
                <w:sz w:val="18"/>
                <w:szCs w:val="18"/>
              </w:rPr>
              <w:t>молодых специалистов), получающих социальную выплату(человек)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</w:tr>
      <w:tr w:rsidR="00F90CD5" w:rsidRPr="00F90CD5" w:rsidTr="009D60BF">
        <w:trPr>
          <w:trHeight w:val="525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Мероприятие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</w:t>
            </w:r>
            <w:r w:rsidRPr="00F90CD5">
              <w:rPr>
                <w:sz w:val="18"/>
                <w:szCs w:val="18"/>
              </w:rPr>
              <w:lastRenderedPageBreak/>
              <w:t xml:space="preserve">ого округа; соисполнители - отдел образования 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974,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Ц310110550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9669,6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9669,6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9669,6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48348,0</w:t>
            </w:r>
          </w:p>
        </w:tc>
      </w:tr>
      <w:tr w:rsidR="00F90CD5" w:rsidRPr="00F90CD5" w:rsidTr="009D60BF">
        <w:trPr>
          <w:trHeight w:val="45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5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974,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Ц310110550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9669,6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9669,6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9669,6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48348,0</w:t>
            </w:r>
          </w:p>
        </w:tc>
      </w:tr>
      <w:tr w:rsidR="00F90CD5" w:rsidRPr="00F90CD5" w:rsidTr="009D60BF">
        <w:trPr>
          <w:trHeight w:val="60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64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435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Мероприятие 1.2.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Оказание материальной помощи гражданам, </w:t>
            </w:r>
            <w:proofErr w:type="gramStart"/>
            <w:r w:rsidRPr="00F90CD5">
              <w:rPr>
                <w:sz w:val="18"/>
                <w:szCs w:val="18"/>
              </w:rPr>
              <w:t>находящихся</w:t>
            </w:r>
            <w:proofErr w:type="gramEnd"/>
            <w:r w:rsidRPr="00F90CD5">
              <w:rPr>
                <w:sz w:val="18"/>
                <w:szCs w:val="18"/>
              </w:rPr>
              <w:t xml:space="preserve"> в трудной жизненной ситуации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соисполнители - 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Ц310110610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244,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809,8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809,8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809,8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4049,0</w:t>
            </w:r>
          </w:p>
        </w:tc>
      </w:tr>
      <w:tr w:rsidR="00F90CD5" w:rsidRPr="00F90CD5" w:rsidTr="009D60BF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37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42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Ц310110610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244,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809,8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809,8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809,8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4049,0</w:t>
            </w:r>
          </w:p>
        </w:tc>
      </w:tr>
      <w:tr w:rsidR="00F90CD5" w:rsidRPr="00F90CD5" w:rsidTr="009D60BF">
        <w:trPr>
          <w:trHeight w:val="37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369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Мероприятие 1.3.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 xml:space="preserve">Оказание материальной помощи отдельным </w:t>
            </w:r>
            <w:r w:rsidRPr="00F90CD5">
              <w:rPr>
                <w:sz w:val="18"/>
                <w:szCs w:val="18"/>
              </w:rPr>
              <w:lastRenderedPageBreak/>
              <w:t>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 xml:space="preserve">системы мер социальной </w:t>
            </w:r>
            <w:r w:rsidRPr="00F90CD5">
              <w:rPr>
                <w:sz w:val="18"/>
                <w:szCs w:val="18"/>
              </w:rPr>
              <w:lastRenderedPageBreak/>
              <w:t>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</w:t>
            </w:r>
            <w:r w:rsidRPr="00F90CD5">
              <w:rPr>
                <w:sz w:val="18"/>
                <w:szCs w:val="18"/>
              </w:rPr>
              <w:lastRenderedPageBreak/>
              <w:t xml:space="preserve">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соисполнители - отдел образования и молодежной политики администрации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 отдел 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Ц310170510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12500,0</w:t>
            </w:r>
          </w:p>
        </w:tc>
      </w:tr>
      <w:tr w:rsidR="00F90CD5" w:rsidRPr="00F90CD5" w:rsidTr="009D60BF">
        <w:trPr>
          <w:trHeight w:val="12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</w:tr>
      <w:tr w:rsidR="00F90CD5" w:rsidRPr="00F90CD5" w:rsidTr="009D60BF">
        <w:trPr>
          <w:trHeight w:val="36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36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Ц310170510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12500,0</w:t>
            </w:r>
          </w:p>
        </w:tc>
      </w:tr>
      <w:tr w:rsidR="00F90CD5" w:rsidRPr="00F90CD5" w:rsidTr="009D60BF">
        <w:trPr>
          <w:trHeight w:val="116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843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Создание благоприятных условий жизнедеятельности ветеранам, </w:t>
            </w:r>
            <w:r w:rsidRPr="00F90CD5">
              <w:rPr>
                <w:sz w:val="18"/>
                <w:szCs w:val="18"/>
              </w:rPr>
              <w:lastRenderedPageBreak/>
              <w:t>гражданам пожилого возраста, инвалидам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 xml:space="preserve">системы мер социальной поддержки отдельных </w:t>
            </w:r>
            <w:r w:rsidRPr="00F90CD5">
              <w:rPr>
                <w:sz w:val="18"/>
                <w:szCs w:val="18"/>
              </w:rPr>
              <w:lastRenderedPageBreak/>
              <w:t>категорий граждан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</w:t>
            </w:r>
            <w:r w:rsidRPr="00F90CD5">
              <w:rPr>
                <w:sz w:val="18"/>
                <w:szCs w:val="18"/>
              </w:rPr>
              <w:lastRenderedPageBreak/>
              <w:t xml:space="preserve">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</w:t>
            </w:r>
            <w:proofErr w:type="gramStart"/>
            <w:r w:rsidRPr="00F90CD5">
              <w:rPr>
                <w:sz w:val="18"/>
                <w:szCs w:val="18"/>
              </w:rPr>
              <w:t xml:space="preserve">соисполнители - отдел образования 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организационной, кадровой и юридической работы администрац</w:t>
            </w:r>
            <w:r w:rsidRPr="00F90CD5">
              <w:rPr>
                <w:sz w:val="18"/>
                <w:szCs w:val="18"/>
              </w:rPr>
              <w:lastRenderedPageBreak/>
              <w:t xml:space="preserve">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управление по благоустройству и развитию территорий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  <w:proofErr w:type="gramEnd"/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2225,0</w:t>
            </w:r>
          </w:p>
        </w:tc>
      </w:tr>
      <w:tr w:rsidR="00F90CD5" w:rsidRPr="00F90CD5" w:rsidTr="009D60BF">
        <w:trPr>
          <w:trHeight w:val="417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982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2225,0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1692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Увеличение количества публикаций и сюжетов в средствах массовой информации о мероприятиях социальной направленности и мерах социальной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105</w:t>
            </w:r>
          </w:p>
        </w:tc>
      </w:tr>
      <w:tr w:rsidR="00F90CD5" w:rsidRPr="00F90CD5" w:rsidTr="009D60BF">
        <w:trPr>
          <w:trHeight w:val="2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Количество мероприятий по созданию благоприятных условий жизнедеятельности ветеранов и граждан пожилого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</w:t>
            </w:r>
          </w:p>
        </w:tc>
      </w:tr>
      <w:tr w:rsidR="00F90CD5" w:rsidRPr="00F90CD5" w:rsidTr="009D60BF">
        <w:trPr>
          <w:trHeight w:val="330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Мероприятие 2.1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Проведение мероприятий, связанных с празднованием годовщины Победы в Великой Отечественной войне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</w:t>
            </w:r>
            <w:proofErr w:type="gramStart"/>
            <w:r w:rsidRPr="00F90CD5">
              <w:rPr>
                <w:sz w:val="18"/>
                <w:szCs w:val="18"/>
              </w:rPr>
              <w:t xml:space="preserve">соисполнители - отдел образования 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</w:t>
            </w:r>
            <w:r w:rsidRPr="00F90CD5">
              <w:rPr>
                <w:sz w:val="18"/>
                <w:szCs w:val="18"/>
              </w:rPr>
              <w:lastRenderedPageBreak/>
              <w:t xml:space="preserve">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управление по благоустройству и развитию территорий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Ц310510640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1575,0</w:t>
            </w:r>
          </w:p>
        </w:tc>
      </w:tr>
      <w:tr w:rsidR="00F90CD5" w:rsidRPr="00F90CD5" w:rsidTr="009D60BF">
        <w:trPr>
          <w:trHeight w:val="36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73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30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Ц310510640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315,0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315,0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1575,0</w:t>
            </w:r>
          </w:p>
        </w:tc>
      </w:tr>
      <w:tr w:rsidR="00F90CD5" w:rsidRPr="00F90CD5" w:rsidTr="009D60BF">
        <w:trPr>
          <w:trHeight w:val="810"/>
        </w:trPr>
        <w:tc>
          <w:tcPr>
            <w:tcW w:w="95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rPr>
          <w:trHeight w:val="8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489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F90CD5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proofErr w:type="gramStart"/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соисполните</w:t>
            </w:r>
            <w:r w:rsidRPr="00F90CD5">
              <w:rPr>
                <w:sz w:val="18"/>
                <w:szCs w:val="18"/>
              </w:rPr>
              <w:lastRenderedPageBreak/>
              <w:t xml:space="preserve">ли - финансовый отдел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Ц310574810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650,0</w:t>
            </w:r>
          </w:p>
        </w:tc>
      </w:tr>
      <w:tr w:rsidR="00F90CD5" w:rsidRPr="00F90CD5" w:rsidTr="009D60BF">
        <w:trPr>
          <w:trHeight w:val="60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34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Ц310574810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650,0</w:t>
            </w:r>
          </w:p>
        </w:tc>
      </w:tr>
      <w:tr w:rsidR="00F90CD5" w:rsidRPr="00F90CD5" w:rsidTr="009D60BF">
        <w:trPr>
          <w:trHeight w:val="62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 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sz w:val="18"/>
          <w:szCs w:val="18"/>
          <w:lang w:val="en-US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  <w:lang w:val="en-US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  <w:sectPr w:rsidR="00F90CD5" w:rsidRPr="00F90CD5" w:rsidSect="00752D1E">
          <w:pgSz w:w="16838" w:h="11906" w:orient="landscape"/>
          <w:pgMar w:top="851" w:right="962" w:bottom="850" w:left="1134" w:header="708" w:footer="708" w:gutter="0"/>
          <w:cols w:space="708"/>
          <w:docGrid w:linePitch="360"/>
        </w:sect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>Приложение № 4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к Муниципальной программе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П о д п р о г р а м </w:t>
      </w:r>
      <w:proofErr w:type="spellStart"/>
      <w:proofErr w:type="gramStart"/>
      <w:r w:rsidRPr="00F90CD5">
        <w:rPr>
          <w:b/>
          <w:sz w:val="18"/>
          <w:szCs w:val="18"/>
        </w:rPr>
        <w:t>м</w:t>
      </w:r>
      <w:proofErr w:type="spellEnd"/>
      <w:proofErr w:type="gramEnd"/>
      <w:r w:rsidRPr="00F90CD5">
        <w:rPr>
          <w:b/>
          <w:sz w:val="18"/>
          <w:szCs w:val="18"/>
        </w:rPr>
        <w:t xml:space="preserve"> а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«Поддержка социально ориентированных некоммерческих организаций» муниципальной программы </w:t>
      </w:r>
      <w:proofErr w:type="spellStart"/>
      <w:r w:rsidRPr="00F90CD5">
        <w:rPr>
          <w:b/>
          <w:sz w:val="18"/>
          <w:szCs w:val="18"/>
        </w:rPr>
        <w:t>Вурнарского</w:t>
      </w:r>
      <w:proofErr w:type="spellEnd"/>
      <w:r w:rsidRPr="00F90CD5">
        <w:rPr>
          <w:b/>
          <w:sz w:val="18"/>
          <w:szCs w:val="18"/>
        </w:rPr>
        <w:t xml:space="preserve"> муниципального округа Чувашской Республики 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Паспорт подпрограммы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образования 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уровня жизни граждан – получателей мер социальной поддержки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обеспечение расширения участия граждан в благотворительной и добровольческой (волонтерской) деятельности, решение приоритетных задач в социальной сфере за счет использования потенциала некоммерческих организаций в социальной сфере.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достижение к 2030 году следующих целевых индикаторов и показателей: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увеличение количества зарегистрированных на территории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 благотворительных организаций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2023–2030 годы: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 этап – 2023 – 2025 годы;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 этап – 2026 – 2030 годы;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прогнозируемые объемы </w:t>
            </w:r>
            <w:proofErr w:type="gramStart"/>
            <w:r w:rsidRPr="00F90CD5">
              <w:rPr>
                <w:sz w:val="18"/>
                <w:szCs w:val="18"/>
              </w:rPr>
              <w:t>финансирования реализации мероприятий подпрограммы Муниципальной программы</w:t>
            </w:r>
            <w:proofErr w:type="gramEnd"/>
            <w:r w:rsidRPr="00F90CD5">
              <w:rPr>
                <w:sz w:val="18"/>
                <w:szCs w:val="18"/>
              </w:rPr>
              <w:t xml:space="preserve"> на 2023–2035 годы составляют   0,0 тыс. рублей, в том числе за счет средств: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федерального бюджета – 0,0 тыс. рублей (0 процентов),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 – 2030 годах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республиканского бюджета Чувашской Республики –0,0 тыс. рублей (0 процентов),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 – 2030 годах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бюджета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– 0,0 тыс. рублей (0 процентов),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–0,0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 – 2030 годах –0,0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внебюджетных источников – 0,0 тыс. рублей (0 процентов), в том числе: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2023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2024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2025 году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2026 – 2030 годах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 2031 – 2035 годах – 0,0 тыс. рублей;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 xml:space="preserve">Объемы и источники финансирования Муниципальной подпрограммы уточняются при формировании бюджета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на очередной финансовый год и плановый период.</w:t>
            </w:r>
          </w:p>
        </w:tc>
      </w:tr>
      <w:tr w:rsidR="00F90CD5" w:rsidRPr="00F90CD5" w:rsidTr="009D60BF">
        <w:tc>
          <w:tcPr>
            <w:tcW w:w="166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увеличение объемов социальных услуг, оказываемых социально ориентированными некоммерческими организациями.</w:t>
            </w: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b/>
          <w:bCs/>
          <w:sz w:val="18"/>
          <w:szCs w:val="18"/>
        </w:rPr>
      </w:pPr>
      <w:r w:rsidRPr="00F90CD5">
        <w:rPr>
          <w:b/>
          <w:bCs/>
          <w:sz w:val="18"/>
          <w:szCs w:val="18"/>
        </w:rPr>
        <w:t>Раздел I. Приоритеты и цели подпрограммы, общая характеристика участия органов местного самоуправления муниципальных районов в реализации подпрограммы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</w:t>
      </w:r>
      <w:hyperlink r:id="rId9" w:anchor="/document/10105879/entry/0" w:history="1">
        <w:r w:rsidRPr="00F90CD5">
          <w:rPr>
            <w:rStyle w:val="ab"/>
            <w:sz w:val="18"/>
            <w:szCs w:val="18"/>
          </w:rPr>
          <w:t>Федеральным законом</w:t>
        </w:r>
      </w:hyperlink>
      <w:r w:rsidRPr="00F90CD5">
        <w:rPr>
          <w:sz w:val="18"/>
          <w:szCs w:val="18"/>
        </w:rPr>
        <w:t> от 12 января 1996 г. N 7-ФЗ "О некоммерческих организациях"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</w:t>
      </w:r>
      <w:proofErr w:type="gramStart"/>
      <w:r w:rsidRPr="00F90CD5">
        <w:rPr>
          <w:sz w:val="18"/>
          <w:szCs w:val="18"/>
        </w:rPr>
        <w:t>В соответствии с </w:t>
      </w:r>
      <w:hyperlink r:id="rId10" w:anchor="/document/12117177/entry/2630291" w:history="1">
        <w:r w:rsidRPr="00F90CD5">
          <w:rPr>
            <w:rStyle w:val="ab"/>
            <w:sz w:val="18"/>
            <w:szCs w:val="18"/>
          </w:rPr>
          <w:t>подпунктом 9.1 пункта 2 статьи 26.3</w:t>
        </w:r>
      </w:hyperlink>
      <w:r w:rsidRPr="00F90CD5">
        <w:rPr>
          <w:sz w:val="18"/>
          <w:szCs w:val="18"/>
        </w:rPr>
        <w:t> Федерального закона от 6 октября 1999 г.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</w:t>
      </w:r>
      <w:proofErr w:type="gramEnd"/>
      <w:r w:rsidRPr="00F90CD5">
        <w:rPr>
          <w:sz w:val="18"/>
          <w:szCs w:val="18"/>
        </w:rPr>
        <w:t xml:space="preserve"> бюджета), относится решение вопросов поддержки социально ориентированных некоммерческих организаций, благотворительной деятельности и добровольчества (</w:t>
      </w:r>
      <w:proofErr w:type="spellStart"/>
      <w:r w:rsidRPr="00F90CD5">
        <w:rPr>
          <w:sz w:val="18"/>
          <w:szCs w:val="18"/>
        </w:rPr>
        <w:t>волонтерства</w:t>
      </w:r>
      <w:proofErr w:type="spellEnd"/>
      <w:r w:rsidRPr="00F90CD5">
        <w:rPr>
          <w:sz w:val="18"/>
          <w:szCs w:val="18"/>
        </w:rPr>
        <w:t>), организации и осуществления региональных и межмуниципальных программ поддержки социально ориентированных некоммерческих организаций, благотворительной деятельности и добровольчества (</w:t>
      </w:r>
      <w:proofErr w:type="spellStart"/>
      <w:r w:rsidRPr="00F90CD5">
        <w:rPr>
          <w:sz w:val="18"/>
          <w:szCs w:val="18"/>
        </w:rPr>
        <w:t>волонтерства</w:t>
      </w:r>
      <w:proofErr w:type="spellEnd"/>
      <w:r w:rsidRPr="00F90CD5">
        <w:rPr>
          <w:sz w:val="18"/>
          <w:szCs w:val="18"/>
        </w:rPr>
        <w:t>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</w:t>
      </w:r>
      <w:hyperlink r:id="rId11" w:anchor="/document/17542917/entry/0" w:history="1">
        <w:r w:rsidRPr="00F90CD5">
          <w:rPr>
            <w:rStyle w:val="ab"/>
            <w:sz w:val="18"/>
            <w:szCs w:val="18"/>
          </w:rPr>
          <w:t>Законом</w:t>
        </w:r>
      </w:hyperlink>
      <w:r w:rsidRPr="00F90CD5">
        <w:rPr>
          <w:sz w:val="18"/>
          <w:szCs w:val="18"/>
        </w:rPr>
        <w:t xml:space="preserve"> Чувашской Республики от 15 сентября 2011 г. N 61 "О поддержке социально ориентированных некоммерческих организаций в Чувашской Республике" определены формы поддержки социально ориентированных некоммерческих организаций. </w:t>
      </w:r>
      <w:proofErr w:type="gramStart"/>
      <w:r w:rsidRPr="00F90CD5">
        <w:rPr>
          <w:sz w:val="18"/>
          <w:szCs w:val="18"/>
        </w:rPr>
        <w:t>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  <w:proofErr w:type="gramEnd"/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Самыми востребованными формами поддержки, наиболее отвечающими интересам некоммерческих организаций, являются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Чувашской Республике, информационная поддержка.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Основными целями подпрограммы являются: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активизация потенциала социально ориентированных некоммерческих организаций как ресурса социально-экономического развития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Достижению поставленных в подпрограмме целей способствует решение следующих задач: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обеспечение расширения участия граждан в благотворительной и добровольческой (волонтерской) деятельности;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решение приоритетных задач в социальной сфере за счет использования потенциала некоммерческих организаций в социальной сфере.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:rsidR="00F90CD5" w:rsidRPr="00F90CD5" w:rsidRDefault="00F90CD5" w:rsidP="00F90CD5">
      <w:pPr>
        <w:tabs>
          <w:tab w:val="left" w:pos="7545"/>
        </w:tabs>
        <w:rPr>
          <w:b/>
          <w:bCs/>
          <w:sz w:val="18"/>
          <w:szCs w:val="18"/>
        </w:rPr>
      </w:pPr>
      <w:r w:rsidRPr="00F90CD5">
        <w:rPr>
          <w:b/>
          <w:bCs/>
          <w:sz w:val="18"/>
          <w:szCs w:val="18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Целевыми индикаторами и показателями подпрограммы являются: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увеличение количества зарегистрированных на территории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благотворительных организаций.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В результате реализации мероприятий подпрограммы ожидается достижение к 2030 году следующих целевых индикаторов и показателей: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увеличение количества зарегистрированных на территории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 благотворительных организаций.</w:t>
      </w:r>
    </w:p>
    <w:p w:rsidR="00F90CD5" w:rsidRPr="00F90CD5" w:rsidRDefault="00F90CD5" w:rsidP="00F90CD5">
      <w:pPr>
        <w:tabs>
          <w:tab w:val="left" w:pos="7545"/>
        </w:tabs>
        <w:rPr>
          <w:b/>
          <w:bCs/>
          <w:sz w:val="18"/>
          <w:szCs w:val="18"/>
        </w:rPr>
      </w:pPr>
      <w:r w:rsidRPr="00F90CD5">
        <w:rPr>
          <w:b/>
          <w:bCs/>
          <w:sz w:val="18"/>
          <w:szCs w:val="18"/>
        </w:rPr>
        <w:t xml:space="preserve">       </w:t>
      </w:r>
    </w:p>
    <w:p w:rsidR="00F90CD5" w:rsidRPr="00F90CD5" w:rsidRDefault="00F90CD5" w:rsidP="00F90CD5">
      <w:pPr>
        <w:tabs>
          <w:tab w:val="left" w:pos="7545"/>
        </w:tabs>
        <w:rPr>
          <w:b/>
          <w:bCs/>
          <w:sz w:val="18"/>
          <w:szCs w:val="18"/>
        </w:rPr>
      </w:pPr>
      <w:r w:rsidRPr="00F90CD5">
        <w:rPr>
          <w:b/>
          <w:bCs/>
          <w:sz w:val="18"/>
          <w:szCs w:val="18"/>
        </w:rPr>
        <w:t xml:space="preserve">             Раздел III. Характеристики основных мероприятий, мероприятий подпрограммы с указанием сроков и этапов их реализации</w:t>
      </w:r>
    </w:p>
    <w:p w:rsidR="00F90CD5" w:rsidRPr="00F90CD5" w:rsidRDefault="00F90CD5" w:rsidP="00F90CD5">
      <w:pPr>
        <w:tabs>
          <w:tab w:val="left" w:pos="7545"/>
        </w:tabs>
        <w:rPr>
          <w:b/>
          <w:bCs/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Основные мероприятия подпрограммы направлены на реализацию поставленных целей и задач подпрограммы и муниципальной программы в целом и включают два основных мероприятия: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Основное мероприятие 1. Оказание имущественной поддержки.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включенного в перечень муниципального имущества 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Чувашской Республики, свободного от прав третьих ли</w:t>
      </w:r>
      <w:proofErr w:type="gramStart"/>
      <w:r w:rsidRPr="00F90CD5">
        <w:rPr>
          <w:sz w:val="18"/>
          <w:szCs w:val="18"/>
        </w:rPr>
        <w:t>ц(</w:t>
      </w:r>
      <w:proofErr w:type="gramEnd"/>
      <w:r w:rsidRPr="00F90CD5">
        <w:rPr>
          <w:sz w:val="18"/>
          <w:szCs w:val="18"/>
        </w:rPr>
        <w:t>за исключением имущественных прав некоммерческих организаций).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Основное мероприятие 2. Предоставление информационной поддержки.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Подпрограмма реализуется в период с 2023 по 2030 год в два этапа: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1 этап - 2023 - 2025 годы;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 xml:space="preserve">  2 этап - 2026 - 2030 годы;</w:t>
      </w:r>
    </w:p>
    <w:p w:rsidR="00F90CD5" w:rsidRPr="00F90CD5" w:rsidRDefault="00F90CD5" w:rsidP="00F90CD5">
      <w:pPr>
        <w:tabs>
          <w:tab w:val="left" w:pos="7545"/>
        </w:tabs>
        <w:rPr>
          <w:b/>
          <w:bCs/>
          <w:sz w:val="18"/>
          <w:szCs w:val="18"/>
        </w:rPr>
      </w:pPr>
      <w:r w:rsidRPr="00F90CD5">
        <w:rPr>
          <w:b/>
          <w:bCs/>
          <w:sz w:val="18"/>
          <w:szCs w:val="18"/>
        </w:rPr>
        <w:t>Раздел IV. Обоснование объема финансовых ресурсов, необходимых для реализации подпрограммы</w:t>
      </w:r>
      <w:r w:rsidRPr="00F90CD5">
        <w:rPr>
          <w:b/>
          <w:bCs/>
          <w:sz w:val="18"/>
          <w:szCs w:val="18"/>
        </w:rPr>
        <w:br/>
        <w:t>(с расшифровкой по источникам финансирования, по этапам и годам ее реализации)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Общий объем финансирования подпрограммы в 2023 –</w:t>
      </w:r>
      <w:r w:rsidRPr="00F90CD5">
        <w:rPr>
          <w:sz w:val="18"/>
          <w:szCs w:val="18"/>
        </w:rPr>
        <w:br/>
        <w:t>2030  годах составляет 0,00 тыс. рублей, в том числе за счет средств: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федерального бюджета – 0,0 тыс. рублей (0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республиканского бюджета Чувашской Республики –0,0 тыс. рублей (0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0,0 тыс. рублей (0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внебюджетных источников – 0,0 тыс. рублей (0 процентов).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Прогнозируемый объем финансирования подпрограммы на 1 этапе (2023–2025 годы) составляет 0,0 тыс. рублей,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0,0тыс.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из них средства: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федерального бюджета – 0,0 тыс. рублей (0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республиканского бюджета Чувашской Республики – 0,0 тыс. рублей (0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– 0,0 тыс. рублей (0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внебюджетных источников – 0,0 тыс. рублей (0 процентов), в том числе: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2023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2024 году – 0,0 тыс. рублей;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 2025 году – 0,0 тыс. рублей.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федерального бюджета – 0,0 тыс. рублей (0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республиканского бюджета Чувашской Республики – 0,0 тыс. рублей (0 процентов);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бюджета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– 0,0 тыс. рублей (0 процента);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внебюджетных источников – 0,0 тыс. рублей (0 процентов).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№ 1 к настоящей подпрограмме.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  <w:sectPr w:rsidR="00F90CD5" w:rsidRPr="00F90CD5" w:rsidSect="00C2481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90CD5" w:rsidRDefault="00F90CD5" w:rsidP="00F90CD5">
      <w:pPr>
        <w:tabs>
          <w:tab w:val="left" w:pos="7545"/>
        </w:tabs>
        <w:rPr>
          <w:sz w:val="18"/>
          <w:szCs w:val="18"/>
        </w:rPr>
        <w:sectPr w:rsidR="00F90CD5" w:rsidSect="005B3657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  <w:r w:rsidRPr="00F90CD5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bookmarkStart w:id="5" w:name="_GoBack"/>
      <w:bookmarkEnd w:id="5"/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lastRenderedPageBreak/>
        <w:t>Приложение № 1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к подпрограмме «Поддержка социально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ориентированных некоммерческих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организаций» Муниципальной программы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</w:t>
      </w:r>
      <w:proofErr w:type="spellStart"/>
      <w:r w:rsidRPr="00F90CD5">
        <w:rPr>
          <w:sz w:val="18"/>
          <w:szCs w:val="18"/>
        </w:rPr>
        <w:t>Вурнарского</w:t>
      </w:r>
      <w:proofErr w:type="spellEnd"/>
      <w:r w:rsidRPr="00F90CD5">
        <w:rPr>
          <w:sz w:val="18"/>
          <w:szCs w:val="18"/>
        </w:rPr>
        <w:t xml:space="preserve"> муниципального округа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«Социальная поддержка граждан»             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  <w:r w:rsidRPr="00F90CD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Ресурсное обеспечение и прогнозная (справочная) оценка расходов 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  <w:r w:rsidRPr="00F90CD5">
        <w:rPr>
          <w:b/>
          <w:sz w:val="18"/>
          <w:szCs w:val="18"/>
        </w:rPr>
        <w:t xml:space="preserve">за счет всех источников финансирования реализации подпрограммы «Поддержка социально ориентированных некоммерческих организаций»  Муниципальной программы </w:t>
      </w:r>
      <w:proofErr w:type="spellStart"/>
      <w:r w:rsidRPr="00F90CD5">
        <w:rPr>
          <w:b/>
          <w:sz w:val="18"/>
          <w:szCs w:val="18"/>
        </w:rPr>
        <w:t>Вурнарского</w:t>
      </w:r>
      <w:proofErr w:type="spellEnd"/>
      <w:r w:rsidRPr="00F90CD5">
        <w:rPr>
          <w:b/>
          <w:sz w:val="18"/>
          <w:szCs w:val="18"/>
        </w:rPr>
        <w:t xml:space="preserve"> муниципального округа Чувашской Республики «Социальная поддержка граждан»</w:t>
      </w:r>
    </w:p>
    <w:p w:rsidR="00F90CD5" w:rsidRPr="00F90CD5" w:rsidRDefault="00F90CD5" w:rsidP="00F90CD5">
      <w:pPr>
        <w:tabs>
          <w:tab w:val="left" w:pos="7545"/>
        </w:tabs>
        <w:rPr>
          <w:b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134"/>
        <w:gridCol w:w="1276"/>
        <w:gridCol w:w="992"/>
        <w:gridCol w:w="993"/>
        <w:gridCol w:w="992"/>
        <w:gridCol w:w="1134"/>
        <w:gridCol w:w="1984"/>
        <w:gridCol w:w="236"/>
        <w:gridCol w:w="757"/>
        <w:gridCol w:w="992"/>
        <w:gridCol w:w="850"/>
        <w:gridCol w:w="1134"/>
      </w:tblGrid>
      <w:tr w:rsidR="00F90CD5" w:rsidRPr="00F90CD5" w:rsidTr="009D60BF">
        <w:trPr>
          <w:trHeight w:val="660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Статус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Наименование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подпрограммы муниципальной программы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муниципального округа Чувашской Республики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Код </w:t>
            </w:r>
            <w:hyperlink r:id="rId12" w:history="1">
              <w:r w:rsidRPr="00F90CD5">
                <w:rPr>
                  <w:rStyle w:val="ab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Источники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hyperlink r:id="rId13" w:history="1">
              <w:r w:rsidRPr="00F90CD5">
                <w:rPr>
                  <w:rStyle w:val="ab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2026-2030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13</w:t>
            </w:r>
          </w:p>
        </w:tc>
      </w:tr>
      <w:tr w:rsidR="00F90CD5" w:rsidRPr="00F90CD5" w:rsidTr="009D60BF">
        <w:trPr>
          <w:trHeight w:val="3962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уровня жизни граждан – получателей мер социальной поддержки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proofErr w:type="gramStart"/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соисполнители - отдел образования 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</w:t>
            </w:r>
            <w:r w:rsidRPr="00F90CD5">
              <w:rPr>
                <w:sz w:val="18"/>
                <w:szCs w:val="18"/>
              </w:rPr>
              <w:lastRenderedPageBreak/>
              <w:t xml:space="preserve">ого округа, отдел организационной, 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  <w:proofErr w:type="gramEnd"/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141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96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437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985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Оказание имущественной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уровня жизни граждан – получателей мер социальной поддержки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</w:t>
            </w:r>
            <w:r w:rsidRPr="00F90CD5">
              <w:rPr>
                <w:sz w:val="18"/>
                <w:szCs w:val="18"/>
              </w:rPr>
              <w:lastRenderedPageBreak/>
              <w:t xml:space="preserve">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соисполнители - отдел образования и молодежной политики администрации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экономики, инвестиционной деятельности, земельных и имущественных отношений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       0,0</w:t>
            </w:r>
          </w:p>
        </w:tc>
      </w:tr>
      <w:tr w:rsidR="00F90CD5" w:rsidRPr="00F90CD5" w:rsidTr="009D60BF">
        <w:trPr>
          <w:trHeight w:val="420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59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  <w:lang w:val="en-US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3030"/>
        </w:trPr>
        <w:tc>
          <w:tcPr>
            <w:tcW w:w="959" w:type="dxa"/>
            <w:tcBorders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Увеличение количества зарегистрированных на территории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 благотворительных организаций (единиц)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  <w:tr w:rsidR="00F90CD5" w:rsidRPr="00F90CD5" w:rsidTr="009D60BF">
        <w:trPr>
          <w:trHeight w:val="843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Предоставление информационной поддержки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повышение уровня жизни граждан – получателей мер социальной поддержки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Ответственный исполнитель-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округа; соисполнители - отдел образования и молодежной политики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организационной, </w:t>
            </w:r>
            <w:r w:rsidRPr="00F90CD5">
              <w:rPr>
                <w:sz w:val="18"/>
                <w:szCs w:val="18"/>
              </w:rPr>
              <w:lastRenderedPageBreak/>
              <w:t xml:space="preserve">кадровой и юридической работы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округа, отдел цифрового развития и информационных технологий администрации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b/>
                <w:sz w:val="18"/>
                <w:szCs w:val="18"/>
              </w:rPr>
            </w:pPr>
            <w:r w:rsidRPr="00F90CD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417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республиканский бюд</w:t>
            </w:r>
            <w:r w:rsidRPr="00F90CD5">
              <w:rPr>
                <w:sz w:val="18"/>
                <w:szCs w:val="18"/>
              </w:rPr>
              <w:softHyphen/>
              <w:t>жет Чувашской Республики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982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бюджет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141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0,0</w:t>
            </w:r>
          </w:p>
        </w:tc>
      </w:tr>
      <w:tr w:rsidR="00F90CD5" w:rsidRPr="00F90CD5" w:rsidTr="009D60BF">
        <w:trPr>
          <w:trHeight w:val="2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 xml:space="preserve">Увеличение количества зарегистрированных на территории </w:t>
            </w:r>
            <w:proofErr w:type="spellStart"/>
            <w:r w:rsidRPr="00F90CD5">
              <w:rPr>
                <w:sz w:val="18"/>
                <w:szCs w:val="18"/>
              </w:rPr>
              <w:t>Вурнарского</w:t>
            </w:r>
            <w:proofErr w:type="spellEnd"/>
            <w:r w:rsidRPr="00F90CD5">
              <w:rPr>
                <w:sz w:val="18"/>
                <w:szCs w:val="18"/>
              </w:rPr>
              <w:t xml:space="preserve"> муниципального округа Чувашской Республики благотворительных организаций (единиц)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0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  <w:r w:rsidRPr="00F90CD5">
              <w:rPr>
                <w:sz w:val="18"/>
                <w:szCs w:val="18"/>
              </w:rPr>
              <w:t>1</w:t>
            </w: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  <w:p w:rsidR="00F90CD5" w:rsidRPr="00F90CD5" w:rsidRDefault="00F90CD5" w:rsidP="00F90CD5">
            <w:pPr>
              <w:tabs>
                <w:tab w:val="left" w:pos="7545"/>
              </w:tabs>
              <w:rPr>
                <w:sz w:val="18"/>
                <w:szCs w:val="18"/>
              </w:rPr>
            </w:pPr>
          </w:p>
        </w:tc>
      </w:tr>
    </w:tbl>
    <w:p w:rsidR="00F90CD5" w:rsidRPr="00F90CD5" w:rsidRDefault="00F90CD5" w:rsidP="00F90CD5">
      <w:pPr>
        <w:tabs>
          <w:tab w:val="left" w:pos="7545"/>
        </w:tabs>
        <w:rPr>
          <w:sz w:val="18"/>
          <w:szCs w:val="18"/>
        </w:rPr>
      </w:pP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F90CD5" w:rsidRPr="003F65EC" w:rsidRDefault="00F90CD5" w:rsidP="005B3657">
      <w:pPr>
        <w:tabs>
          <w:tab w:val="left" w:pos="7545"/>
        </w:tabs>
        <w:rPr>
          <w:sz w:val="18"/>
          <w:szCs w:val="18"/>
        </w:rPr>
      </w:pPr>
    </w:p>
    <w:p w:rsidR="00917B64" w:rsidRDefault="00917B64"/>
    <w:sectPr w:rsidR="00917B64" w:rsidSect="00F90CD5">
      <w:pgSz w:w="16838" w:h="11906" w:orient="landscape"/>
      <w:pgMar w:top="1701" w:right="249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57"/>
    <w:rsid w:val="005B3657"/>
    <w:rsid w:val="00917B64"/>
    <w:rsid w:val="00CC5A59"/>
    <w:rsid w:val="00DB6231"/>
    <w:rsid w:val="00F90CD5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36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365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5B365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B3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5B3657"/>
    <w:rPr>
      <w:color w:val="106BBE"/>
    </w:rPr>
  </w:style>
  <w:style w:type="paragraph" w:customStyle="1" w:styleId="a6">
    <w:name w:val="Нормальный (таблица)"/>
    <w:basedOn w:val="a"/>
    <w:next w:val="a"/>
    <w:rsid w:val="005B365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rsid w:val="005B36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5B3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6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rsid w:val="00F90CD5"/>
    <w:rPr>
      <w:b/>
      <w:color w:val="26282F"/>
    </w:rPr>
  </w:style>
  <w:style w:type="character" w:styleId="ab">
    <w:name w:val="Hyperlink"/>
    <w:basedOn w:val="a0"/>
    <w:uiPriority w:val="99"/>
    <w:unhideWhenUsed/>
    <w:rsid w:val="00F90CD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0CD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9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9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d">
    <w:name w:val="Table Grid"/>
    <w:basedOn w:val="a1"/>
    <w:uiPriority w:val="59"/>
    <w:rsid w:val="00F9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90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F90C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F90CD5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F90CD5"/>
    <w:pPr>
      <w:spacing w:after="75"/>
    </w:pPr>
  </w:style>
  <w:style w:type="paragraph" w:customStyle="1" w:styleId="s3">
    <w:name w:val="s_3"/>
    <w:basedOn w:val="a"/>
    <w:rsid w:val="00F90CD5"/>
    <w:pPr>
      <w:spacing w:before="100" w:beforeAutospacing="1" w:after="100" w:afterAutospacing="1"/>
    </w:pPr>
  </w:style>
  <w:style w:type="paragraph" w:customStyle="1" w:styleId="s1">
    <w:name w:val="s_1"/>
    <w:basedOn w:val="a"/>
    <w:rsid w:val="00F90C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36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365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5B365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B3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5B3657"/>
    <w:rPr>
      <w:color w:val="106BBE"/>
    </w:rPr>
  </w:style>
  <w:style w:type="paragraph" w:customStyle="1" w:styleId="a6">
    <w:name w:val="Нормальный (таблица)"/>
    <w:basedOn w:val="a"/>
    <w:next w:val="a"/>
    <w:rsid w:val="005B365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rsid w:val="005B36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5B36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6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rsid w:val="00F90CD5"/>
    <w:rPr>
      <w:b/>
      <w:color w:val="26282F"/>
    </w:rPr>
  </w:style>
  <w:style w:type="character" w:styleId="ab">
    <w:name w:val="Hyperlink"/>
    <w:basedOn w:val="a0"/>
    <w:uiPriority w:val="99"/>
    <w:unhideWhenUsed/>
    <w:rsid w:val="00F90CD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0CD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9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9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d">
    <w:name w:val="Table Grid"/>
    <w:basedOn w:val="a1"/>
    <w:uiPriority w:val="59"/>
    <w:rsid w:val="00F9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90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F90C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F90CD5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F90CD5"/>
    <w:pPr>
      <w:spacing w:after="75"/>
    </w:pPr>
  </w:style>
  <w:style w:type="paragraph" w:customStyle="1" w:styleId="s3">
    <w:name w:val="s_3"/>
    <w:basedOn w:val="a"/>
    <w:rsid w:val="00F90CD5"/>
    <w:pPr>
      <w:spacing w:before="100" w:beforeAutospacing="1" w:after="100" w:afterAutospacing="1"/>
    </w:pPr>
  </w:style>
  <w:style w:type="paragraph" w:customStyle="1" w:styleId="s1">
    <w:name w:val="s_1"/>
    <w:basedOn w:val="a"/>
    <w:rsid w:val="00F90C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1871578&amp;sub=16000" TargetMode="External"/><Relationship Id="rId13" Type="http://schemas.openxmlformats.org/officeDocument/2006/relationships/hyperlink" Target="http://mobileonline.garant.ru/document?id=71871578&amp;sub=16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1871578&amp;sub=1000" TargetMode="External"/><Relationship Id="rId12" Type="http://schemas.openxmlformats.org/officeDocument/2006/relationships/hyperlink" Target="http://mobileonline.garant.ru/document?id=71871578&amp;sub=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ur_culture@cap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9703</Words>
  <Characters>55308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vur_soc</dc:creator>
  <cp:lastModifiedBy>Константинова Алена Николаевна</cp:lastModifiedBy>
  <cp:revision>3</cp:revision>
  <dcterms:created xsi:type="dcterms:W3CDTF">2023-02-27T06:58:00Z</dcterms:created>
  <dcterms:modified xsi:type="dcterms:W3CDTF">2023-02-27T06:59:00Z</dcterms:modified>
</cp:coreProperties>
</file>