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5F2C40" w:rsidRPr="007F4EBE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</w:t>
            </w:r>
            <w:r w:rsidR="008C066F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МУНИЦИПАЛИТЕТ</w:t>
            </w:r>
          </w:p>
          <w:p w:rsidR="005F2C40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="00130F9A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5A3428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  <w:r w:rsidR="00655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  <w:r w:rsidR="004659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  <w:r w:rsidR="00BD097A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437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5A3428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07.05.2024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437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635"/>
      </w:tblGrid>
      <w:tr w:rsidR="00772A46" w:rsidRPr="00B75D55" w:rsidTr="00772A46">
        <w:tc>
          <w:tcPr>
            <w:tcW w:w="4219" w:type="dxa"/>
          </w:tcPr>
          <w:p w:rsidR="00772A46" w:rsidRPr="00B75D55" w:rsidRDefault="00772A46" w:rsidP="00B75D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Об утверждении проекта </w:t>
            </w:r>
            <w:r w:rsidR="00B75D55" w:rsidRPr="00B75D55">
              <w:rPr>
                <w:rFonts w:ascii="Times New Roman" w:hAnsi="Times New Roman"/>
                <w:bCs/>
                <w:sz w:val="24"/>
                <w:szCs w:val="24"/>
              </w:rPr>
              <w:t>планировки и проект</w:t>
            </w:r>
            <w:r w:rsidR="00B75D55">
              <w:rPr>
                <w:rFonts w:ascii="Times New Roman" w:hAnsi="Times New Roman"/>
                <w:bCs/>
                <w:sz w:val="24"/>
                <w:szCs w:val="24"/>
              </w:rPr>
              <w:t xml:space="preserve">а </w:t>
            </w:r>
            <w:r w:rsidR="00B75D55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 межевания территории земельного</w:t>
            </w:r>
            <w:r w:rsidR="00B75D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75D55" w:rsidRPr="00B75D55">
              <w:rPr>
                <w:rFonts w:ascii="Times New Roman" w:hAnsi="Times New Roman"/>
                <w:bCs/>
                <w:sz w:val="24"/>
                <w:szCs w:val="24"/>
              </w:rPr>
              <w:t>участка с кадастровым номером 21:10:160213:83, расположенного по</w:t>
            </w:r>
            <w:r w:rsidR="00B75D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75D55" w:rsidRPr="00B75D55">
              <w:rPr>
                <w:rFonts w:ascii="Times New Roman" w:hAnsi="Times New Roman"/>
                <w:bCs/>
                <w:sz w:val="24"/>
                <w:szCs w:val="24"/>
              </w:rPr>
              <w:t>адресу: Чувашская Республика - Чувашия, р-н Ибресинский, пгт.</w:t>
            </w:r>
            <w:r w:rsidR="00B75D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75D55" w:rsidRPr="00B75D55">
              <w:rPr>
                <w:rFonts w:ascii="Times New Roman" w:hAnsi="Times New Roman"/>
                <w:bCs/>
                <w:sz w:val="24"/>
                <w:szCs w:val="24"/>
              </w:rPr>
              <w:t>Ибреси, ул. Сельхозтехники</w:t>
            </w:r>
          </w:p>
        </w:tc>
        <w:tc>
          <w:tcPr>
            <w:tcW w:w="5635" w:type="dxa"/>
          </w:tcPr>
          <w:p w:rsidR="00772A46" w:rsidRPr="00B75D55" w:rsidRDefault="00772A46" w:rsidP="001D0460">
            <w:pPr>
              <w:widowControl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772A46" w:rsidRPr="00B75D55" w:rsidRDefault="00772A46" w:rsidP="001D0460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72A46" w:rsidRDefault="00772A46" w:rsidP="001D0460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2A46" w:rsidRDefault="00772A46" w:rsidP="001D0460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5A97" w:rsidRDefault="00B76F2D" w:rsidP="001E5A9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B76F2D">
        <w:rPr>
          <w:rFonts w:ascii="Times New Roman" w:hAnsi="Times New Roman"/>
          <w:bCs/>
          <w:sz w:val="24"/>
          <w:szCs w:val="24"/>
        </w:rPr>
        <w:t>В соответствии со статьей 42,43,45,46 Градостроительного кодекса Российской Федерации, Федеральным законом от 6 октября 2003 г. № 131-ФЗ «Об общих принципах организации местного самоуправления в Российской Федерации», Уставом Ибресинского муниципального округа, Генеральным планом Ибресинского муниципального округа, утвержденным решением Собрания депутатов Ибресинского муниципального округа Чувашской Республики от 27.12.2023 №20/2, Правилами землепользования и застройки Ибресинского муниципального округа Чувашской Республики, утвержденными решением Собрания</w:t>
      </w:r>
      <w:proofErr w:type="gramEnd"/>
      <w:r w:rsidRPr="00B76F2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B76F2D">
        <w:rPr>
          <w:rFonts w:ascii="Times New Roman" w:hAnsi="Times New Roman"/>
          <w:bCs/>
          <w:sz w:val="24"/>
          <w:szCs w:val="24"/>
        </w:rPr>
        <w:t>депутатов Ибресинского муниципального округа Чувашской Республики от 27.12.2023 №20/3,  административным регламентом администрации Ибресинского муниципального округа Чувашской Республики «Подготовка и утверждение документации по планировке территорий», утвержденным постановлением администрации Ибресинского муниципального округа Чувашской Республики от 02.05.2023 №468,</w:t>
      </w:r>
      <w:r w:rsidRPr="00E03697">
        <w:rPr>
          <w:rFonts w:ascii="Times New Roman" w:hAnsi="Times New Roman"/>
          <w:bCs/>
          <w:sz w:val="24"/>
          <w:szCs w:val="24"/>
        </w:rPr>
        <w:t xml:space="preserve"> постановлением администрации Ибресинского муниципального </w:t>
      </w:r>
      <w:r w:rsidR="00B75D55">
        <w:rPr>
          <w:rFonts w:ascii="Times New Roman" w:hAnsi="Times New Roman"/>
          <w:bCs/>
          <w:sz w:val="24"/>
          <w:szCs w:val="24"/>
        </w:rPr>
        <w:t>округа Чувашской Республики от 08</w:t>
      </w:r>
      <w:r w:rsidRPr="00E03697">
        <w:rPr>
          <w:rFonts w:ascii="Times New Roman" w:hAnsi="Times New Roman"/>
          <w:bCs/>
          <w:sz w:val="24"/>
          <w:szCs w:val="24"/>
        </w:rPr>
        <w:t>.0</w:t>
      </w:r>
      <w:r w:rsidR="00B75D55">
        <w:rPr>
          <w:rFonts w:ascii="Times New Roman" w:hAnsi="Times New Roman"/>
          <w:bCs/>
          <w:sz w:val="24"/>
          <w:szCs w:val="24"/>
        </w:rPr>
        <w:t>2</w:t>
      </w:r>
      <w:r w:rsidRPr="00E03697">
        <w:rPr>
          <w:rFonts w:ascii="Times New Roman" w:hAnsi="Times New Roman"/>
          <w:bCs/>
          <w:sz w:val="24"/>
          <w:szCs w:val="24"/>
        </w:rPr>
        <w:t>.202</w:t>
      </w:r>
      <w:r w:rsidR="0006634F" w:rsidRPr="00E03697">
        <w:rPr>
          <w:rFonts w:ascii="Times New Roman" w:hAnsi="Times New Roman"/>
          <w:bCs/>
          <w:sz w:val="24"/>
          <w:szCs w:val="24"/>
        </w:rPr>
        <w:t>4</w:t>
      </w:r>
      <w:r w:rsidRPr="00E03697">
        <w:rPr>
          <w:rFonts w:ascii="Times New Roman" w:hAnsi="Times New Roman"/>
          <w:bCs/>
          <w:sz w:val="24"/>
          <w:szCs w:val="24"/>
        </w:rPr>
        <w:t xml:space="preserve"> №</w:t>
      </w:r>
      <w:r w:rsidR="00B75D55">
        <w:rPr>
          <w:rFonts w:ascii="Times New Roman" w:hAnsi="Times New Roman"/>
          <w:bCs/>
          <w:sz w:val="24"/>
          <w:szCs w:val="24"/>
        </w:rPr>
        <w:t>133</w:t>
      </w:r>
      <w:r w:rsidRPr="00E03697">
        <w:rPr>
          <w:rFonts w:ascii="Times New Roman" w:hAnsi="Times New Roman"/>
          <w:bCs/>
          <w:sz w:val="24"/>
          <w:szCs w:val="24"/>
        </w:rPr>
        <w:t xml:space="preserve"> «</w:t>
      </w:r>
      <w:r w:rsidR="00B75D55">
        <w:rPr>
          <w:rFonts w:ascii="Times New Roman" w:eastAsia="Times New Roman" w:hAnsi="Times New Roman"/>
          <w:sz w:val="24"/>
          <w:szCs w:val="24"/>
          <w:lang w:eastAsia="ru-RU"/>
        </w:rPr>
        <w:t>О принятии решения о подготовке документации по планировке территории (проект межевания территории) в границах</w:t>
      </w:r>
      <w:proofErr w:type="gramEnd"/>
      <w:r w:rsidR="00B75D55">
        <w:rPr>
          <w:rFonts w:ascii="Times New Roman" w:eastAsia="Times New Roman" w:hAnsi="Times New Roman"/>
          <w:sz w:val="24"/>
          <w:szCs w:val="24"/>
          <w:lang w:eastAsia="ru-RU"/>
        </w:rPr>
        <w:t xml:space="preserve"> земельного участка с кадастровым номером 21:10:160213:83</w:t>
      </w:r>
      <w:r w:rsidRPr="00E03697">
        <w:rPr>
          <w:rFonts w:ascii="Times New Roman" w:hAnsi="Times New Roman"/>
          <w:bCs/>
          <w:sz w:val="24"/>
          <w:szCs w:val="24"/>
        </w:rPr>
        <w:t xml:space="preserve">",  протоколом  № </w:t>
      </w:r>
      <w:r w:rsidR="003D0E8E">
        <w:rPr>
          <w:rFonts w:ascii="Times New Roman" w:hAnsi="Times New Roman"/>
          <w:bCs/>
          <w:sz w:val="24"/>
          <w:szCs w:val="24"/>
        </w:rPr>
        <w:t>2</w:t>
      </w:r>
      <w:r w:rsidR="0006634F" w:rsidRPr="00E03697">
        <w:rPr>
          <w:rFonts w:ascii="Times New Roman" w:hAnsi="Times New Roman"/>
          <w:bCs/>
          <w:sz w:val="24"/>
          <w:szCs w:val="24"/>
        </w:rPr>
        <w:t xml:space="preserve"> от </w:t>
      </w:r>
      <w:r w:rsidR="001E5A97">
        <w:rPr>
          <w:rFonts w:ascii="Times New Roman" w:hAnsi="Times New Roman"/>
          <w:bCs/>
          <w:sz w:val="24"/>
          <w:szCs w:val="24"/>
        </w:rPr>
        <w:t>25</w:t>
      </w:r>
      <w:r w:rsidR="0006634F" w:rsidRPr="00E03697">
        <w:rPr>
          <w:rFonts w:ascii="Times New Roman" w:hAnsi="Times New Roman"/>
          <w:bCs/>
          <w:sz w:val="24"/>
          <w:szCs w:val="24"/>
        </w:rPr>
        <w:t>.</w:t>
      </w:r>
      <w:r w:rsidR="001E5A97">
        <w:rPr>
          <w:rFonts w:ascii="Times New Roman" w:hAnsi="Times New Roman"/>
          <w:bCs/>
          <w:sz w:val="24"/>
          <w:szCs w:val="24"/>
        </w:rPr>
        <w:t>04</w:t>
      </w:r>
      <w:r w:rsidRPr="00E03697">
        <w:rPr>
          <w:rFonts w:ascii="Times New Roman" w:hAnsi="Times New Roman"/>
          <w:bCs/>
          <w:sz w:val="24"/>
          <w:szCs w:val="24"/>
        </w:rPr>
        <w:t>.</w:t>
      </w:r>
      <w:r w:rsidR="001E5A97">
        <w:rPr>
          <w:rFonts w:ascii="Times New Roman" w:hAnsi="Times New Roman"/>
          <w:bCs/>
          <w:sz w:val="24"/>
          <w:szCs w:val="24"/>
        </w:rPr>
        <w:t xml:space="preserve">2024 </w:t>
      </w:r>
      <w:r w:rsidRPr="00E03697">
        <w:rPr>
          <w:rFonts w:ascii="Times New Roman" w:hAnsi="Times New Roman"/>
          <w:bCs/>
          <w:sz w:val="24"/>
          <w:szCs w:val="24"/>
        </w:rPr>
        <w:t>и заключением о ре</w:t>
      </w:r>
      <w:r w:rsidR="00382467" w:rsidRPr="00E03697">
        <w:rPr>
          <w:rFonts w:ascii="Times New Roman" w:hAnsi="Times New Roman"/>
          <w:bCs/>
          <w:sz w:val="24"/>
          <w:szCs w:val="24"/>
        </w:rPr>
        <w:t xml:space="preserve">зультатах публичных слушаний от </w:t>
      </w:r>
      <w:r w:rsidR="001E5A97">
        <w:rPr>
          <w:rFonts w:ascii="Times New Roman" w:hAnsi="Times New Roman"/>
          <w:bCs/>
          <w:sz w:val="24"/>
          <w:szCs w:val="24"/>
        </w:rPr>
        <w:t>25.04</w:t>
      </w:r>
      <w:r w:rsidRPr="00E03697">
        <w:rPr>
          <w:rFonts w:ascii="Times New Roman" w:hAnsi="Times New Roman"/>
          <w:bCs/>
          <w:sz w:val="24"/>
          <w:szCs w:val="24"/>
        </w:rPr>
        <w:t>.</w:t>
      </w:r>
      <w:r w:rsidR="001E5A97">
        <w:rPr>
          <w:rFonts w:ascii="Times New Roman" w:hAnsi="Times New Roman"/>
          <w:bCs/>
          <w:sz w:val="24"/>
          <w:szCs w:val="24"/>
        </w:rPr>
        <w:t xml:space="preserve">2024 по </w:t>
      </w:r>
      <w:r w:rsidR="001E5A97" w:rsidRPr="001E5A97">
        <w:rPr>
          <w:rFonts w:ascii="Times New Roman" w:hAnsi="Times New Roman"/>
          <w:bCs/>
          <w:sz w:val="24"/>
          <w:szCs w:val="24"/>
        </w:rPr>
        <w:t>проекту планировки и проекту межевания территории земельного участка с кадастровым номером 21:10:160213:83, расположенного по адресу: Чувашская Республика - Чувашия, р-н Ибресинский, пгт. Ибреси, ул. Сельхозтехники</w:t>
      </w:r>
      <w:r w:rsidR="001E5A97">
        <w:rPr>
          <w:rFonts w:ascii="Times New Roman" w:hAnsi="Times New Roman"/>
          <w:bCs/>
          <w:sz w:val="24"/>
          <w:szCs w:val="24"/>
        </w:rPr>
        <w:t>,</w:t>
      </w:r>
    </w:p>
    <w:p w:rsidR="003D0E8E" w:rsidRPr="001E5A97" w:rsidRDefault="003D0E8E" w:rsidP="001E5A9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B76F2D" w:rsidRPr="00E03697" w:rsidRDefault="001E5A97" w:rsidP="001E5A97">
      <w:pPr>
        <w:pStyle w:val="a8"/>
        <w:tabs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</w:t>
      </w:r>
      <w:r w:rsidR="00B76F2D" w:rsidRPr="00E03697">
        <w:rPr>
          <w:rFonts w:ascii="Times New Roman" w:hAnsi="Times New Roman"/>
          <w:bCs/>
          <w:sz w:val="24"/>
          <w:szCs w:val="24"/>
        </w:rPr>
        <w:t>администрация Ибресинского муниципального окру</w:t>
      </w:r>
      <w:r w:rsidR="00382467" w:rsidRPr="00E03697">
        <w:rPr>
          <w:rFonts w:ascii="Times New Roman" w:hAnsi="Times New Roman"/>
          <w:bCs/>
          <w:sz w:val="24"/>
          <w:szCs w:val="24"/>
        </w:rPr>
        <w:t xml:space="preserve">га Чувашской Республики  </w:t>
      </w:r>
      <w:proofErr w:type="gramStart"/>
      <w:r w:rsidR="00B76F2D" w:rsidRPr="00E03697">
        <w:rPr>
          <w:rFonts w:ascii="Times New Roman" w:hAnsi="Times New Roman"/>
          <w:bCs/>
          <w:sz w:val="24"/>
          <w:szCs w:val="24"/>
        </w:rPr>
        <w:t>п</w:t>
      </w:r>
      <w:proofErr w:type="gramEnd"/>
      <w:r w:rsidR="00B76F2D" w:rsidRPr="00E03697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:rsidR="00382467" w:rsidRPr="00B76F2D" w:rsidRDefault="00382467" w:rsidP="00382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2467" w:rsidRDefault="00382467" w:rsidP="00382467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0C0117">
        <w:rPr>
          <w:rFonts w:ascii="Times New Roman" w:hAnsi="Times New Roman"/>
          <w:bCs/>
          <w:sz w:val="24"/>
          <w:szCs w:val="24"/>
        </w:rPr>
        <w:t xml:space="preserve">Утвердить </w:t>
      </w:r>
      <w:r w:rsidR="000C0117" w:rsidRPr="000C0117">
        <w:rPr>
          <w:rFonts w:ascii="Times New Roman" w:hAnsi="Times New Roman"/>
          <w:bCs/>
          <w:sz w:val="24"/>
          <w:szCs w:val="24"/>
        </w:rPr>
        <w:t>документацию по планировке территории</w:t>
      </w:r>
      <w:r w:rsidR="000C0117">
        <w:rPr>
          <w:rFonts w:ascii="Times New Roman" w:hAnsi="Times New Roman"/>
          <w:bCs/>
          <w:sz w:val="24"/>
          <w:szCs w:val="24"/>
        </w:rPr>
        <w:t xml:space="preserve"> </w:t>
      </w:r>
      <w:r w:rsidR="000C0117" w:rsidRPr="000C0117">
        <w:rPr>
          <w:rFonts w:ascii="Times New Roman" w:hAnsi="Times New Roman"/>
          <w:bCs/>
          <w:sz w:val="24"/>
          <w:szCs w:val="24"/>
        </w:rPr>
        <w:t xml:space="preserve">- </w:t>
      </w:r>
      <w:r w:rsidR="00C32E68" w:rsidRPr="00B75D55">
        <w:rPr>
          <w:rFonts w:ascii="Times New Roman" w:hAnsi="Times New Roman"/>
          <w:bCs/>
          <w:sz w:val="24"/>
          <w:szCs w:val="24"/>
        </w:rPr>
        <w:t>проекта планировки и проект</w:t>
      </w:r>
      <w:r w:rsidR="00C32E68">
        <w:rPr>
          <w:rFonts w:ascii="Times New Roman" w:hAnsi="Times New Roman"/>
          <w:bCs/>
          <w:sz w:val="24"/>
          <w:szCs w:val="24"/>
        </w:rPr>
        <w:t xml:space="preserve">а </w:t>
      </w:r>
      <w:r w:rsidR="00C32E68" w:rsidRPr="00B75D55">
        <w:rPr>
          <w:rFonts w:ascii="Times New Roman" w:hAnsi="Times New Roman"/>
          <w:bCs/>
          <w:sz w:val="24"/>
          <w:szCs w:val="24"/>
        </w:rPr>
        <w:t xml:space="preserve"> межевания территории земельного</w:t>
      </w:r>
      <w:r w:rsidR="00C32E68">
        <w:rPr>
          <w:rFonts w:ascii="Times New Roman" w:hAnsi="Times New Roman"/>
          <w:bCs/>
          <w:sz w:val="24"/>
          <w:szCs w:val="24"/>
        </w:rPr>
        <w:t xml:space="preserve"> </w:t>
      </w:r>
      <w:r w:rsidR="00C32E68" w:rsidRPr="00B75D55">
        <w:rPr>
          <w:rFonts w:ascii="Times New Roman" w:hAnsi="Times New Roman"/>
          <w:bCs/>
          <w:sz w:val="24"/>
          <w:szCs w:val="24"/>
        </w:rPr>
        <w:t>участка с кадастровым номером 21:10:160213:83, расположенного по</w:t>
      </w:r>
      <w:r w:rsidR="00C32E68">
        <w:rPr>
          <w:rFonts w:ascii="Times New Roman" w:hAnsi="Times New Roman"/>
          <w:bCs/>
          <w:sz w:val="24"/>
          <w:szCs w:val="24"/>
        </w:rPr>
        <w:t xml:space="preserve"> </w:t>
      </w:r>
      <w:r w:rsidR="00C32E68" w:rsidRPr="00B75D55">
        <w:rPr>
          <w:rFonts w:ascii="Times New Roman" w:hAnsi="Times New Roman"/>
          <w:bCs/>
          <w:sz w:val="24"/>
          <w:szCs w:val="24"/>
        </w:rPr>
        <w:t>адресу: Чувашская Республика - Чувашия, р-н Ибресинский, пгт.</w:t>
      </w:r>
      <w:r w:rsidR="00C32E68">
        <w:rPr>
          <w:rFonts w:ascii="Times New Roman" w:hAnsi="Times New Roman"/>
          <w:bCs/>
          <w:sz w:val="24"/>
          <w:szCs w:val="24"/>
        </w:rPr>
        <w:t xml:space="preserve"> </w:t>
      </w:r>
      <w:r w:rsidR="00C32E68" w:rsidRPr="00B75D55">
        <w:rPr>
          <w:rFonts w:ascii="Times New Roman" w:hAnsi="Times New Roman"/>
          <w:bCs/>
          <w:sz w:val="24"/>
          <w:szCs w:val="24"/>
        </w:rPr>
        <w:t>Ибреси, ул. Сельхозтехники</w:t>
      </w:r>
      <w:r w:rsidR="00C32E68">
        <w:rPr>
          <w:rFonts w:ascii="Times New Roman" w:hAnsi="Times New Roman"/>
          <w:bCs/>
          <w:sz w:val="24"/>
          <w:szCs w:val="24"/>
        </w:rPr>
        <w:t xml:space="preserve">, </w:t>
      </w:r>
      <w:r w:rsidR="00B75D55">
        <w:rPr>
          <w:rFonts w:ascii="Times New Roman" w:hAnsi="Times New Roman"/>
          <w:bCs/>
          <w:sz w:val="24"/>
          <w:szCs w:val="24"/>
        </w:rPr>
        <w:t>согласно приложению № 1, приложению №2.</w:t>
      </w:r>
    </w:p>
    <w:p w:rsidR="00E03697" w:rsidRDefault="009F36FB" w:rsidP="00E03697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E03697">
        <w:rPr>
          <w:rFonts w:ascii="Times New Roman" w:hAnsi="Times New Roman"/>
          <w:bCs/>
          <w:sz w:val="24"/>
          <w:szCs w:val="24"/>
        </w:rPr>
        <w:t>Отделу цифрового развития и информационных технологий администрации Ибресинского муниципального округа Чувашской Республики</w:t>
      </w:r>
      <w:r w:rsidR="00E03697" w:rsidRPr="00E03697">
        <w:rPr>
          <w:rFonts w:ascii="Times New Roman" w:hAnsi="Times New Roman"/>
          <w:bCs/>
          <w:sz w:val="24"/>
          <w:szCs w:val="24"/>
        </w:rPr>
        <w:t xml:space="preserve"> опубликовать настоящее постановление в средствах массовой информации в течение семи дней со дня его подписания и разместить на официальном сайте </w:t>
      </w:r>
      <w:r w:rsidR="00E03697">
        <w:rPr>
          <w:rFonts w:ascii="Times New Roman" w:hAnsi="Times New Roman"/>
          <w:bCs/>
          <w:sz w:val="24"/>
          <w:szCs w:val="24"/>
        </w:rPr>
        <w:t xml:space="preserve">Ибресинского муниципального округа </w:t>
      </w:r>
      <w:r w:rsidR="00E03697" w:rsidRPr="00E03697">
        <w:rPr>
          <w:rFonts w:ascii="Times New Roman" w:hAnsi="Times New Roman"/>
          <w:bCs/>
          <w:sz w:val="24"/>
          <w:szCs w:val="24"/>
        </w:rPr>
        <w:t>в сети «Интернет».</w:t>
      </w:r>
    </w:p>
    <w:p w:rsidR="0013240D" w:rsidRPr="0013240D" w:rsidRDefault="005F0FCD" w:rsidP="0013240D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13240D">
        <w:rPr>
          <w:rFonts w:ascii="Times New Roman" w:hAnsi="Times New Roman"/>
          <w:bCs/>
          <w:sz w:val="24"/>
          <w:szCs w:val="24"/>
        </w:rPr>
        <w:t xml:space="preserve">Контроль за исполнением настоящего постановления возложить на </w:t>
      </w:r>
      <w:r w:rsidR="0013240D" w:rsidRPr="0013240D">
        <w:rPr>
          <w:rFonts w:ascii="Times New Roman" w:hAnsi="Times New Roman"/>
          <w:bCs/>
          <w:sz w:val="24"/>
          <w:szCs w:val="24"/>
        </w:rPr>
        <w:t>заместителя главы администрации - начальника отдела строительства, благоустройства, ЖКХ и дорожного хозяйства администрации Ибресинского муниципальн</w:t>
      </w:r>
      <w:r w:rsidR="0013240D">
        <w:rPr>
          <w:rFonts w:ascii="Times New Roman" w:hAnsi="Times New Roman"/>
          <w:bCs/>
          <w:sz w:val="24"/>
          <w:szCs w:val="24"/>
        </w:rPr>
        <w:t>ого округа Чувашской Республики.</w:t>
      </w:r>
    </w:p>
    <w:p w:rsidR="005F0FCD" w:rsidRPr="005F0FCD" w:rsidRDefault="005F0FCD" w:rsidP="0013240D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5F0FCD">
        <w:rPr>
          <w:rFonts w:ascii="Times New Roman" w:hAnsi="Times New Roman"/>
          <w:bCs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C47650" w:rsidRDefault="00C47650" w:rsidP="00D25399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E5A97" w:rsidRPr="007F4EBE" w:rsidRDefault="001E5A97" w:rsidP="00D25399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D097A" w:rsidRPr="007F4EBE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P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1E5A97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 xml:space="preserve">Исполнитель: </w:t>
      </w:r>
      <w:r w:rsidR="00D25399">
        <w:rPr>
          <w:rFonts w:ascii="Times New Roman" w:eastAsia="Times New Roman" w:hAnsi="Times New Roman"/>
          <w:sz w:val="22"/>
          <w:szCs w:val="24"/>
          <w:lang w:eastAsia="ru-RU"/>
        </w:rPr>
        <w:t>Е.В. Александрова</w:t>
      </w:r>
    </w:p>
    <w:p w:rsidR="007F4EBE" w:rsidRDefault="001E5A97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 xml:space="preserve">8(83538) </w:t>
      </w:r>
      <w:r w:rsidR="00D25399">
        <w:rPr>
          <w:rFonts w:ascii="Times New Roman" w:eastAsia="Times New Roman" w:hAnsi="Times New Roman"/>
          <w:sz w:val="22"/>
          <w:szCs w:val="24"/>
          <w:lang w:eastAsia="ru-RU"/>
        </w:rPr>
        <w:t>2-12-56</w:t>
      </w: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E5A97" w:rsidRPr="001E5A97" w:rsidRDefault="001E5A97" w:rsidP="001E5A9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363AB" w:rsidRDefault="00C363AB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D73D8" w:rsidTr="00383A81">
        <w:tc>
          <w:tcPr>
            <w:tcW w:w="4927" w:type="dxa"/>
          </w:tcPr>
          <w:p w:rsidR="007D73D8" w:rsidRDefault="007D73D8" w:rsidP="00D253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7D73D8" w:rsidRDefault="007D73D8" w:rsidP="005A34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</w:t>
            </w:r>
            <w:r w:rsidR="00B75D55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постановлению администрации Ибресинского муниципального округа Чувашской Республики от</w:t>
            </w:r>
            <w:r w:rsidR="005A3428">
              <w:rPr>
                <w:rFonts w:ascii="Times New Roman" w:hAnsi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A3428">
              <w:rPr>
                <w:rFonts w:ascii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A3428">
              <w:rPr>
                <w:rFonts w:ascii="Times New Roman" w:hAnsi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5A3428">
              <w:rPr>
                <w:rFonts w:ascii="Times New Roman" w:hAnsi="Times New Roman"/>
                <w:sz w:val="24"/>
                <w:szCs w:val="24"/>
              </w:rPr>
              <w:t>437</w:t>
            </w:r>
          </w:p>
        </w:tc>
      </w:tr>
    </w:tbl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127B7" w:rsidRDefault="00A127B7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"/>
        <w:tblW w:w="9654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57"/>
      </w:tblGrid>
      <w:tr w:rsidR="00D352EF" w:rsidRPr="00D352EF" w:rsidTr="00D352EF">
        <w:trPr>
          <w:trHeight w:val="12204"/>
        </w:trPr>
        <w:tc>
          <w:tcPr>
            <w:tcW w:w="9654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441"/>
            </w:tblGrid>
            <w:tr w:rsidR="00D352EF" w:rsidRPr="00D352EF" w:rsidTr="00D352EF">
              <w:trPr>
                <w:trHeight w:val="1688"/>
              </w:trPr>
              <w:tc>
                <w:tcPr>
                  <w:tcW w:w="94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52EF" w:rsidRPr="005A3428" w:rsidRDefault="00D352EF" w:rsidP="00D352EF">
                  <w:pPr>
                    <w:ind w:left="900"/>
                    <w:rPr>
                      <w:rFonts w:ascii="Times New Roman" w:eastAsiaTheme="minorHAnsi" w:hAnsi="Times New Roman"/>
                      <w:sz w:val="22"/>
                      <w:szCs w:val="22"/>
                    </w:rPr>
                  </w:pPr>
                </w:p>
                <w:tbl>
                  <w:tblPr>
                    <w:tblW w:w="922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106"/>
                    <w:gridCol w:w="7119"/>
                  </w:tblGrid>
                  <w:tr w:rsidR="00D352EF" w:rsidRPr="00D352EF" w:rsidTr="00D352EF">
                    <w:trPr>
                      <w:trHeight w:val="1688"/>
                    </w:trPr>
                    <w:tc>
                      <w:tcPr>
                        <w:tcW w:w="20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D352EF" w:rsidRPr="00D352EF" w:rsidRDefault="00D352EF" w:rsidP="00D352EF">
                        <w:pPr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32"/>
                            <w:szCs w:val="32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b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0DB5C57" wp14:editId="2A72707D">
                              <wp:extent cx="1192530" cy="1121410"/>
                              <wp:effectExtent l="0" t="0" r="7620" b="2540"/>
                              <wp:docPr id="1" name="Рисунок 1" descr="эмблем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эмблем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2530" cy="11214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13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D352EF" w:rsidRPr="00D352EF" w:rsidRDefault="00D352EF" w:rsidP="00D352EF">
                        <w:pPr>
                          <w:spacing w:after="0" w:line="240" w:lineRule="auto"/>
                          <w:jc w:val="center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Общество с ограниченной ответственностью</w:t>
                        </w:r>
                      </w:p>
                      <w:p w:rsidR="00D352EF" w:rsidRPr="00D352EF" w:rsidRDefault="00D352EF" w:rsidP="00D352EF">
                        <w:pPr>
                          <w:spacing w:after="0" w:line="240" w:lineRule="auto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“Бюро технической инвентаризации”</w:t>
                        </w:r>
                      </w:p>
                      <w:p w:rsidR="00D352EF" w:rsidRPr="00D352EF" w:rsidRDefault="00D352EF" w:rsidP="00D352EF">
                        <w:pPr>
                          <w:spacing w:after="0" w:line="240" w:lineRule="auto"/>
                          <w:jc w:val="center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Ибресинского муниципального округа Чувашской Республики”</w:t>
                        </w:r>
                      </w:p>
                      <w:p w:rsidR="00D352EF" w:rsidRPr="00D352EF" w:rsidRDefault="00D352EF" w:rsidP="00D352EF">
                        <w:pPr>
                          <w:spacing w:before="240" w:after="0"/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20"/>
                            <w:szCs w:val="20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</w:rPr>
                          <w:t>429700, Чувашская Республика, пгт. Ибреси, ул. Комсомольская, д.13</w:t>
                        </w:r>
                      </w:p>
                      <w:p w:rsidR="00D352EF" w:rsidRPr="00D352EF" w:rsidRDefault="00D352EF" w:rsidP="00D352EF">
                        <w:pPr>
                          <w:spacing w:after="0"/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32"/>
                            <w:szCs w:val="32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 xml:space="preserve">Тел.8(83538)2-20-76, 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e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-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mail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 xml:space="preserve">: </w:t>
                        </w:r>
                        <w:proofErr w:type="spellStart"/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ibresi</w:t>
                        </w:r>
                        <w:proofErr w:type="spellEnd"/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.</w:t>
                        </w:r>
                        <w:proofErr w:type="spellStart"/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bti</w:t>
                        </w:r>
                        <w:proofErr w:type="spellEnd"/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@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mail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.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ru</w:t>
                        </w:r>
                      </w:p>
                    </w:tc>
                  </w:tr>
                </w:tbl>
                <w:p w:rsidR="00D352EF" w:rsidRPr="00D352EF" w:rsidRDefault="00D352EF" w:rsidP="00D352EF">
                  <w:pPr>
                    <w:spacing w:line="240" w:lineRule="auto"/>
                    <w:contextualSpacing/>
                    <w:jc w:val="center"/>
                    <w:rPr>
                      <w:rFonts w:ascii="Times New Roman" w:eastAsiaTheme="minorHAnsi" w:hAnsi="Times New Roman"/>
                      <w:b/>
                      <w:sz w:val="32"/>
                      <w:szCs w:val="32"/>
                    </w:rPr>
                  </w:pPr>
                </w:p>
              </w:tc>
            </w:tr>
          </w:tbl>
          <w:p w:rsidR="00D352EF" w:rsidRPr="00D352EF" w:rsidRDefault="00D352EF" w:rsidP="00D352E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52EF">
              <w:rPr>
                <w:rFonts w:ascii="Times New Roman" w:eastAsiaTheme="minorHAnsi" w:hAnsi="Times New Roman"/>
                <w:sz w:val="24"/>
                <w:szCs w:val="24"/>
              </w:rPr>
              <w:t>Заказчик: Администрация Ибресинского муниципального округа  Чувашской Республики</w:t>
            </w:r>
          </w:p>
          <w:p w:rsidR="00D352EF" w:rsidRPr="00D352EF" w:rsidRDefault="00D352EF" w:rsidP="00D352EF">
            <w:pPr>
              <w:spacing w:before="240"/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52EF">
              <w:rPr>
                <w:rFonts w:ascii="Times New Roman" w:eastAsiaTheme="minorHAnsi" w:hAnsi="Times New Roman"/>
                <w:sz w:val="24"/>
                <w:szCs w:val="24"/>
              </w:rPr>
              <w:t xml:space="preserve">Место разработки: Чувашская Республика, пгт. Ибреси </w:t>
            </w:r>
          </w:p>
          <w:p w:rsidR="00D352EF" w:rsidRPr="00D352EF" w:rsidRDefault="00D352EF" w:rsidP="00D352EF">
            <w:pPr>
              <w:spacing w:before="240"/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52EF">
              <w:rPr>
                <w:rFonts w:ascii="Times New Roman" w:eastAsiaTheme="minorHAnsi" w:hAnsi="Times New Roman"/>
                <w:sz w:val="24"/>
                <w:szCs w:val="24"/>
              </w:rPr>
              <w:t>Договор подряда: № 1 от 15 января 2024г.</w:t>
            </w: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352EF">
              <w:rPr>
                <w:rFonts w:ascii="Times New Roman" w:eastAsiaTheme="minorHAnsi" w:hAnsi="Times New Roman"/>
                <w:sz w:val="28"/>
                <w:szCs w:val="28"/>
              </w:rPr>
              <w:t xml:space="preserve">ТОМ </w:t>
            </w:r>
            <w:r w:rsidRPr="00D352E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I</w:t>
            </w: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352EF">
              <w:rPr>
                <w:rFonts w:ascii="Times New Roman" w:eastAsiaTheme="minorHAnsi" w:hAnsi="Times New Roman"/>
                <w:bCs/>
                <w:sz w:val="24"/>
                <w:szCs w:val="24"/>
              </w:rPr>
              <w:t>Проект планировки территории</w:t>
            </w: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D352EF">
              <w:rPr>
                <w:rFonts w:ascii="Times New Roman" w:eastAsiaTheme="minorHAnsi" w:hAnsi="Times New Roman"/>
                <w:bCs/>
                <w:sz w:val="28"/>
                <w:szCs w:val="28"/>
              </w:rPr>
              <w:t>Проект планировки и проект межевания территории земельного участка с кадастровым номером 21:10:160213:83, расположенного по адресу: Чувашская Республика - Чувашия, р-н Ибресинский, пгт. Ибреси, ул. Сельхозтехники</w:t>
            </w: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52EF">
              <w:rPr>
                <w:rFonts w:ascii="Times New Roman" w:eastAsiaTheme="minorHAnsi" w:hAnsi="Times New Roman"/>
                <w:sz w:val="24"/>
                <w:szCs w:val="24"/>
              </w:rPr>
              <w:t>пгт. Ибреси</w:t>
            </w: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52EF">
              <w:rPr>
                <w:rFonts w:ascii="Times New Roman" w:eastAsiaTheme="minorHAnsi" w:hAnsi="Times New Roman"/>
                <w:sz w:val="24"/>
                <w:szCs w:val="24"/>
              </w:rPr>
              <w:t>2024 г.</w:t>
            </w:r>
          </w:p>
        </w:tc>
      </w:tr>
    </w:tbl>
    <w:p w:rsidR="00D352EF" w:rsidRPr="00D352EF" w:rsidRDefault="00D352EF" w:rsidP="00D352EF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F945FD" w:rsidRDefault="00F945FD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32E68" w:rsidRDefault="00C32E68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  <w:r w:rsidRPr="00D352EF">
        <w:rPr>
          <w:rFonts w:ascii="Times New Roman" w:eastAsiaTheme="minorHAnsi" w:hAnsi="Times New Roman"/>
          <w:b/>
          <w:bCs/>
          <w:sz w:val="28"/>
          <w:szCs w:val="28"/>
        </w:rPr>
        <w:t>СОДЕРЖАНИЕ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t>ЧАСТЬ 1. ПОЯСНИТЕЛЬНАЯ ЗАПИСКА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Введение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Основные положения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Установление границ земельных участков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Опорно-межевая сеть на территории проектирования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Структура территории, образуемая в результате межевания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Координаты поворотных точек проектируемой красной линии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Сведения об исходных и образуемых земельных участков на кадастровом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плане</w:t>
      </w:r>
      <w:proofErr w:type="gramEnd"/>
    </w:p>
    <w:p w:rsidR="00D352EF" w:rsidRPr="00D352EF" w:rsidRDefault="00D352EF" w:rsidP="00D352EF">
      <w:pPr>
        <w:spacing w:line="360" w:lineRule="auto"/>
        <w:ind w:left="993" w:hanging="426"/>
        <w:contextualSpacing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территории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t xml:space="preserve">ЧАСТЬ 2. ГРАФИЧЕСКАЯ ЧАСТЬ 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:rsidR="00D352EF" w:rsidRPr="00D352EF" w:rsidRDefault="00D352EF" w:rsidP="00D352EF">
      <w:pPr>
        <w:numPr>
          <w:ilvl w:val="1"/>
          <w:numId w:val="20"/>
        </w:numPr>
        <w:spacing w:after="0"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План красных линий</w:t>
      </w:r>
    </w:p>
    <w:p w:rsidR="00D352EF" w:rsidRPr="00D352EF" w:rsidRDefault="00D352EF" w:rsidP="00D352EF">
      <w:pPr>
        <w:numPr>
          <w:ilvl w:val="1"/>
          <w:numId w:val="20"/>
        </w:numPr>
        <w:spacing w:after="0"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Чертеж проекта планировки территории</w:t>
      </w:r>
    </w:p>
    <w:p w:rsidR="00D352EF" w:rsidRPr="00D352EF" w:rsidRDefault="00D352EF" w:rsidP="00D352EF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bCs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t>ЧАСТЬ 3. МЕЖЕВАНИЕ ТЕРРИТОРИИ</w:t>
      </w:r>
    </w:p>
    <w:p w:rsidR="00D352EF" w:rsidRPr="00D352EF" w:rsidRDefault="00D352EF" w:rsidP="00D352EF">
      <w:pPr>
        <w:ind w:firstLine="556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numPr>
          <w:ilvl w:val="1"/>
          <w:numId w:val="21"/>
        </w:numPr>
        <w:spacing w:line="360" w:lineRule="auto"/>
        <w:ind w:left="993" w:hanging="426"/>
        <w:contextualSpacing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Основания для проектирования</w:t>
      </w:r>
    </w:p>
    <w:p w:rsidR="00D352EF" w:rsidRPr="00D352EF" w:rsidRDefault="00D352EF" w:rsidP="00D352EF">
      <w:pPr>
        <w:numPr>
          <w:ilvl w:val="1"/>
          <w:numId w:val="21"/>
        </w:numPr>
        <w:spacing w:line="360" w:lineRule="auto"/>
        <w:ind w:left="993" w:hanging="426"/>
        <w:contextualSpacing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Сведения о земельных участках</w:t>
      </w:r>
    </w:p>
    <w:p w:rsidR="00D352EF" w:rsidRPr="00D352EF" w:rsidRDefault="00D352EF" w:rsidP="00D352EF">
      <w:pPr>
        <w:numPr>
          <w:ilvl w:val="1"/>
          <w:numId w:val="21"/>
        </w:numPr>
        <w:spacing w:line="360" w:lineRule="auto"/>
        <w:ind w:left="993" w:hanging="426"/>
        <w:contextualSpacing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Обоснование мероприятий по оформлению земель</w:t>
      </w:r>
    </w:p>
    <w:p w:rsidR="00D352EF" w:rsidRPr="00D352EF" w:rsidRDefault="00D352EF" w:rsidP="00D352EF">
      <w:pPr>
        <w:ind w:firstLine="556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br w:type="page"/>
      </w: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lastRenderedPageBreak/>
        <w:t>1.1. Введение</w:t>
      </w:r>
    </w:p>
    <w:p w:rsidR="00D352EF" w:rsidRPr="00D352EF" w:rsidRDefault="00D352EF" w:rsidP="00D352EF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>Проект планировки территории разработан согласно постановления Администрации Ибресинского муниципального округа Чувашской Республики от 11.12.2023 г. №1343 «О принятии решения о подготовке документации по планировке территории (проект планировки территории) в границах земельного участка с кадастровым номером 21:10:160213:83» с целью образования земельного участка путем раздела с сохранением в измененных границах исходного с кадастровым номером 21:10:160213:83, расположенного</w:t>
      </w:r>
      <w:proofErr w:type="gramEnd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 по адресу: Чувашская Республика - Чувашия, Ибресинский муниципальный округ, пгт. Ибреси, ул. Сельхозтехники.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352EF">
        <w:rPr>
          <w:rFonts w:ascii="Times New Roman" w:eastAsiaTheme="minorHAnsi" w:hAnsi="Times New Roman"/>
          <w:color w:val="000000"/>
          <w:sz w:val="24"/>
          <w:szCs w:val="24"/>
        </w:rPr>
        <w:t>Земельный участок с кадастровым номером 21:10:160213:83, категория земель – земли населенных пунктов, разрешенное использование - Для содержания и обслуживания многоквартирного жилого дома.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Согласно Градостроительному кодексу Российской Федерации при утверждении проекта планировки территории утверждаются: красные линии; предложения по трассировке дорог, улиц; места размещения объектов инженерной и транспортной инфраструктуры; предложения по установлению границ зон планируемого размещения объектов капитального строительства и реконструкции.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Проектная документация разработана в соответствии с правилами землепользования и застройки </w:t>
      </w:r>
      <w:r w:rsidRPr="00D352EF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 Чувашской Республики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утвержденного «Собранием депутатов </w:t>
      </w:r>
      <w:r w:rsidRPr="00D352EF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от 27.12.2023г. № 20/3. </w:t>
      </w:r>
    </w:p>
    <w:p w:rsidR="00D352EF" w:rsidRPr="00D352EF" w:rsidRDefault="00D352EF" w:rsidP="00D352EF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Исходные данные и условия для подготовки проектной документации: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Цифровые топографические карты открытого опубликования масштаба 2000, созданные ООО «Научно-производственным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аэрогеодезическим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 xml:space="preserve"> предприятием «Меридиан+», выданные Управлением Федеральной службы государственной регистрации, кадастра и картографии по Чувашской Республике, особые отметки.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Градостроительный кодекс Российской Федерации";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Водный кодекс Российской Федерации;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Земельный кодекс Российской Федерации;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Лесной кодекс Российской Федерации;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Федеральный закон от 24.12.2004 года № 172-ФЗ «О переводе земель или земельных участков из одной категории в другую»;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Федеральный закон от 06.10.2003 года № 131-ФЗ «Об общих принципах организации местного самоуправления в Российской Федерации»;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lastRenderedPageBreak/>
        <w:t>СанПиН 2.2.1/2.1.1.1200-03 «Санитарно-защитные зоны и санитарная классификация предприятий, сооружений и иных объектов», утвержден Постановлением Главного государственного санитарного врача РФ от 25. 09.2007 г. № 74 (зарегистрировано в Минюсте РФ 25.01.2008 г. № 10995);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«Свод правил СП 42.13330.2011 Градостроительство. «Планировка и застройка городских и сельских поселений», Актуализированная редакция СНиП 2.07.01-89, утвержден Приказом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Минрегиона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 xml:space="preserve"> РФ от 28.12.2010 г. № 820;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Федеральным законом «О введении в действие Земельного кодекса Российской Федерации» от 25 октября 2001г. №137-Ф3;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Законом РФ от 10.01.2002г. №7-ФЗ «Об охране окружающей природной среды».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Основными положениями по восстановлению земель, нарушенных при разработке и проведении строительных работ;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Нормами отвода земель для автомобильных дорог СН 467-77, утвержденными Государ</w:t>
      </w:r>
      <w:r w:rsidRPr="00D352EF">
        <w:rPr>
          <w:rFonts w:ascii="Times New Roman" w:eastAsiaTheme="minorHAnsi" w:hAnsi="Times New Roman"/>
          <w:sz w:val="24"/>
          <w:szCs w:val="24"/>
        </w:rPr>
        <w:softHyphen/>
        <w:t>ственным комитетом Совета Министров СССР по делам строительства 19 декабря 1974г.;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Постановлением Правительства РФ от 16 февраля 2008г. №87 «О составе разделов про</w:t>
      </w:r>
      <w:r w:rsidRPr="00D352EF">
        <w:rPr>
          <w:rFonts w:ascii="Times New Roman" w:eastAsiaTheme="minorHAnsi" w:hAnsi="Times New Roman"/>
          <w:sz w:val="24"/>
          <w:szCs w:val="24"/>
        </w:rPr>
        <w:softHyphen/>
        <w:t>ектной документации и требованиях к их содержанию»;</w:t>
      </w:r>
    </w:p>
    <w:p w:rsidR="00D352EF" w:rsidRPr="00D352EF" w:rsidRDefault="00D352EF" w:rsidP="00D352EF">
      <w:pPr>
        <w:numPr>
          <w:ilvl w:val="1"/>
          <w:numId w:val="13"/>
        </w:numPr>
        <w:spacing w:line="360" w:lineRule="auto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 xml:space="preserve"> Основные положения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p82"/>
      <w:bookmarkStart w:id="1" w:name="p83"/>
      <w:bookmarkStart w:id="2" w:name="p84"/>
      <w:bookmarkEnd w:id="0"/>
      <w:bookmarkEnd w:id="1"/>
      <w:bookmarkEnd w:id="2"/>
      <w:r w:rsidRPr="00D352EF">
        <w:rPr>
          <w:rFonts w:ascii="Times New Roman" w:eastAsiaTheme="minorHAnsi" w:hAnsi="Times New Roman"/>
          <w:sz w:val="24"/>
          <w:szCs w:val="24"/>
        </w:rPr>
        <w:t>Формирование земельных участков на территории проектирования с учетом: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видов разрешенного использования земельных участков (согласно Приказу Министерства экономического развития РФ от 01.09.2014 г. №540 "Об утверждении классификаторов видов разрешенного использования земельных участков");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В общую площадь земельных участков под объектами недвижимости включается площадь, непосредственно занятая этими объектами, и площадь прилегающей территории, необходимая для обеспечения функционирования (обслуживания, эксплуатации) конкретного объекта недвижимости в соответствии с установленными нормами.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Основные задачи проекта: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создание безопасной и благоприятной среды для жизнедеятельности населения.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обеспечение пространственной целостности территории, функциональной проработке планировочного решения;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lastRenderedPageBreak/>
        <w:t>сохранения природного наследия;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обеспечение рационально использования территории и территориальных ресурсов в целом.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определение границ зон ограничений вокруг охраняемых объектов, а также вокруг объектов, оказывающих негативное воздействие на окружающую среду;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разработка концепции развития улично-дорожной сети и движения транспорта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развитие инженерной инфраструктуры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расчет баланса территории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определение основных технико-экономических показателей застройки.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разработка мероприятий по защите территории от чрезвычайных ситуаций природного и техногенного характера и мероприятий по гражданской обороне и обеспечению пожарной безопасности (ГО и ЧС).</w:t>
      </w:r>
    </w:p>
    <w:p w:rsidR="00D352EF" w:rsidRPr="00D352EF" w:rsidRDefault="00D352EF" w:rsidP="00D352EF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2"/>
          <w:szCs w:val="24"/>
        </w:rPr>
        <w:t xml:space="preserve"> </w:t>
      </w:r>
      <w:r w:rsidRPr="00D352EF">
        <w:rPr>
          <w:rFonts w:ascii="Times New Roman" w:eastAsiaTheme="minorHAnsi" w:hAnsi="Times New Roman"/>
          <w:b/>
          <w:sz w:val="24"/>
          <w:szCs w:val="24"/>
        </w:rPr>
        <w:t>Установление границ земельных участков: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Установление границ земельных участков на местности следует выполнять в соответствии с Земельным кодексом Российской Федерации от 25.10.2001 №136-ФЗ, Федерального Закона от 24.07.2007 №221-ФЗ "О государственном кадастре недвижимости", методическими рекомендациями по проведению межевания объектов землеустройства (утв.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Росземкадастром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 xml:space="preserve"> 17.02.2003), а также в соответствии с требованиями нормативно-правовых актов, действующих на территории Российской Федерации.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Порядок установления границ на местности предполагает выполнение следующих видов работ: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полевое обследование и оценка пунктов опорной межевой сети – опорных межевых знаков;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уведомление собственников, владельцев и пользователей смежных земельных участков о производстве работ;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согласование и закрепление на местности межевыми знаками границ земельного участка с собственниками, владельцами и пользователями смежных земельных участков.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определение координат образуемых земельных участков;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определение площади земельных участков;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составление чертежа границ земельных участков;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утверждение дел в установленном порядке;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lastRenderedPageBreak/>
        <w:t xml:space="preserve">Вынос межевых знаков на местность необходимо выполнять в комплексе землеустроительных работ с обеспечением мер по уведомлению заинтересованных лиц и согласованию с ними границ. Границы земельных участков устанавливаются одновременно с выносом красных линий. </w:t>
      </w:r>
    </w:p>
    <w:p w:rsidR="00D352EF" w:rsidRPr="00D352EF" w:rsidRDefault="00D352EF" w:rsidP="00D352EF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 xml:space="preserve"> Опорно-межевая сеть на территории проектирования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На территории проектирования существует установления система геодезической сети специального назначения для определения координат точек земной поверхности с использованием спутниковых систем. Система координат – кадастрового округа (МСК-21). Действующая система геодезической сети удовлетворяет требованиям выполнения землеустроительных работ для установления границ земельных участков на местности.</w:t>
      </w:r>
    </w:p>
    <w:p w:rsidR="00D352EF" w:rsidRPr="00D352EF" w:rsidRDefault="00D352EF" w:rsidP="00D352EF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 xml:space="preserve">  Структура территории, образуемая в результате межевания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348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      Проект планировки территории разработан для образования земельного участка путем раздела с сохранением в </w:t>
      </w:r>
      <w:proofErr w:type="gramStart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>измененных</w:t>
      </w:r>
      <w:proofErr w:type="gramEnd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 границах исходного с кадастровым номером 21:10:160213:83, расположенного по адресу: Чувашская Республика - Чувашия, Ибресинский муниципальный округ, пгт. Ибреси, ул. Сельхозтехники.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Рассматриваемая территория расположена в границах кадастрового квартала 21:10:160213.</w:t>
      </w:r>
    </w:p>
    <w:p w:rsidR="00D352EF" w:rsidRPr="00D352EF" w:rsidRDefault="00D352EF" w:rsidP="00D352EF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 xml:space="preserve"> Координаты поворотных точек проектируемой красной линии </w:t>
      </w:r>
    </w:p>
    <w:p w:rsidR="00D352EF" w:rsidRPr="00D352EF" w:rsidRDefault="00D352EF" w:rsidP="00D352EF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Таблица.1    Координаты проектируемой красной линии 21:10:160213:83:ЗУ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1</w:t>
      </w:r>
      <w:proofErr w:type="gramEnd"/>
    </w:p>
    <w:p w:rsidR="00D352EF" w:rsidRPr="00D352EF" w:rsidRDefault="00D352EF" w:rsidP="00D352EF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noProof/>
          <w:sz w:val="22"/>
          <w:szCs w:val="22"/>
          <w:lang w:eastAsia="ru-RU"/>
        </w:rPr>
        <w:drawing>
          <wp:inline distT="0" distB="0" distL="0" distR="0" wp14:anchorId="47A08114" wp14:editId="7384AAF0">
            <wp:extent cx="6149409" cy="228600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b="9091"/>
                    <a:stretch/>
                  </pic:blipFill>
                  <pic:spPr bwMode="auto">
                    <a:xfrm>
                      <a:off x="0" y="0"/>
                      <a:ext cx="6149409" cy="22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br w:type="page"/>
      </w:r>
    </w:p>
    <w:p w:rsidR="00D352EF" w:rsidRPr="00D352EF" w:rsidRDefault="00D352EF" w:rsidP="00D352EF">
      <w:pPr>
        <w:numPr>
          <w:ilvl w:val="1"/>
          <w:numId w:val="13"/>
        </w:numPr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2"/>
          <w:szCs w:val="24"/>
        </w:rPr>
        <w:lastRenderedPageBreak/>
        <w:t xml:space="preserve"> </w:t>
      </w:r>
      <w:r w:rsidRPr="00D352EF">
        <w:rPr>
          <w:rFonts w:ascii="Times New Roman" w:eastAsiaTheme="minorHAnsi" w:hAnsi="Times New Roman"/>
          <w:b/>
          <w:sz w:val="24"/>
          <w:szCs w:val="24"/>
        </w:rPr>
        <w:t xml:space="preserve">Сведения об исходных и образуемых земельных участков на кадастровом </w:t>
      </w:r>
      <w:proofErr w:type="gramStart"/>
      <w:r w:rsidRPr="00D352EF">
        <w:rPr>
          <w:rFonts w:ascii="Times New Roman" w:eastAsiaTheme="minorHAnsi" w:hAnsi="Times New Roman"/>
          <w:b/>
          <w:sz w:val="24"/>
          <w:szCs w:val="24"/>
        </w:rPr>
        <w:t>плане</w:t>
      </w:r>
      <w:proofErr w:type="gramEnd"/>
    </w:p>
    <w:p w:rsidR="00D352EF" w:rsidRPr="00D352EF" w:rsidRDefault="00D352EF" w:rsidP="00D352EF">
      <w:pPr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>территории</w:t>
      </w:r>
    </w:p>
    <w:tbl>
      <w:tblPr>
        <w:tblStyle w:val="af"/>
        <w:tblW w:w="9748" w:type="dxa"/>
        <w:tblLayout w:type="fixed"/>
        <w:tblLook w:val="04A0" w:firstRow="1" w:lastRow="0" w:firstColumn="1" w:lastColumn="0" w:noHBand="0" w:noVBand="1"/>
      </w:tblPr>
      <w:tblGrid>
        <w:gridCol w:w="1809"/>
        <w:gridCol w:w="1985"/>
        <w:gridCol w:w="1134"/>
        <w:gridCol w:w="1843"/>
        <w:gridCol w:w="1134"/>
        <w:gridCol w:w="1843"/>
      </w:tblGrid>
      <w:tr w:rsidR="00D352EF" w:rsidRPr="00D352EF" w:rsidTr="00D352EF">
        <w:tc>
          <w:tcPr>
            <w:tcW w:w="1809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Кадастровые (условные) номера</w:t>
            </w:r>
          </w:p>
        </w:tc>
        <w:tc>
          <w:tcPr>
            <w:tcW w:w="1985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Местоположение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Категория земель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Разрешенное использование, в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соответствие с проектом планировки.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Площадь, м.кв.</w:t>
            </w:r>
          </w:p>
        </w:tc>
        <w:tc>
          <w:tcPr>
            <w:tcW w:w="1843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Способ образования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участка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</w:p>
        </w:tc>
      </w:tr>
      <w:tr w:rsidR="00D352EF" w:rsidRPr="00D352EF" w:rsidTr="00D352EF">
        <w:tc>
          <w:tcPr>
            <w:tcW w:w="1809" w:type="dxa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21:10:160212:83</w:t>
            </w:r>
          </w:p>
        </w:tc>
        <w:tc>
          <w:tcPr>
            <w:tcW w:w="1985" w:type="dxa"/>
            <w:vMerge w:val="restart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8F9FA"/>
              </w:rPr>
              <w:t>Чувашская Республика - Чувашия, р-н Ибресинский, пгт Ибреси, ул Сельхозтехники</w:t>
            </w:r>
          </w:p>
        </w:tc>
        <w:tc>
          <w:tcPr>
            <w:tcW w:w="1134" w:type="dxa"/>
            <w:vMerge w:val="restart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43" w:type="dxa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8F9FA"/>
              </w:rPr>
              <w:t>для содержания и обслуживания многоквартирного жилого дома</w:t>
            </w:r>
          </w:p>
        </w:tc>
        <w:tc>
          <w:tcPr>
            <w:tcW w:w="1134" w:type="dxa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FFFFF"/>
              </w:rPr>
              <w:t>5 481</w:t>
            </w:r>
          </w:p>
        </w:tc>
        <w:tc>
          <w:tcPr>
            <w:tcW w:w="1843" w:type="dxa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–</w:t>
            </w:r>
          </w:p>
        </w:tc>
      </w:tr>
      <w:tr w:rsidR="00D352EF" w:rsidRPr="00D352EF" w:rsidTr="00D352EF">
        <w:trPr>
          <w:trHeight w:val="1685"/>
        </w:trPr>
        <w:tc>
          <w:tcPr>
            <w:tcW w:w="1809" w:type="dxa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21:10:160212:83:ЗУ1</w:t>
            </w:r>
          </w:p>
        </w:tc>
        <w:tc>
          <w:tcPr>
            <w:tcW w:w="1985" w:type="dxa"/>
            <w:vMerge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Среднеэтажная жилая застройки (код по классификатору 2.5)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1740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образование земельного участка путем раздела с сохранением в измененных границах исходного с кадастровым номером 21:10:160213:83</w:t>
            </w:r>
          </w:p>
        </w:tc>
      </w:tr>
    </w:tbl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bCs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bCs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bCs/>
          <w:sz w:val="32"/>
          <w:szCs w:val="32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t xml:space="preserve">ЧАСТЬ 2. ГРАФИЧЕСКАЯ ЧАСТЬ </w:t>
      </w: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Default="00D352EF" w:rsidP="009679E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br w:type="page"/>
      </w:r>
    </w:p>
    <w:p w:rsidR="009679E5" w:rsidRDefault="009679E5" w:rsidP="009679E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00850" cy="10134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2" t="4403"/>
                    <a:stretch/>
                  </pic:blipFill>
                  <pic:spPr bwMode="auto">
                    <a:xfrm>
                      <a:off x="0" y="0"/>
                      <a:ext cx="6800850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3A81" w:rsidRDefault="00383A81" w:rsidP="00383A8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71790" cy="89344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95" cy="893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2EF" w:rsidRPr="00D352EF" w:rsidRDefault="00D352EF" w:rsidP="00D352EF">
      <w:pPr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ЧАСТЬ 3. МЕЖЕВАНИЕ ТЕРРИТОРИИ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ind w:firstLine="556"/>
        <w:rPr>
          <w:rFonts w:ascii="Times New Roman" w:eastAsiaTheme="minorHAnsi" w:hAnsi="Times New Roman"/>
          <w:b/>
          <w:bCs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t>3.1. Основания для проектирования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Проект межевания территории разработан согласно «Градостроительного кодекса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Российской Федерации» применительно к застроенным и подлежащим застройке территориям, расположенным в границах элементов планировочной структуры. Проект межевания устанавливает границы земельного участка. 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Проектная документация разработана в соответствии с правилами землепользования и застройки </w:t>
      </w:r>
      <w:r w:rsidRPr="00D352EF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 Чувашской Республики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утвержденного «Собранием депутатов </w:t>
      </w:r>
      <w:r w:rsidRPr="00D352EF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от 27.12.2023г. № 20/3.</w:t>
      </w:r>
    </w:p>
    <w:p w:rsidR="00D352EF" w:rsidRPr="00D352EF" w:rsidRDefault="00D352EF" w:rsidP="00D352EF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  </w:t>
      </w:r>
      <w:r w:rsidRPr="00D352EF">
        <w:rPr>
          <w:rFonts w:ascii="Times New Roman" w:eastAsiaTheme="minorHAnsi" w:hAnsi="Times New Roman"/>
          <w:sz w:val="24"/>
          <w:szCs w:val="24"/>
        </w:rPr>
        <w:t>Проект межевания территории входит в состав проекта планировки территории объекта.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В проекте межевания территории отражены:</w:t>
      </w:r>
    </w:p>
    <w:p w:rsidR="00D352EF" w:rsidRPr="00D352EF" w:rsidRDefault="00D352EF" w:rsidP="00D352EF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границы застроенных земельных участков, в том числе границы земельных участков, на которых расположен объект;</w:t>
      </w:r>
    </w:p>
    <w:p w:rsidR="00D352EF" w:rsidRPr="00D352EF" w:rsidRDefault="00D352EF" w:rsidP="00D352EF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границы формируемого земельного участка,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планируемых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для предоставления физическим и юридическим лицам для строительства;</w:t>
      </w:r>
    </w:p>
    <w:p w:rsidR="00D352EF" w:rsidRPr="00D352EF" w:rsidRDefault="00D352EF" w:rsidP="00D352EF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границы земельных участков, предназначенных для размещения объектов капитального строительства федерального, регионального или местного значения.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Проект межевания территории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предназначен для размещения объекта местного значения и включает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чертежи межевания территории, на которых отображаются границы существующих и подлежащего образованию земельного участка, в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т.ч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>. предлагаемых к изъятию для муниципальных нужд.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Отображение всей информации выполнено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согласно требований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Статьи 43 «Проекты межеваний территорий» Федерального закона № 190 от 29.12.2004 «Градостроительный кодекс Российской Федерации».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Подготовка документации по планировке территории осуществляется в целях обеспечения устойчивого развития территорий, выделения элементов планировочной структуры (кварталов, микрорайонов, иных элементов), 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объектов.</w:t>
      </w:r>
    </w:p>
    <w:p w:rsidR="00D352EF" w:rsidRPr="00D352EF" w:rsidRDefault="00D352EF" w:rsidP="00D352EF">
      <w:pPr>
        <w:widowControl w:val="0"/>
        <w:autoSpaceDE w:val="0"/>
        <w:autoSpaceDN w:val="0"/>
        <w:spacing w:before="108" w:after="0" w:line="240" w:lineRule="auto"/>
        <w:ind w:left="2284"/>
        <w:rPr>
          <w:rFonts w:ascii="Times New Roman" w:eastAsia="Times New Roman" w:hAnsi="Times New Roman"/>
          <w:sz w:val="24"/>
          <w:szCs w:val="22"/>
          <w:lang w:eastAsia="ru-RU" w:bidi="ru-RU"/>
        </w:rPr>
      </w:pPr>
    </w:p>
    <w:p w:rsidR="00D352EF" w:rsidRPr="00D352EF" w:rsidRDefault="00D352EF" w:rsidP="00D352EF">
      <w:pPr>
        <w:rPr>
          <w:rFonts w:ascii="Times New Roman" w:eastAsia="Times New Roman" w:hAnsi="Times New Roman"/>
          <w:sz w:val="24"/>
          <w:szCs w:val="22"/>
          <w:lang w:eastAsia="ru-RU" w:bidi="ru-RU"/>
        </w:rPr>
      </w:pPr>
      <w:r w:rsidRPr="00D352EF">
        <w:rPr>
          <w:rFonts w:ascii="Times New Roman" w:eastAsiaTheme="minorHAnsi" w:hAnsi="Times New Roman"/>
          <w:sz w:val="24"/>
          <w:szCs w:val="22"/>
        </w:rPr>
        <w:br w:type="page"/>
      </w:r>
    </w:p>
    <w:p w:rsidR="00D352EF" w:rsidRPr="00D352EF" w:rsidRDefault="00D352EF" w:rsidP="00D352EF">
      <w:pPr>
        <w:widowControl w:val="0"/>
        <w:autoSpaceDE w:val="0"/>
        <w:autoSpaceDN w:val="0"/>
        <w:spacing w:before="108" w:after="0" w:line="240" w:lineRule="auto"/>
        <w:ind w:left="2284"/>
        <w:rPr>
          <w:rFonts w:ascii="Times New Roman" w:eastAsia="Times New Roman" w:hAnsi="Times New Roman"/>
          <w:sz w:val="24"/>
          <w:szCs w:val="22"/>
          <w:lang w:eastAsia="ru-RU" w:bidi="ru-RU"/>
        </w:rPr>
      </w:pPr>
      <w:r w:rsidRPr="00D352EF">
        <w:rPr>
          <w:rFonts w:ascii="Times New Roman" w:eastAsia="Times New Roman" w:hAnsi="Times New Roman"/>
          <w:sz w:val="24"/>
          <w:szCs w:val="22"/>
          <w:lang w:eastAsia="ru-RU" w:bidi="ru-RU"/>
        </w:rPr>
        <w:lastRenderedPageBreak/>
        <w:t>ПОЛОЖЕНИЯ О МЕЖЕВАНИИ ТЕРРИТОРИИ</w:t>
      </w:r>
    </w:p>
    <w:p w:rsidR="00D352EF" w:rsidRPr="00D352EF" w:rsidRDefault="00D352EF" w:rsidP="00D352EF">
      <w:pPr>
        <w:widowControl w:val="0"/>
        <w:autoSpaceDE w:val="0"/>
        <w:autoSpaceDN w:val="0"/>
        <w:spacing w:after="0" w:line="240" w:lineRule="auto"/>
        <w:ind w:left="3312"/>
        <w:rPr>
          <w:rFonts w:ascii="Times New Roman" w:eastAsia="Times New Roman" w:hAnsi="Times New Roman"/>
          <w:sz w:val="24"/>
          <w:szCs w:val="22"/>
          <w:lang w:eastAsia="ru-RU" w:bidi="ru-RU"/>
        </w:rPr>
      </w:pPr>
      <w:r w:rsidRPr="00D352EF">
        <w:rPr>
          <w:rFonts w:ascii="Times New Roman" w:eastAsia="Times New Roman" w:hAnsi="Times New Roman"/>
          <w:sz w:val="24"/>
          <w:szCs w:val="22"/>
          <w:lang w:eastAsia="ru-RU" w:bidi="ru-RU"/>
        </w:rPr>
        <w:t>ОСНОВНЫЕ ПОЛОЖЕНИЯ</w:t>
      </w:r>
    </w:p>
    <w:p w:rsidR="00D352EF" w:rsidRPr="00D352EF" w:rsidRDefault="00D352EF" w:rsidP="00D352E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/>
          <w:sz w:val="20"/>
          <w:szCs w:val="22"/>
          <w:lang w:eastAsia="ru-RU" w:bidi="ru-RU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Формирование земельных участков на территории проектирования проводится с учетом:</w:t>
      </w:r>
    </w:p>
    <w:p w:rsidR="00D352EF" w:rsidRPr="00D352EF" w:rsidRDefault="00D352EF" w:rsidP="00D352EF">
      <w:pPr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видов разрешенного использования земельных участков (основные, вспомогательные и условно разрешенные);</w:t>
      </w:r>
      <w:proofErr w:type="gramEnd"/>
    </w:p>
    <w:p w:rsidR="00D352EF" w:rsidRPr="00D352EF" w:rsidRDefault="00D352EF" w:rsidP="00D352EF">
      <w:pPr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строительства;</w:t>
      </w:r>
    </w:p>
    <w:p w:rsidR="00D352EF" w:rsidRPr="00D352EF" w:rsidRDefault="00D352EF" w:rsidP="00D352EF">
      <w:pPr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ограничений использования земельных участков и объектов капитального строительства.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Земельные участки формируются в соответствии с требованиями эколого-ландшафтной организации территории.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В общую площадь земельных участков под объектами недвижимости включается площадь, непосредственно занятая этими объектами, и площадь прилегающей территории, необходимая для обеспечения функционирования (обслуживания, эксплуатации) конкретного объекта недвижимости в соответствии с установленными нормами.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Земельные участки, предназначенные для размещения линейных объектов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капитального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строительства (газовых сетей и линий электропередач), формируются в границах охранных зон этих объектов. Аналогичным образом выделяются земельные участки под существующими линейными объектами.</w:t>
      </w:r>
    </w:p>
    <w:p w:rsidR="00D352EF" w:rsidRPr="00D352EF" w:rsidRDefault="00D352EF" w:rsidP="00D352EF">
      <w:pPr>
        <w:spacing w:line="360" w:lineRule="auto"/>
        <w:ind w:firstLine="993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D352EF">
        <w:rPr>
          <w:rFonts w:ascii="Times New Roman" w:eastAsiaTheme="minorHAnsi" w:hAnsi="Times New Roman"/>
          <w:b/>
          <w:sz w:val="24"/>
          <w:szCs w:val="24"/>
          <w:u w:val="single"/>
        </w:rPr>
        <w:t>Планировочные ограничения.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Планировочные ограничения на территории разработки проекта межевания представлены техническими зонами инженерных коммуникаций.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Охранные зоны инженерных коммуникаций - территории, предназначенные для эксплуатации подземных и надземных инженерных коммуникаций, определяющие (в соответствии со СНиП 2.07.01-89*) минимальный отступ от коммуникаций до фундаментов зданий и сооружений.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Непосредственные подключения отдельных объектов к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инженерным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сетям (и соответственно определение локальных технических зон) будут выполнены на последующих стадиях проектирования.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lastRenderedPageBreak/>
        <w:t>При установлении границ публичных сервитутов предусмотрено обеспечение прав других лиц на пользование необходимыми для них объектами в границах земельного участка:</w:t>
      </w:r>
    </w:p>
    <w:p w:rsidR="00D352EF" w:rsidRPr="00D352EF" w:rsidRDefault="00D352EF" w:rsidP="00D352EF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частями наземного и подземного пространства, занятыми или предназначенными для размещения магистральных инженерных коммуникаций;</w:t>
      </w:r>
    </w:p>
    <w:p w:rsidR="00D352EF" w:rsidRPr="00D352EF" w:rsidRDefault="00D352EF" w:rsidP="00D352EF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пешеходными проходами и проездами к объектам, расположенными за пределами участка, если иной доступ к ним невозможен.</w:t>
      </w:r>
    </w:p>
    <w:p w:rsidR="00D352EF" w:rsidRPr="00D352EF" w:rsidRDefault="00D352EF" w:rsidP="00D352EF">
      <w:pPr>
        <w:ind w:left="40" w:right="-80" w:firstLine="540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>3.2. Сведения о земельном участке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По проекту формируется земельный участок с видом разрешенного использования,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среднеэтажная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 xml:space="preserve"> жилая застройка (код по классификатору 2.5),</w:t>
      </w:r>
    </w:p>
    <w:p w:rsidR="00D352EF" w:rsidRPr="00D352EF" w:rsidRDefault="00D352EF" w:rsidP="00D352EF">
      <w:pPr>
        <w:spacing w:before="240" w:after="0" w:line="36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>Охранные зоны:</w:t>
      </w:r>
    </w:p>
    <w:p w:rsidR="00D352EF" w:rsidRPr="00D352EF" w:rsidRDefault="00D352EF" w:rsidP="00D352EF">
      <w:pPr>
        <w:numPr>
          <w:ilvl w:val="0"/>
          <w:numId w:val="17"/>
        </w:numPr>
        <w:spacing w:before="240"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Зона санитарной охраны источников водоснабжения и водопроводов питьевого назначения (21:10-6.238);</w:t>
      </w:r>
    </w:p>
    <w:p w:rsidR="00D352EF" w:rsidRPr="00D352EF" w:rsidRDefault="00D352EF" w:rsidP="00D352EF">
      <w:pPr>
        <w:numPr>
          <w:ilvl w:val="0"/>
          <w:numId w:val="17"/>
        </w:numPr>
        <w:spacing w:before="240"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Зона санитарной охраны источников водоснабжения и водопроводов питьевого назначения (21:10-6.239).</w:t>
      </w:r>
    </w:p>
    <w:p w:rsidR="00D352EF" w:rsidRPr="00D352EF" w:rsidRDefault="00D352EF" w:rsidP="00D352EF">
      <w:pPr>
        <w:spacing w:before="24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>Территориальная зона: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D352EF" w:rsidRPr="00D352EF" w:rsidRDefault="00D352EF" w:rsidP="00D352EF">
      <w:pPr>
        <w:numPr>
          <w:ilvl w:val="0"/>
          <w:numId w:val="18"/>
        </w:numPr>
        <w:spacing w:before="240"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зона застройки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среднеэтажными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 xml:space="preserve"> жилыми домами (Ж-3) Ибресинского муниципального округа Чувашской Республики.</w:t>
      </w:r>
    </w:p>
    <w:p w:rsidR="00D352EF" w:rsidRPr="00D352EF" w:rsidRDefault="00D352EF" w:rsidP="00D352EF">
      <w:pPr>
        <w:ind w:left="40" w:right="-80" w:firstLine="540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>3.3. Обоснование мероприятий по оформлению земель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Проект межевания территории выполняется по результатам анализа ранее созданных и сформированных земельных участков в границах межевания согласно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разработанному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проекту планировки.</w:t>
      </w:r>
    </w:p>
    <w:p w:rsidR="00D352EF" w:rsidRDefault="00D352EF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На основании проектной документации провести кадастровые работы </w:t>
      </w:r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по образованию земельного участка путем раздела с сохранением в </w:t>
      </w:r>
      <w:proofErr w:type="gramStart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>измененных</w:t>
      </w:r>
      <w:proofErr w:type="gramEnd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 границах исходного с кадастровым номером 21:10:160213:83,  расположенного по адресу: Чувашская Республика - Чувашия, Ибресинский муниципальный округ, пгт. Ибреси, ул. Сельхозтехники</w:t>
      </w: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F945FD" w:rsidRDefault="00F945FD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F945FD" w:rsidRDefault="00F945FD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F945FD" w:rsidRDefault="00F945FD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819"/>
        <w:gridCol w:w="4895"/>
        <w:gridCol w:w="32"/>
      </w:tblGrid>
      <w:tr w:rsidR="00383A81" w:rsidTr="00383A81">
        <w:tc>
          <w:tcPr>
            <w:tcW w:w="4927" w:type="dxa"/>
            <w:gridSpan w:val="2"/>
          </w:tcPr>
          <w:p w:rsidR="00383A81" w:rsidRDefault="00383A81" w:rsidP="00D352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  <w:gridSpan w:val="2"/>
          </w:tcPr>
          <w:p w:rsidR="00383A81" w:rsidRDefault="00383A81" w:rsidP="00383A8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№2 к постановлению администрации Ибресинского муниципального округа Чувашской Республики от</w:t>
            </w:r>
            <w:r w:rsidR="005A3428">
              <w:rPr>
                <w:rFonts w:ascii="Times New Roman" w:hAnsi="Times New Roman"/>
                <w:sz w:val="24"/>
                <w:szCs w:val="24"/>
              </w:rPr>
              <w:t xml:space="preserve"> 07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A3428">
              <w:rPr>
                <w:rFonts w:ascii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A3428">
              <w:rPr>
                <w:rFonts w:ascii="Times New Roman" w:hAnsi="Times New Roman"/>
                <w:sz w:val="24"/>
                <w:szCs w:val="24"/>
              </w:rPr>
              <w:t>2024</w:t>
            </w:r>
            <w:bookmarkStart w:id="3" w:name="_GoBack"/>
            <w:bookmarkEnd w:id="3"/>
            <w:r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5A3428">
              <w:rPr>
                <w:rFonts w:ascii="Times New Roman" w:hAnsi="Times New Roman"/>
                <w:sz w:val="24"/>
                <w:szCs w:val="24"/>
              </w:rPr>
              <w:t>437</w:t>
            </w:r>
          </w:p>
          <w:p w:rsidR="00383A81" w:rsidRDefault="00383A81" w:rsidP="00D352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A81" w:rsidRPr="00383A81" w:rsidTr="00652C2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gridAfter w:val="1"/>
          <w:wBefore w:w="108" w:type="dxa"/>
          <w:wAfter w:w="32" w:type="dxa"/>
          <w:trHeight w:val="11461"/>
        </w:trPr>
        <w:tc>
          <w:tcPr>
            <w:tcW w:w="9714" w:type="dxa"/>
            <w:gridSpan w:val="2"/>
          </w:tcPr>
          <w:tbl>
            <w:tblPr>
              <w:tblW w:w="93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498"/>
            </w:tblGrid>
            <w:tr w:rsidR="00383A81" w:rsidRPr="00383A81" w:rsidTr="00383A81">
              <w:trPr>
                <w:trHeight w:val="2054"/>
              </w:trPr>
              <w:tc>
                <w:tcPr>
                  <w:tcW w:w="9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83A81" w:rsidRPr="005A3428" w:rsidRDefault="00383A81" w:rsidP="00383A81">
                  <w:pPr>
                    <w:ind w:left="900"/>
                    <w:rPr>
                      <w:rFonts w:ascii="Times New Roman" w:eastAsiaTheme="minorHAnsi" w:hAnsi="Times New Roman"/>
                      <w:sz w:val="22"/>
                      <w:szCs w:val="22"/>
                    </w:rPr>
                  </w:pPr>
                </w:p>
                <w:tbl>
                  <w:tblPr>
                    <w:tblW w:w="928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106"/>
                    <w:gridCol w:w="7176"/>
                  </w:tblGrid>
                  <w:tr w:rsidR="00383A81" w:rsidRPr="00383A81" w:rsidTr="00383A81">
                    <w:trPr>
                      <w:trHeight w:val="2054"/>
                    </w:trPr>
                    <w:tc>
                      <w:tcPr>
                        <w:tcW w:w="21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383A81" w:rsidRPr="00383A81" w:rsidRDefault="00383A81" w:rsidP="00383A81">
                        <w:pPr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32"/>
                            <w:szCs w:val="32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b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692EF6E" wp14:editId="0DF819F8">
                              <wp:extent cx="1192530" cy="1121410"/>
                              <wp:effectExtent l="0" t="0" r="7620" b="2540"/>
                              <wp:docPr id="6" name="Рисунок 6" descr="эмблем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эмблем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2530" cy="11214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17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383A81" w:rsidRPr="00383A81" w:rsidRDefault="00383A81" w:rsidP="00383A81">
                        <w:pPr>
                          <w:spacing w:after="0" w:line="240" w:lineRule="auto"/>
                          <w:jc w:val="center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Общество с ограниченной ответственностью</w:t>
                        </w:r>
                      </w:p>
                      <w:p w:rsidR="00383A81" w:rsidRPr="00383A81" w:rsidRDefault="00383A81" w:rsidP="00383A81">
                        <w:pPr>
                          <w:spacing w:after="0" w:line="240" w:lineRule="auto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“Бюро технической инвентаризации”</w:t>
                        </w:r>
                      </w:p>
                      <w:p w:rsidR="00383A81" w:rsidRPr="00383A81" w:rsidRDefault="00383A81" w:rsidP="00383A81">
                        <w:pPr>
                          <w:spacing w:after="0" w:line="240" w:lineRule="auto"/>
                          <w:jc w:val="center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Ибресинского муниципального округа Чувашской Республики”</w:t>
                        </w:r>
                      </w:p>
                      <w:p w:rsidR="00383A81" w:rsidRPr="00383A81" w:rsidRDefault="00383A81" w:rsidP="00383A81">
                        <w:pPr>
                          <w:spacing w:before="240" w:after="0"/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20"/>
                            <w:szCs w:val="20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</w:rPr>
                          <w:t>429700, Чувашская Республика, пгт. Ибреси, ул. Комсомольская, д.13</w:t>
                        </w:r>
                      </w:p>
                      <w:p w:rsidR="00383A81" w:rsidRPr="00383A81" w:rsidRDefault="00383A81" w:rsidP="00383A81">
                        <w:pPr>
                          <w:spacing w:after="0"/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32"/>
                            <w:szCs w:val="32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 xml:space="preserve">Тел.8(83538)2-20-76, 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e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-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mail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 xml:space="preserve">: </w:t>
                        </w:r>
                        <w:proofErr w:type="spellStart"/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ibresi</w:t>
                        </w:r>
                        <w:proofErr w:type="spellEnd"/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.</w:t>
                        </w:r>
                        <w:proofErr w:type="spellStart"/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bti</w:t>
                        </w:r>
                        <w:proofErr w:type="spellEnd"/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@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mail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.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ru</w:t>
                        </w:r>
                      </w:p>
                    </w:tc>
                  </w:tr>
                </w:tbl>
                <w:p w:rsidR="00383A81" w:rsidRPr="00383A81" w:rsidRDefault="00383A81" w:rsidP="00383A81">
                  <w:pPr>
                    <w:spacing w:line="240" w:lineRule="auto"/>
                    <w:contextualSpacing/>
                    <w:jc w:val="center"/>
                    <w:rPr>
                      <w:rFonts w:ascii="Times New Roman" w:eastAsiaTheme="minorHAnsi" w:hAnsi="Times New Roman"/>
                      <w:b/>
                      <w:sz w:val="32"/>
                      <w:szCs w:val="32"/>
                    </w:rPr>
                  </w:pPr>
                </w:p>
              </w:tc>
            </w:tr>
          </w:tbl>
          <w:p w:rsidR="00383A81" w:rsidRPr="00383A81" w:rsidRDefault="00383A81" w:rsidP="00383A81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3A81">
              <w:rPr>
                <w:rFonts w:ascii="Times New Roman" w:eastAsiaTheme="minorHAnsi" w:hAnsi="Times New Roman"/>
                <w:sz w:val="24"/>
                <w:szCs w:val="24"/>
              </w:rPr>
              <w:t>Заказчик: Администрация Ибресинского муниципального округа  Чувашской Республики</w:t>
            </w:r>
          </w:p>
          <w:p w:rsidR="00383A81" w:rsidRPr="00383A81" w:rsidRDefault="00383A81" w:rsidP="00383A81">
            <w:pPr>
              <w:spacing w:before="240"/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3A81">
              <w:rPr>
                <w:rFonts w:ascii="Times New Roman" w:eastAsiaTheme="minorHAnsi" w:hAnsi="Times New Roman"/>
                <w:sz w:val="24"/>
                <w:szCs w:val="24"/>
              </w:rPr>
              <w:t xml:space="preserve">Место разработки: Чувашская Республика, пгт. Ибреси </w:t>
            </w:r>
          </w:p>
          <w:p w:rsidR="00383A81" w:rsidRPr="00383A81" w:rsidRDefault="00383A81" w:rsidP="00383A81">
            <w:pPr>
              <w:spacing w:before="240"/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3A81">
              <w:rPr>
                <w:rFonts w:ascii="Times New Roman" w:eastAsiaTheme="minorHAnsi" w:hAnsi="Times New Roman"/>
                <w:sz w:val="24"/>
                <w:szCs w:val="24"/>
              </w:rPr>
              <w:t>Договор подряда: № 1 от 15 января 2024г.</w:t>
            </w: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83A81">
              <w:rPr>
                <w:rFonts w:ascii="Times New Roman" w:eastAsiaTheme="minorHAnsi" w:hAnsi="Times New Roman"/>
                <w:sz w:val="28"/>
                <w:szCs w:val="28"/>
              </w:rPr>
              <w:t xml:space="preserve">ТОМ </w:t>
            </w:r>
            <w:r w:rsidRPr="00383A81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II</w:t>
            </w: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83A81">
              <w:rPr>
                <w:rFonts w:ascii="Times New Roman" w:eastAsiaTheme="minorHAnsi" w:hAnsi="Times New Roman"/>
                <w:bCs/>
                <w:sz w:val="24"/>
                <w:szCs w:val="24"/>
              </w:rPr>
              <w:t>Проект межевания территории</w:t>
            </w: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383A81">
              <w:rPr>
                <w:rFonts w:ascii="Times New Roman" w:eastAsiaTheme="minorHAnsi" w:hAnsi="Times New Roman"/>
                <w:bCs/>
                <w:sz w:val="28"/>
                <w:szCs w:val="28"/>
              </w:rPr>
              <w:t>Проект планировки и проект межевания территории земельного участка с кадастровым номером 21:10:160213:83, расположенного по адресу: Чувашская Республика - Чувашия, р-н Ибресинский, пгт. Ибреси, ул. Сельхозтехники</w:t>
            </w: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3A81">
              <w:rPr>
                <w:rFonts w:ascii="Times New Roman" w:eastAsiaTheme="minorHAnsi" w:hAnsi="Times New Roman"/>
                <w:sz w:val="24"/>
                <w:szCs w:val="24"/>
              </w:rPr>
              <w:t>пгт. Ибреси</w:t>
            </w: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3A81">
              <w:rPr>
                <w:rFonts w:ascii="Times New Roman" w:eastAsiaTheme="minorHAnsi" w:hAnsi="Times New Roman"/>
                <w:sz w:val="24"/>
                <w:szCs w:val="24"/>
              </w:rPr>
              <w:t>2024 г.</w:t>
            </w: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383A81" w:rsidRPr="00383A81" w:rsidRDefault="00383A81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spacing w:line="36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383A81">
        <w:rPr>
          <w:rFonts w:ascii="Times New Roman" w:eastAsiaTheme="minorHAnsi" w:hAnsi="Times New Roman"/>
          <w:b/>
          <w:bCs/>
          <w:sz w:val="24"/>
          <w:szCs w:val="24"/>
        </w:rPr>
        <w:br w:type="page"/>
      </w:r>
      <w:r w:rsidRPr="00383A81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СОДЕРЖАНИЕ</w:t>
      </w:r>
    </w:p>
    <w:p w:rsidR="00383A81" w:rsidRPr="00383A81" w:rsidRDefault="00383A81" w:rsidP="00383A81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b/>
          <w:bCs/>
          <w:sz w:val="28"/>
          <w:szCs w:val="28"/>
        </w:rPr>
      </w:pPr>
      <w:r w:rsidRPr="00383A81">
        <w:rPr>
          <w:rFonts w:ascii="Times New Roman" w:eastAsiaTheme="minorHAnsi" w:hAnsi="Times New Roman"/>
          <w:b/>
          <w:bCs/>
          <w:sz w:val="24"/>
          <w:szCs w:val="24"/>
        </w:rPr>
        <w:t>ЧАСТЬ 1. ПОЯСНИТЕЛЬНАЯ ЗАПИСКА.</w:t>
      </w:r>
    </w:p>
    <w:p w:rsidR="00383A81" w:rsidRPr="00383A81" w:rsidRDefault="00383A81" w:rsidP="00383A81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ВВЕДЕНИЕ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 xml:space="preserve">Градостроительный анализ территории 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Обоснование положений по размещению объекта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Мероприятия по защите территории от чрезвычайных ситуаций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Природного и техногенного характера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Обоснование и описание ограничений использования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Территории, зон с особыми условиями использования территории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И охране окружающей среды</w:t>
      </w:r>
    </w:p>
    <w:p w:rsidR="00383A81" w:rsidRPr="00383A81" w:rsidRDefault="00383A81" w:rsidP="00383A81">
      <w:pPr>
        <w:autoSpaceDE w:val="0"/>
        <w:autoSpaceDN w:val="0"/>
        <w:adjustRightInd w:val="0"/>
        <w:spacing w:before="240" w:after="0" w:line="36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383A81">
        <w:rPr>
          <w:rFonts w:ascii="Times New Roman" w:eastAsiaTheme="minorHAnsi" w:hAnsi="Times New Roman"/>
          <w:b/>
          <w:bCs/>
          <w:sz w:val="24"/>
          <w:szCs w:val="24"/>
        </w:rPr>
        <w:t>ЧАСТЬ 2. ГРАФИЧЕСКАЯ ЧАСТЬ.</w:t>
      </w:r>
    </w:p>
    <w:p w:rsidR="00383A81" w:rsidRPr="00383A81" w:rsidRDefault="00383A81" w:rsidP="00383A81">
      <w:pPr>
        <w:numPr>
          <w:ilvl w:val="1"/>
          <w:numId w:val="20"/>
        </w:numPr>
        <w:spacing w:after="0"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Чертеж межевания территории</w:t>
      </w:r>
    </w:p>
    <w:p w:rsidR="00383A81" w:rsidRPr="00383A81" w:rsidRDefault="00383A81" w:rsidP="00383A81">
      <w:pPr>
        <w:numPr>
          <w:ilvl w:val="1"/>
          <w:numId w:val="20"/>
        </w:numPr>
        <w:spacing w:after="0"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Схема границ зон с особыми условиями использования территории</w:t>
      </w: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rPr>
          <w:rFonts w:ascii="Times New Roman" w:eastAsiaTheme="minorHAnsi" w:hAnsi="Times New Roman"/>
          <w:b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br w:type="page"/>
      </w:r>
    </w:p>
    <w:p w:rsidR="00383A81" w:rsidRPr="00383A81" w:rsidRDefault="00383A81" w:rsidP="00383A81">
      <w:pPr>
        <w:rPr>
          <w:rFonts w:ascii="Times New Roman" w:eastAsiaTheme="minorHAnsi" w:hAnsi="Times New Roman"/>
          <w:b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lastRenderedPageBreak/>
        <w:t>ВВЕДЕНИЕ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В соответствии со ст. 41 Градостроительного кодекса РФ (далее – ГК РФ) подготовка документации по планировке территории осуществляется в целях обеспечения устойчивого развития территорий, выделения элементов планировочной структуры (кварталов, микрорайонов, иных элементов), 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объектов.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Порядок подготовки документации по планировке территории регламентируется ст. 46 ГК РФ.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Проектная документация разработана в соответствии с правилами землепользования и застройки Ибресинского городского поселения Ибресинского района Чувашской Республики утвержденного «Собранием депутатов Ибресинского городского поселения от 10.07.2020г. № 58/2. Источник официального опубликования сайт администрации Ибресинского городского поселения Ибресинского района Чувашской Республики от 10.07.2020г. 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Исходные данные и условия для подготовки проектной документации: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- Цифровые топографические карты открытого опубликования масштаба 2000, созданные ООО «Научно-производственным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аэрогеодезическим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предприятием «Меридиан+», выданные Управлением Федеральной службы государственной регистрации, кадастра и картографии по Чувашской Республике, особые отметки.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Земельный кодекс Российской Федерации;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Градостроительный кодекс Российской Федерации" от 29.12.2004 N 190-ФЗ (ред. от 25.12.2018);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Водный кодекс Российской Федерации от 03.06.2006 г. № 74-ФЗ;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Лесной кодекс Российской Федерации от 04.12.2006 г. № 200-ФЗ;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Федеральный закон от 24.12.2004 года № 172-ФЗ «О переводе земель или земельных участков из одной категории в другую»;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Федеральный закон от 06.10.2003 года № 131-ФЗ «Об общих принципах организации местного самоуправления в Российской Федерации»;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СанПиН 2.2.1/2.1.1.1200-03 «Санитарно-защитные зоны и санитарная классификация предприятий, сооружений и иных объектов», утвержден Постановлением Главного государственного санитарного врача РФ от 25. 09.2007 г. № 74 (зарегистрировано в Минюсте РФ 25.01.2008 г. № 10995);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 xml:space="preserve">«Свод правил СП 42.13330.2011 Градостроительство. «Планировка и застройка городских и сельских поселений», Актуализированная редакция СНиП 2.07.01-89, утвержден Приказом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Минрегиона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РФ от 28.12.2010 г. № 820.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Федеральным законом «О введении в действие Земельного кодекса Российской Федера</w:t>
      </w:r>
      <w:r w:rsidRPr="00383A81">
        <w:rPr>
          <w:rFonts w:ascii="Times New Roman" w:eastAsiaTheme="minorHAnsi" w:hAnsi="Times New Roman"/>
          <w:sz w:val="24"/>
          <w:szCs w:val="24"/>
        </w:rPr>
        <w:softHyphen/>
        <w:t>ции» от 25 октября 2001г. №137-Ф3;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Законом РФ от 10.01.2002г. №7-ФЗ «Об охране окружающей природной среды».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Основными положениями по восстановлению земель, нарушенных при разработке и проведении строительных работ;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Нормами отвода земель для автомобильных дорог СН 467-77, утвержденными Государ</w:t>
      </w:r>
      <w:r w:rsidRPr="00383A81">
        <w:rPr>
          <w:rFonts w:ascii="Times New Roman" w:eastAsiaTheme="minorHAnsi" w:hAnsi="Times New Roman"/>
          <w:sz w:val="24"/>
          <w:szCs w:val="24"/>
        </w:rPr>
        <w:softHyphen/>
        <w:t>ственным комитетом Совета Министров СССР по делам строительства 19 декабря 1974г.;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Постановлением Правительства РФ от 16 февраля 2008г. №87 «О составе разделов про</w:t>
      </w:r>
      <w:r w:rsidRPr="00383A81">
        <w:rPr>
          <w:rFonts w:ascii="Times New Roman" w:eastAsiaTheme="minorHAnsi" w:hAnsi="Times New Roman"/>
          <w:sz w:val="24"/>
          <w:szCs w:val="24"/>
        </w:rPr>
        <w:softHyphen/>
        <w:t>ектной документации и требованиях к их содержанию»;</w:t>
      </w:r>
    </w:p>
    <w:p w:rsidR="00383A81" w:rsidRPr="00383A81" w:rsidRDefault="00383A81" w:rsidP="00383A81">
      <w:pPr>
        <w:spacing w:before="240" w:after="0"/>
        <w:ind w:right="-263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83A8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Климатические и географические характеристики района.</w:t>
      </w:r>
    </w:p>
    <w:p w:rsidR="00383A81" w:rsidRPr="00383A81" w:rsidRDefault="00383A81" w:rsidP="00383A81">
      <w:pPr>
        <w:spacing w:before="240" w:after="0"/>
        <w:ind w:right="-263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83A81">
        <w:rPr>
          <w:rFonts w:ascii="Times New Roman" w:eastAsia="TimesNewRoman,Bold" w:hAnsi="Times New Roman"/>
          <w:b/>
          <w:sz w:val="24"/>
          <w:szCs w:val="24"/>
          <w:lang w:eastAsia="ru-RU"/>
        </w:rPr>
        <w:t>Климатическая характеристика района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t>Климатические условия.</w:t>
      </w:r>
      <w:r w:rsidRPr="00383A81">
        <w:rPr>
          <w:rFonts w:ascii="Times New Roman" w:eastAsiaTheme="minorHAnsi" w:hAnsi="Times New Roman"/>
          <w:sz w:val="24"/>
          <w:szCs w:val="24"/>
        </w:rPr>
        <w:t xml:space="preserve"> Климат умеренно континентальный с умеренно холодной, снежной зимой и тёплым иногда жарким летом.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Солнечная радиация, поступающая на горизонтальную поверхность, составляет 136.4 кал/см.²мин. Облачность в 1.5 раза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снижает приход солнечной радиации и в среднем за год составляет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86.9 кал/см.²мин. Продолжительность солнечного сияния равна 1937 часов, что составляет 46% от возможной. В годовом ходе температура воздуха изменяется от –12.3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ºС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до +18.7ºС в июле. Среднегодовая температура равна +3.1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ºС</w:t>
      </w:r>
      <w:proofErr w:type="gramEnd"/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Абсолютная температура составляет –42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ºС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в январе и +37ºС в июле, однако практически ежегодно температура воздуха в январе может опускаться до – 32ºС, а в июле подниматься до +32ºС.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Расчётная температура самой холодной пятидневки составляет -32ºС. Продолжительность отопительного периода 215 дней.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Посёлок относится к зоне достаточного увлажнения. Среднегодовая относительная влажность воздуха составляет 75% с максимумом в холодный период с октября по март: 88%.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Осадки связаны с циклонической деятельностью. В среднем за год выпадает 530 мм осадков с максимумом в тёплый период.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Снежный покров появляется в конце октября, а через три недели образуется устойчивый снежный покров, который держится до конца первой декады апреля. К середине апреля снег сходит. Средняя высота снежного покрова составляет 46 см, а в наиболее снежные зимы может достигать 83 см.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 среднем за год преобладают юго-западные ветры. Зимой наблюдается увеличение юго-восточных ветров, а летом преобладают ветры северо-западного направления. Среднегодовая скорость ветра равна 4.2 м/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сек с максимумом 4,7 м/сек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в марте. К наиболее часто наблюдаемым атмосферным явлениям относятся туманы, метели и грозы.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Критические погодные явления, наблюдаемые на территории района: сильная жара, достигающая +35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ºС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, отмечаемая практически ежегодно; усиление ветра до 18-23 м/сек может наблюдаться один раз в год; сложное отложение (налипание мокрого снега на проводах) при оттепелях; ливни со шквалами и градом; Метели могут наблюдаться за зиму до 54 дней; сильные метели при выпадении снега вызывают большие заносы; сильные морозы, ежегодно температура воздуха может опускаться до –35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ºС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; высокие уровни воды в период паводка. Число дней с туманом в среднем достигает 24, а в отдельные годы до 44. При сильных туманах, в основном осенью, видимость достигает 100 м; продолжительность такого тумана может составлять 12 часов и больше. </w:t>
      </w:r>
    </w:p>
    <w:p w:rsidR="00383A81" w:rsidRPr="00383A81" w:rsidRDefault="00383A81" w:rsidP="00383A81">
      <w:pPr>
        <w:spacing w:after="0" w:line="360" w:lineRule="auto"/>
        <w:ind w:firstLine="708"/>
        <w:jc w:val="both"/>
        <w:rPr>
          <w:rFonts w:ascii="Times New Roman" w:eastAsia="TimesNewRoman,Bold" w:hAnsi="Times New Roman"/>
          <w:b/>
          <w:bCs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383A81">
        <w:rPr>
          <w:rFonts w:ascii="Times New Roman" w:eastAsia="TimesNewRoman,Bold" w:hAnsi="Times New Roman"/>
          <w:b/>
          <w:bCs/>
          <w:sz w:val="24"/>
          <w:szCs w:val="24"/>
        </w:rPr>
        <w:t>Географическая характеристика района</w:t>
      </w:r>
    </w:p>
    <w:p w:rsidR="00383A81" w:rsidRPr="00383A81" w:rsidRDefault="00383A81" w:rsidP="00383A81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Посёлок расположен в пределах </w:t>
      </w:r>
      <w:hyperlink r:id="rId14" w:tooltip="Чувашское плато (страница отсутствует)" w:history="1">
        <w:r w:rsidRPr="00383A81">
          <w:rPr>
            <w:rFonts w:ascii="Times New Roman" w:eastAsiaTheme="minorHAnsi" w:hAnsi="Times New Roman"/>
            <w:sz w:val="24"/>
            <w:szCs w:val="24"/>
          </w:rPr>
          <w:t>Чувашского плато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>, являющегося частью </w:t>
      </w:r>
      <w:hyperlink r:id="rId15" w:tooltip="Приволжская возвышенность" w:history="1">
        <w:r w:rsidRPr="00383A81">
          <w:rPr>
            <w:rFonts w:ascii="Times New Roman" w:eastAsiaTheme="minorHAnsi" w:hAnsi="Times New Roman"/>
            <w:sz w:val="24"/>
            <w:szCs w:val="24"/>
          </w:rPr>
          <w:t>Приволжской возвышенности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>, в 114 км (по автодороге) к югу от столицы республики города </w:t>
      </w:r>
      <w:hyperlink r:id="rId16" w:tooltip="Чебоксары" w:history="1">
        <w:r w:rsidRPr="00383A81">
          <w:rPr>
            <w:rFonts w:ascii="Times New Roman" w:eastAsiaTheme="minorHAnsi" w:hAnsi="Times New Roman"/>
            <w:sz w:val="24"/>
            <w:szCs w:val="24"/>
          </w:rPr>
          <w:t>Чебоксары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 xml:space="preserve">, в 40 км по железной дороге от города Канаша, в 60 км по железной дороге от города </w:t>
      </w:r>
      <w:hyperlink r:id="rId17" w:tooltip="Алатырь" w:history="1">
        <w:r w:rsidRPr="00383A81">
          <w:rPr>
            <w:rFonts w:ascii="Times New Roman" w:eastAsiaTheme="minorHAnsi" w:hAnsi="Times New Roman"/>
            <w:sz w:val="24"/>
            <w:szCs w:val="24"/>
          </w:rPr>
          <w:t>Алатыря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>.</w:t>
      </w:r>
    </w:p>
    <w:p w:rsidR="00383A81" w:rsidRPr="00383A81" w:rsidRDefault="00383A81" w:rsidP="00383A81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3\4 территории района занимают хвойные и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разнолиственные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леса. Район признан самым благополучным на экологической карте Чувашии.</w:t>
      </w:r>
    </w:p>
    <w:p w:rsidR="00383A81" w:rsidRPr="00383A81" w:rsidRDefault="00383A81" w:rsidP="00383A81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Расположен в центральной части </w:t>
      </w:r>
      <w:hyperlink r:id="rId18" w:tooltip="Чувашия" w:history="1">
        <w:r w:rsidRPr="00383A81">
          <w:rPr>
            <w:rFonts w:ascii="Times New Roman" w:eastAsiaTheme="minorHAnsi" w:hAnsi="Times New Roman"/>
            <w:sz w:val="24"/>
            <w:szCs w:val="24"/>
          </w:rPr>
          <w:t>Чувашской Республики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 xml:space="preserve"> и занимает площадь 1201,2 км² (6,5 % территории республики).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Граничит на севере с 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fldChar w:fldCharType="begin"/>
      </w:r>
      <w:r w:rsidRPr="00383A81">
        <w:rPr>
          <w:rFonts w:ascii="Times New Roman" w:eastAsiaTheme="minorHAnsi" w:hAnsi="Times New Roman"/>
          <w:sz w:val="24"/>
          <w:szCs w:val="24"/>
        </w:rPr>
        <w:instrText xml:space="preserve"> HYPERLINK "https://web.archive.org/web/20150914202029/https:/ru.wikipedia.org/wiki/%D0%92%D1%83%D1%80%D0%BD%D0%B0%D1%80%D1%81%D0%BA%D0%B8%D0%B9_%D1%80%D0%B0%D0%B9%D0%BE%D0%BD_%D0%A7%D1%83%D0%B2%D0%B0%D1%88%D0%B8%D0%B8" \o "Вурнарский район Чувашии" </w:instrText>
      </w:r>
      <w:r w:rsidRPr="00383A81">
        <w:rPr>
          <w:rFonts w:ascii="Times New Roman" w:eastAsiaTheme="minorHAnsi" w:hAnsi="Times New Roman"/>
          <w:sz w:val="24"/>
          <w:szCs w:val="24"/>
        </w:rPr>
        <w:fldChar w:fldCharType="separate"/>
      </w:r>
      <w:r w:rsidRPr="00383A81">
        <w:rPr>
          <w:rFonts w:ascii="Times New Roman" w:eastAsiaTheme="minorHAnsi" w:hAnsi="Times New Roman"/>
          <w:sz w:val="24"/>
          <w:szCs w:val="24"/>
        </w:rPr>
        <w:t>Вурнарским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fldChar w:fldCharType="end"/>
      </w:r>
      <w:r w:rsidRPr="00383A81">
        <w:rPr>
          <w:rFonts w:ascii="Times New Roman" w:eastAsiaTheme="minorHAnsi" w:hAnsi="Times New Roman"/>
          <w:sz w:val="24"/>
          <w:szCs w:val="24"/>
        </w:rPr>
        <w:t> и 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fldChar w:fldCharType="begin"/>
      </w:r>
      <w:r w:rsidRPr="00383A81">
        <w:rPr>
          <w:rFonts w:ascii="Times New Roman" w:eastAsiaTheme="minorHAnsi" w:hAnsi="Times New Roman"/>
          <w:sz w:val="24"/>
          <w:szCs w:val="24"/>
        </w:rPr>
        <w:instrText xml:space="preserve"> HYPERLINK "https://web.archive.org/web/20150914202029/https:/ru.wikipedia.org/wiki/%D0%9A%D0%B0%D0%BD%D0%B0%D1%88%D1%81%D0%BA%D0%B8%D0%B9_%D1%80%D0%B0%D0%B9%D0%BE%D0%BD_%D0%A7%D1%83%D0%B2%D0%B0%D1%88%D0%B8%D0%B8" \o "Канашский район Чувашии" </w:instrText>
      </w:r>
      <w:r w:rsidRPr="00383A81">
        <w:rPr>
          <w:rFonts w:ascii="Times New Roman" w:eastAsiaTheme="minorHAnsi" w:hAnsi="Times New Roman"/>
          <w:sz w:val="24"/>
          <w:szCs w:val="24"/>
        </w:rPr>
        <w:fldChar w:fldCharType="separate"/>
      </w:r>
      <w:r w:rsidRPr="00383A81">
        <w:rPr>
          <w:rFonts w:ascii="Times New Roman" w:eastAsiaTheme="minorHAnsi" w:hAnsi="Times New Roman"/>
          <w:sz w:val="24"/>
          <w:szCs w:val="24"/>
        </w:rPr>
        <w:t>Канашским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fldChar w:fldCharType="end"/>
      </w:r>
      <w:r w:rsidRPr="00383A81">
        <w:rPr>
          <w:rFonts w:ascii="Times New Roman" w:eastAsiaTheme="minorHAnsi" w:hAnsi="Times New Roman"/>
          <w:sz w:val="24"/>
          <w:szCs w:val="24"/>
        </w:rPr>
        <w:t>, на востоке с </w:t>
      </w:r>
      <w:hyperlink r:id="rId19" w:tooltip="Комсомольский район Чувашии" w:history="1">
        <w:r w:rsidRPr="00383A81">
          <w:rPr>
            <w:rFonts w:ascii="Times New Roman" w:eastAsiaTheme="minorHAnsi" w:hAnsi="Times New Roman"/>
            <w:sz w:val="24"/>
            <w:szCs w:val="24"/>
          </w:rPr>
          <w:t>Комсомольским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>, на юге с 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fldChar w:fldCharType="begin"/>
      </w:r>
      <w:r w:rsidRPr="00383A81">
        <w:rPr>
          <w:rFonts w:ascii="Times New Roman" w:eastAsiaTheme="minorHAnsi" w:hAnsi="Times New Roman"/>
          <w:sz w:val="24"/>
          <w:szCs w:val="24"/>
        </w:rPr>
        <w:instrText xml:space="preserve"> HYPERLINK "https://web.archive.org/web/20150914202029/https:/ru.wikipedia.org/wiki/%D0%91%D0%B0%D1%82%D1%8B%D1%80%D0%B5%D0%B2%D1%81%D0%BA%D0%B8%D0%B9_%D1%80%D0%B0%D0%B9%D0%BE%D0%BD_%D0%A7%D1%83%D0%B2%D0%B0%D1%88%D0%B8%D0%B8" \o "Батыревский район Чувашии" </w:instrText>
      </w:r>
      <w:r w:rsidRPr="00383A81">
        <w:rPr>
          <w:rFonts w:ascii="Times New Roman" w:eastAsiaTheme="minorHAnsi" w:hAnsi="Times New Roman"/>
          <w:sz w:val="24"/>
          <w:szCs w:val="24"/>
        </w:rPr>
        <w:fldChar w:fldCharType="separate"/>
      </w:r>
      <w:r w:rsidRPr="00383A81">
        <w:rPr>
          <w:rFonts w:ascii="Times New Roman" w:eastAsiaTheme="minorHAnsi" w:hAnsi="Times New Roman"/>
          <w:sz w:val="24"/>
          <w:szCs w:val="24"/>
        </w:rPr>
        <w:t>Батыревским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fldChar w:fldCharType="end"/>
      </w:r>
      <w:r w:rsidRPr="00383A81">
        <w:rPr>
          <w:rFonts w:ascii="Times New Roman" w:eastAsiaTheme="minorHAnsi" w:hAnsi="Times New Roman"/>
          <w:sz w:val="24"/>
          <w:szCs w:val="24"/>
        </w:rPr>
        <w:t> и 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fldChar w:fldCharType="begin"/>
      </w:r>
      <w:r w:rsidRPr="00383A81">
        <w:rPr>
          <w:rFonts w:ascii="Times New Roman" w:eastAsiaTheme="minorHAnsi" w:hAnsi="Times New Roman"/>
          <w:sz w:val="24"/>
          <w:szCs w:val="24"/>
        </w:rPr>
        <w:instrText xml:space="preserve"> HYPERLINK "https://web.archive.org/web/20150914202029/https:/ru.wikipedia.org/wiki/%D0%90%D0%BB%D0%B0%D1%82%D1%8B%D1%80%D1%81%D0%BA%D0%B8%D0%B9_%D1%80%D0%B0%D0%B9%D0%BE%D0%BD_%D0%A7%D1%83%D0%B2%D0%B0%D1%88%D0%B8%D0%B8" \o "Алатырский район Чувашии" </w:instrText>
      </w:r>
      <w:r w:rsidRPr="00383A81">
        <w:rPr>
          <w:rFonts w:ascii="Times New Roman" w:eastAsiaTheme="minorHAnsi" w:hAnsi="Times New Roman"/>
          <w:sz w:val="24"/>
          <w:szCs w:val="24"/>
        </w:rPr>
        <w:fldChar w:fldCharType="separate"/>
      </w:r>
      <w:r w:rsidRPr="00383A81">
        <w:rPr>
          <w:rFonts w:ascii="Times New Roman" w:eastAsiaTheme="minorHAnsi" w:hAnsi="Times New Roman"/>
          <w:sz w:val="24"/>
          <w:szCs w:val="24"/>
        </w:rPr>
        <w:t>Алатырским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fldChar w:fldCharType="end"/>
      </w:r>
      <w:r w:rsidRPr="00383A81">
        <w:rPr>
          <w:rFonts w:ascii="Times New Roman" w:eastAsiaTheme="minorHAnsi" w:hAnsi="Times New Roman"/>
          <w:sz w:val="24"/>
          <w:szCs w:val="24"/>
        </w:rPr>
        <w:t>, на западе с </w:t>
      </w:r>
      <w:hyperlink r:id="rId20" w:tooltip="Порецкий район Чувашии" w:history="1">
        <w:r w:rsidRPr="00383A81">
          <w:rPr>
            <w:rFonts w:ascii="Times New Roman" w:eastAsiaTheme="minorHAnsi" w:hAnsi="Times New Roman"/>
            <w:sz w:val="24"/>
            <w:szCs w:val="24"/>
          </w:rPr>
          <w:t>Порецким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> и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 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fldChar w:fldCharType="begin"/>
      </w:r>
      <w:r w:rsidRPr="00383A81">
        <w:rPr>
          <w:rFonts w:ascii="Times New Roman" w:eastAsiaTheme="minorHAnsi" w:hAnsi="Times New Roman"/>
          <w:sz w:val="24"/>
          <w:szCs w:val="24"/>
        </w:rPr>
        <w:instrText xml:space="preserve"> HYPERLINK "https://web.archive.org/web/20150914202029/https:/ru.wikipedia.org/wiki/%D0%A8%D1%83%D0%BC%D0%B5%D1%80%D0%BB%D0%B8%D0%BD%D1%81%D0%BA%D0%B8%D0%B9_%D1%80%D0%B0%D0%B9%D0%BE%D0%BD_%D0%A7%D1%83%D0%B2%D0%B0%D1%88%D0%B8%D0%B8" \o "Шумерлинский район Чувашии" </w:instrText>
      </w:r>
      <w:r w:rsidRPr="00383A81">
        <w:rPr>
          <w:rFonts w:ascii="Times New Roman" w:eastAsiaTheme="minorHAnsi" w:hAnsi="Times New Roman"/>
          <w:sz w:val="24"/>
          <w:szCs w:val="24"/>
        </w:rPr>
        <w:fldChar w:fldCharType="separate"/>
      </w:r>
      <w:r w:rsidRPr="00383A81">
        <w:rPr>
          <w:rFonts w:ascii="Times New Roman" w:eastAsiaTheme="minorHAnsi" w:hAnsi="Times New Roman"/>
          <w:sz w:val="24"/>
          <w:szCs w:val="24"/>
        </w:rPr>
        <w:t>Шумерлинским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fldChar w:fldCharType="end"/>
      </w:r>
      <w:r w:rsidRPr="00383A81">
        <w:rPr>
          <w:rFonts w:ascii="Times New Roman" w:eastAsiaTheme="minorHAnsi" w:hAnsi="Times New Roman"/>
          <w:sz w:val="24"/>
          <w:szCs w:val="24"/>
        </w:rPr>
        <w:t> районами.</w:t>
      </w:r>
    </w:p>
    <w:p w:rsidR="00383A81" w:rsidRPr="00383A81" w:rsidRDefault="00383A81" w:rsidP="00383A81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383A81" w:rsidRPr="00383A81" w:rsidRDefault="00383A81" w:rsidP="00383A81">
      <w:pPr>
        <w:autoSpaceDE w:val="0"/>
        <w:autoSpaceDN w:val="0"/>
        <w:adjustRightInd w:val="0"/>
        <w:ind w:left="1068"/>
        <w:contextualSpacing/>
        <w:rPr>
          <w:rFonts w:ascii="Times New Roman" w:eastAsia="TimesNewRoman,Bold" w:hAnsi="Times New Roman"/>
          <w:b/>
          <w:bCs/>
          <w:sz w:val="24"/>
          <w:szCs w:val="24"/>
        </w:rPr>
      </w:pPr>
      <w:r w:rsidRPr="00383A81">
        <w:rPr>
          <w:rFonts w:ascii="Times New Roman" w:eastAsia="TimesNewRoman,Bold" w:hAnsi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671E1F21" wp14:editId="099D1846">
            <wp:extent cx="5563870" cy="6970395"/>
            <wp:effectExtent l="0" t="0" r="0" b="1905"/>
            <wp:docPr id="7" name="Рисунок 7" descr="C:\Users\Vladimir\Desktop\Chuvashia_Ibresinskiy_ray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\Desktop\Chuvashia_Ibresinskiy_rayon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70" cy="697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18699B" w:rsidRPr="00383A81" w:rsidRDefault="0018699B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numPr>
          <w:ilvl w:val="1"/>
          <w:numId w:val="23"/>
        </w:numPr>
        <w:autoSpaceDE w:val="0"/>
        <w:autoSpaceDN w:val="0"/>
        <w:adjustRightInd w:val="0"/>
        <w:spacing w:before="240"/>
        <w:contextualSpacing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383A81">
        <w:rPr>
          <w:rFonts w:ascii="Times New Roman" w:eastAsia="TimesNewRomanPSMT" w:hAnsi="Times New Roman"/>
          <w:b/>
          <w:sz w:val="24"/>
          <w:szCs w:val="24"/>
        </w:rPr>
        <w:t>ГРАДОСТОРОИТЕЛЬНЫЙ АНАЛИЗ ТЕРРИТОРИИ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В соответствии с картой градостроительного зонирования Ибресинского муниципального округа, проектируемый объект располагается в территориальной зоне Ж-3. Зона жилой застройки Ж-3  предназначена для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среднеэтажной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жилой застройки. Определение типа застройки, видов разрешенного использования земельных участков с последующим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перезонированием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данной территории возможно после разработки и утверждения градостроительной документации о застройке территории (проекты планировки, проекты межевания, проекты застройки).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Градостроительным регламентом определяется правовой режим земельных участков, равно как всего, что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находится над и под поверхностью земельных участков и используется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в процессе их застройки и последующей эксплуатации объектов капитального строительства.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Градостроительные регламенты устанавливаются с учетом: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1) фактического использования земельных участков и объектов капитального строительства в границах территориальной зоны;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2)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3) функциональных зон и характеристик их планируемого развития, определенных документами территориального планирования муниципальных образований;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4) видов территориальных зон;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5) требований охраны объектов культурного наследия, а также особо охраняемых природных территорий, иных природных объектов.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Действие градостроительного регламента не распространяется на земельные участки занятые линейными объектами. </w:t>
      </w:r>
    </w:p>
    <w:p w:rsidR="00383A81" w:rsidRPr="00383A81" w:rsidRDefault="00383A81" w:rsidP="00383A81">
      <w:pPr>
        <w:autoSpaceDE w:val="0"/>
        <w:autoSpaceDN w:val="0"/>
        <w:adjustRightInd w:val="0"/>
        <w:jc w:val="center"/>
        <w:rPr>
          <w:rFonts w:ascii="Times New Roman" w:eastAsia="TimesNewRomanPSMT" w:hAnsi="Times New Roman"/>
          <w:b/>
          <w:color w:val="000000"/>
          <w:sz w:val="24"/>
          <w:szCs w:val="24"/>
        </w:rPr>
      </w:pPr>
      <w:r w:rsidRPr="00383A81">
        <w:rPr>
          <w:rFonts w:ascii="Times New Roman" w:eastAsia="TimesNewRomanPSMT" w:hAnsi="Times New Roman"/>
          <w:b/>
          <w:color w:val="000000"/>
          <w:sz w:val="24"/>
          <w:szCs w:val="24"/>
        </w:rPr>
        <w:t>1.2 ОБОСНОВАНИЕ ПОЛОЖЕНИЙ ПО РАЗМЕЩЕНИЮ ОБЪЕКТА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При выборе места был выбран наиболее подходящий способ размещения.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Планировочное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решение продуктивно сложившейся планировкой земельного участка, а так же существующими сетями различных коммуникаций. 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Подготовка документации по планировке территории осуществляется в целях обеспечения устойчивого развития территорий, выделения элементов планировочной структуры (кварталов, микрорайонов, иных элементов), 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объектов.</w:t>
      </w:r>
    </w:p>
    <w:p w:rsidR="00383A81" w:rsidRPr="00383A81" w:rsidRDefault="00383A81" w:rsidP="00383A81">
      <w:pPr>
        <w:spacing w:line="360" w:lineRule="auto"/>
        <w:ind w:firstLine="708"/>
        <w:jc w:val="center"/>
        <w:rPr>
          <w:rFonts w:ascii="Times New Roman" w:eastAsiaTheme="minorHAnsi" w:hAnsi="Times New Roman"/>
          <w:b/>
          <w:sz w:val="27"/>
          <w:szCs w:val="27"/>
        </w:rPr>
        <w:sectPr w:rsidR="00383A81" w:rsidRPr="00383A81" w:rsidSect="003D0E8E">
          <w:pgSz w:w="11906" w:h="16838"/>
          <w:pgMar w:top="1276" w:right="707" w:bottom="851" w:left="1418" w:header="708" w:footer="708" w:gutter="0"/>
          <w:cols w:space="708"/>
          <w:docGrid w:linePitch="360"/>
        </w:sectPr>
      </w:pPr>
    </w:p>
    <w:tbl>
      <w:tblPr>
        <w:tblW w:w="1507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29"/>
        <w:gridCol w:w="66"/>
        <w:gridCol w:w="81"/>
      </w:tblGrid>
      <w:tr w:rsidR="00383A81" w:rsidRPr="00383A81" w:rsidTr="00383A81">
        <w:trPr>
          <w:trHeight w:val="21"/>
          <w:tblCellSpacing w:w="15" w:type="dxa"/>
        </w:trPr>
        <w:tc>
          <w:tcPr>
            <w:tcW w:w="14884" w:type="dxa"/>
            <w:vAlign w:val="center"/>
            <w:hideMark/>
          </w:tcPr>
          <w:p w:rsidR="00383A81" w:rsidRPr="00383A81" w:rsidRDefault="00383A81" w:rsidP="00383A81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" w:type="dxa"/>
            <w:vAlign w:val="center"/>
            <w:hideMark/>
          </w:tcPr>
          <w:p w:rsidR="00383A81" w:rsidRPr="00383A81" w:rsidRDefault="00383A81" w:rsidP="00383A81">
            <w:pPr>
              <w:ind w:firstLine="70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83A81" w:rsidRPr="00383A81" w:rsidRDefault="00383A81" w:rsidP="00383A81">
            <w:pPr>
              <w:ind w:firstLine="70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383A81" w:rsidRPr="00383A81" w:rsidRDefault="00383A81" w:rsidP="00383A81">
      <w:pPr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 </w:t>
      </w:r>
      <w:r w:rsidRPr="00383A81">
        <w:rPr>
          <w:rFonts w:ascii="Times New Roman" w:eastAsiaTheme="minorHAnsi" w:hAnsi="Times New Roman"/>
          <w:b/>
          <w:sz w:val="24"/>
          <w:szCs w:val="24"/>
        </w:rPr>
        <w:t>Объектов культурного наследия</w:t>
      </w:r>
      <w:r w:rsidRPr="00383A81">
        <w:rPr>
          <w:rFonts w:ascii="Times New Roman" w:eastAsiaTheme="minorHAnsi" w:hAnsi="Times New Roman"/>
          <w:sz w:val="24"/>
          <w:szCs w:val="24"/>
        </w:rPr>
        <w:t xml:space="preserve"> на данной территории нет, мероприятия по сохранению объектов культурного наследия не требуется. Охрана окружающей среды в зоне размещения строительства должна осуществляться в соответствии с действующими нормативными правовыми актами по вопросам охраны окружающей природной среды и рациональному использованию природных ресурсов.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Работы строительных машин и механизмов должны быть отрегулированы на минимально допустимый выброс выхлопных газов и шума. Выполнение работ должно вестись с соблюдением чистоты территории, а санитарно-бытовые помещения должны быть оборудованы средствами биологической очистки или сбором бытовых отходов в непроницаемую металлическую емкость с регулярной последующей ее очисткой и обезвреживанием. Территория должна предохраняться от попадания в нее горюче-смазочных материалов. Все виды отходов,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образующихся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в процессе строительства собираются в закрытые металлические контейнеры на территории предприятия, производящего строительство и вывозятся лицензированной организацией на свалку ТБО. При соблюдении норм и правил сбора и хранения отходов, а также своевременном удалении отходов с территории, отрицательное воздействие на окружающую среду будет минимально снижено.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Все строительно-монтажные работы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производятся последовательно и не совпадают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по времени. В связи с этим, загрязняющие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вещества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выбрасываемые в атмосферу, носят кратковременный характер и не оказывают вредного воздействия на атмосферный воздух в период строительно-монтажных работ.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При организации строительной площадки вблизи зеленых насаждений работа строительных машин и механизмов должна обеспечить сохранность существующих зеленых насаждений. Для уменьшения загрязнения атмосферы в процессе осуществления строительства рекомендуется выполнять следующие мероприятия: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применение электроэнергии для технологических нужд строительства, взамен твердого и жидкого топлива при приготовлении органических вяжущих, изоляционных материалов и асфальтобетонных смесей, оттаивания грунта, прогрева строительных конструкций и прогрева воды;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применение герметичных емкостей для перевозки растворов, бетона и других строительных материалов;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устранение открытого хранения, погрузки и перевозки сыпучих пылящих материалов (применение контейнеров, специальных транспортных средств);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lastRenderedPageBreak/>
        <w:t>1.3 МЕРОПРИЯТИЯ ПО ЗАЩИТЕ ТЕРРИТОРИИ ОТ ЧРЕЗВЫЧАЙНЫХ СИТУАЦИЙ ПРИРОДНОГО И ТЕХНОГЕННОГО ХАРАКТЕРА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На планируемой территории возможны следующие неблагоприятные природные процессы и явления, способные привести к возникновению чрезвычайных ситуаций: шквалистые и ураганные ветра, сильный дождь и снег, ливни, крупный град, сильная метель, сильный мороз, гололед, сильная жара, природные пожары, просадка лессовых п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о-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род, речная эрозия. С целью защиты населения от опасных метеорологических явлений и процессов предусматривается комплекс мероприятий по предотвращению развития гололедных явлений, снежных заносов.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 xml:space="preserve">Предотвращение развития гололедных явлений на дорожных покрытиях территории осуществляют дорожные организации (предприятия), занимающиеся зимним содержанием автомобильных дорог общего пользования, контроль за состоянием дорожных одежд осуществляют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домоуправляющие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компании.</w:t>
      </w:r>
      <w:proofErr w:type="gramEnd"/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 соответствии с «Руководством по борьбе с зимней скользкостью на автомобил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ь-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ных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дорогах», утвержденным Распоряжением Минтранса России от 16.06.2003 № ОС- 548-р для предупреждения образования или ликвидации зимней скользкости проводят следующие мероприятия: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профилактическую обработку покрытий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противогололедными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материалами (ПГМ) до появления зимней скользкости или в начале снегопада, чтобы предотвратить образование снежного наката;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ликвидацию снежно-ледяных отложений с помощью химических или комбинированных ПГМ;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обработку снежно-ледяных отложений фрикционными материалами.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Профилактический способ позволяет снизить затраты дорожной службы на борьбу с зимней скользкостью, обеспечить допустимые сцепные качества покрытий и безопасность движения в зимний период, уменьшить вредное воздействие ПГМ на окружающую среду за счет применения рациональной технологии и минимально-допустимых норм распределения ПГМ.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Для защиты зданий, сооружений и строительных коммуникаций от воздействия молнии применяются различные способы: установка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молниеприемников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>, токоотводов и заземлителей, экранирование и др.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При выборе комплекса средств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молниезащиты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следует руководствоваться Инструкцией по устройству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молниезащиты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зданий, сооружений и инженерных </w:t>
      </w: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коммуникаций, утвержденной Приказом Минэнерго России от 30.06.2003 №280, которая распространяется на все виды зданий, сооружений и промышленных коммуникаций независимо от ведомственной принадлежности и формы собственности.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Тип и размещение устройств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молниезащиты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выбираются на стадии проектирования нового объекта, чтобы иметь возможность максимально использовать проводящие элементы последнего. Это облегчит разработку и исполнение устройств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молниезащиты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, совмещенных с самим зданием, позволит улучшить его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эстетический вид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, повысить эффективность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молниезащиты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>, минимизировать ее стоимость и трудозатраты.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Мероприятий по обеспечению на линейном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объекте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безопасного движения в период его строительства. С целью не проникновения посторонних в зону производства работ, готовые участки траншеи оградить с обеих сторон инвентарным ограждением с предупреждающими и запрещающими знаками, установить информационный щит. Места выгрузки и временного складирования выбирать таким образом, чтобы не создавать дискомфортных условий для проезда транспорта и прохода пешеходов. Места складирования указывает производитель работ по месту. 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Для обеспечения прохода пешеходов через готовые участки траншеи с одной стороны на другую предусмотреть устройство пешеходных мостиков шириной не менее 1.5 м в местах, наиболее благоприятных для этого (установить по месту).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При разгрузке автотранспорта с установкой его на проезжей части установить сигнальное ограждение и установить предупреждающие дорожные знаки. Закрытие дорог на период производства работ согласовать с соответствующими инспектирующими организациями.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b/>
          <w:sz w:val="24"/>
          <w:szCs w:val="24"/>
          <w:u w:val="single"/>
        </w:rPr>
        <w:t>Техника безопасности.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При организации строительных работ следует предусмотреть максимальное использование средств механизации, транспорта, рабочей силы. Необходимо руководствоваться СНиП 12-03-2001 «Безопасность труда в строительстве. Часть 1. Общие требования», СНиП 12-04-2002 «Безопасность труда в строительстве. Часть 2. Строительное производство», требованиями санитарно-гигиенических норм и правил Минздрава РФ, правил техники безопасности, утвержденных в установленном порядке.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 целях обеспечения готовности к действиям по локализации и ликвидации последствий аварии организация, эксплуатирующая опасный производственный объект, обязана: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 xml:space="preserve">˗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планировать и осуществлять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мероприятия по локализации и ликвидации последствий аварий на опасном производственном объекте;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создать системы наблюдения, оповещения, связи и поддержки действий в случае аварии и поддерживать указанные системы в пригодном к использованию состоянии;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изучить правила техники безопасности и охраны труда по всему объекту;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назначить ответственных за выполнение правил техники безопасности;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провести вводный инструктаж при начале работ и инструктаж на рабочих местах;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провести изучение должностных инструкций, инструкций по технике безопасности, законодательства по данному вопросу с рабочими всех специальностей.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Трассы подземных водопроводов обозначаются опознавательными знаками, нанесенными на постоянные ориентиры или железобетонные столбики высотой до 1,5метров (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вне городских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и сельских поселений). Знаки устанавливаются в пределах прямой видимости  не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реже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чем 500 метров друг от друга, а также в местах пересечений водопроводов с автомобильными дорогами, на поворотах. На опознавательных знаках указывается расстояние от водопровода, глубина его заложения и телефон аварийно-диспетчерской службы.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Опознавательные знаки устанавливаются или наносятся строительными организациями на постоянные ориентиры в период сооружения водопроводной сети. В дальнейшем установка, ремонт или восстановление опознавательных знаков водопроводов производятся эксплуатационной организацией водопроводной сети. Установка знаков оформляется совместным актом с собственниками, владельцами или пользователями земельных участков, по которым проходит трасса.</w:t>
      </w:r>
    </w:p>
    <w:p w:rsidR="00383A81" w:rsidRPr="00383A81" w:rsidRDefault="00383A81" w:rsidP="00383A81">
      <w:pPr>
        <w:tabs>
          <w:tab w:val="left" w:pos="8453"/>
        </w:tabs>
        <w:ind w:firstLine="708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b/>
          <w:sz w:val="24"/>
          <w:szCs w:val="24"/>
          <w:u w:val="single"/>
        </w:rPr>
        <w:t>Пожарная безопасность.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Система предотвращения пожара на данном объекте обеспечивается соблюдением действующих нормативно-правовых, нормативных документов в части учета мер пожарной безопасности при разработке проектной документации, соблюдении требований пожарной безопасности проведении строительно-монтажных работ, направленных на:</w:t>
      </w:r>
      <w:proofErr w:type="gramEnd"/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Ограничение горючей среды, которое достигается: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использованием современного не пожароопасного технологического оборудования, машин, механизмов;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˗ ограничение количества пожароопасных веществ и материалов, используемых в технологических процессах;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ограничением количества горючих веществ и материалов, одновременно находящихся в местах, где они обращаются;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использование наиболее безопасных способов размещения горючих веществ и материалов, а также материалов, взаимодействие которых друг с другом приводит к образованию горючей среды;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механизацией и автоматизацией технологических процессов, связанных с обращением горючих веществ;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соблюдение требуемых противопожарных расстояний от ме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ст скл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адирования горючих материалов и ограничение их объема, в зависимости от производственной потребности;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удаление горючих отходов за пределы проведения строительно-монтажных работ;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подготовка мест проведения работ путем очистки от горючих материалов (сухой травы, отходов от пиления древесины).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Исключение возможности образования источников зажигания, которое достигается: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применением электрооборудования, соответствующего требованиям Федерального закона № 123-ФЗ, ГОСТ 12.1.011 и Правилам устройства электроустановок;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применением в конструкции применяемого электрооборудования быстродействующих средств защитного отключения;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поддержанием безопасной температуры нагрева веществ, материалов, которые контактируют с горючей средой;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применение искробезопасного инструмента при работе с легковоспламеняющимися жидкостями;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исключение применения открытого огня в месте проведения работ;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оборудование специальных мест курения для рабочих;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хранение используемых веществ и материалов, в зависимости от их пожароопасных свойств, возможности образования источников зажигания при контакте одних веществ и с другими.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Система противопожарной защиты обеспечивается комплексом конструктивных, объемно-планировочных решений, применением сре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дств пр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отивопожарной защиты.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 систему противопожарной защиты объекта входят: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объемно-планировочные и конструктивные решения временных зданий и сооружений,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˗ обеспечивающие своевременную эвакуацию людей и их защиту от опасных факторов пожара;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разработка мероприятий, направленных на ограничение распространения продуктов сгорания между помещениями, зданиями и сооружениями по технологическим и инженерным коммуникациям;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обеспечение объекта телефонной связью для вызова пожарных подразделений, в случае возникновения загорания;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обеспечение зданий и сооружений необходимым количеством первичных средств пожаротушения.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b/>
          <w:sz w:val="24"/>
          <w:szCs w:val="24"/>
          <w:u w:val="single"/>
        </w:rPr>
        <w:t>Охрана окружающей среды.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В связи с отсутствием источников образования отходов в период эксплуатации, соответствующие расчеты не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проводились и мероприятия по предотвращению влияния вредного воздействия отходами производства не разрабатывались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 пределах рассматриваемой территории не сохранилось естественных местообитаний животных. На растительность и животный мир строительство автодороги воздействия не оказывает.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Снижение возможного негативного воздействия на геологическую среду предусматривается проводить за счет: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выполнения операций по заправке автотранспорта и строительных механизмов на существующих заправках;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˗ оснащения рабочих мест и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строительной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площадки контейнерами для сбора бытовых и строительных отходов;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обязательного соблюдения границ территории, отведенной под строительство;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˗ сброса производственных сточных вод в специально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отведенные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для этих целей места, согласованные с контролирующими органами;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соблюдения проектных решений по рекультивации грунта, нарушенного при строительстве автодороги и других строительных работ.</w:t>
      </w:r>
    </w:p>
    <w:p w:rsidR="00383A81" w:rsidRPr="00383A81" w:rsidRDefault="00383A81" w:rsidP="00383A81">
      <w:pPr>
        <w:ind w:firstLine="708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383A81">
        <w:rPr>
          <w:rFonts w:ascii="Times New Roman" w:eastAsia="TimesNewRomanPSMT" w:hAnsi="Times New Roman"/>
          <w:b/>
          <w:sz w:val="24"/>
          <w:szCs w:val="24"/>
        </w:rPr>
        <w:t>1.4 ЗОНЫ С ОСОБЫМИ УСЛОВИЯМИ ИСПОЛЬЗОВАНИЯ ТЕРРИТОРИИ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Согласно письму Министерства природных ресурсов и экологии Чувашской  Республики №4/10-9604 от 10.0.2020 г., на территории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изысканий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особо охраняемые природные территории местного и регионального значения отсутствуют.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Согласно письму Министерства природных ресурсов и экологии Российской  Федерации №05-12-32/5143 от 20.02.2018 г., охраняемые природные территории федерального значения на исследуемом участке отсутствуют.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 xml:space="preserve">Согласно письму Министерства культуры по делам национальностей и архивного дела  Чувашской Республики №05/22-5 722 от 11.08.2020 г., на участке размещения </w:t>
      </w: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проектируемого   объекта  отсутствуют  объекты  культурного наследия, включенные в Единый государственный реестр объектов культурного наследия народов Российской Федерации, выявленные      объекты культурного наследия и объекты, обладающие признаками объекта культурного наследия.</w:t>
      </w:r>
      <w:proofErr w:type="gramEnd"/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Согласно письму Министерства природных ресурсов и экологии Чувашской  Республики №2/10-10261 от 26.08.2020 г., участок  изысканий  в пределы установленных  в соответствии с  законодательством Российской Федерации порядке границ зон санитарной охраны источников питьевого и хозяйственно-бытового водоснабжения не входит.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Согласно письму Государственной ветеринарной службы Чувашской  Республики № 07/17-2490 от 10.08.2020 г., на территории  исследуемого объекта скотомогильников и  иных  мест захоронения биологических отходов не имеется.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Согласно письму Федерального агентства по недропользованию  №СА-01-30/4752  от 06.04.2018 г., в рамках оптимизации градостроительной деятельности при строительстве объектов капитального строительства на земельных участках,  расположенных  в пределах  границ  населенных пунктов, получение застройщиками заключений территориальных органов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Роснедр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об отсутствии полезных ископаемых в недрах под участком предстоящей застройки не требуется.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Все работы вблизи или в охранной зоне необходимо проводить в светлое время суток в присутствии представителя эксплуатирующей организации.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b/>
          <w:sz w:val="24"/>
          <w:szCs w:val="24"/>
          <w:u w:val="single"/>
        </w:rPr>
        <w:t>Охранная зона ЛЭП.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предметы, а также подниматься на опоры воздушных линий электропередачи; б) размещать любые объекты и предметы (материалы) в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пределах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 xml:space="preserve"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</w:t>
      </w: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электропередачи, а также в охранных зонах кабельных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Цели и способы использования водных объектов: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Водные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объекты могут использоваться для следующих целей: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питьевого и хозяйственно-бытового водоснабжения;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здравоохранения;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промышленности и энергетики;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сельского хозяйства лесного хозяйства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 xml:space="preserve"> ;</w:t>
      </w:r>
      <w:proofErr w:type="gramEnd"/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гидроэнергетики;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рекреации;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транспорта;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строительства;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пожарной безопасности;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рыбного хозяйства;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охотничьего хозяйства;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лесосплава;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добычи полезных ископаемых, торфа и сапропеля;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для иных целей.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Использование водных объектов может осуществляться с изъятием (забор воды) либо без изъятия (сброс, использование в качестве водных путей и другое) водных ресурсов.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Водные объекты или их части могут предоставляться в пользование для удовлетворения одной или нескольких целей, одному или нескольким водопользователям.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Особенности использования водных объектов для определенных целей определяются федеральными законами в соответствии с водным законодательством Российской Федерации.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b/>
          <w:sz w:val="24"/>
          <w:szCs w:val="24"/>
          <w:u w:val="single"/>
        </w:rPr>
        <w:t>Охрана водопроводной сети.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 xml:space="preserve">Охранная зона устанавливается в целях обеспечения сохранности водопроводных сетей согласно СанПиН 2.1.4.1110-02 2.1.4. ПИТЬЕВАЯ ВОДА И ВОДОСНАБЖЕНИЕ НАСЕЛЕННЫХ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МЕСТ ЗОНЫ САНИТАРНОЙ ОХРАНЫ ИСТОЧНИКОВ ВОДОСНАБЖЕНИЯ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И ВОДОПРОВОДОВ ПИТЬЕВОГО НАЗНАЧЕНИЯ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Законодательно установлен обязательный минимум, который не может быть уменьшен ни при каких обстоятельствах: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от фундамента зданий и сооружений - не менее 5 м;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от фундаментов ограждений, эстакад, опор - не менее 3 м;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от бортового камня улицы - не менее 2 м;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от опор воздушных линий электропередач - от 1 до 3 м в зависимости от мощности сети.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Таким образом, охранные зоны водопровода и канализации разнятся по ширине в зависимости от внешних факторов.</w:t>
      </w: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02BB970" wp14:editId="0875DBBA">
            <wp:extent cx="5891530" cy="6797675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530" cy="679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Соответственно непосредственно строгая прямая линия на определенном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расстоянии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от оси водопровода не может быть проведена. Плановые работы и реконструкции водопровода, проходящего по территории землепользователя, производятся по согласованию с ним. 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Работы по предотвращению, ликвидации аварий или ликвидации их последствий на водопроводе производятся в любое время без согласования с землепользователем, с обязательным уведомлением его о производимых работах.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sz w:val="24"/>
          <w:szCs w:val="24"/>
          <w:u w:val="single"/>
        </w:rPr>
        <w:lastRenderedPageBreak/>
        <w:t>Правила охраны газораспределительных сетей (утв. </w:t>
      </w:r>
      <w:hyperlink r:id="rId23" w:history="1">
        <w:r w:rsidRPr="00383A81">
          <w:rPr>
            <w:rFonts w:ascii="Times New Roman" w:eastAsiaTheme="minorHAnsi" w:hAnsi="Times New Roman"/>
            <w:sz w:val="24"/>
            <w:szCs w:val="24"/>
            <w:u w:val="single"/>
          </w:rPr>
          <w:t>постановлением</w:t>
        </w:r>
      </w:hyperlink>
      <w:r w:rsidRPr="00383A81">
        <w:rPr>
          <w:rFonts w:ascii="Times New Roman" w:eastAsiaTheme="minorHAnsi" w:hAnsi="Times New Roman"/>
          <w:sz w:val="24"/>
          <w:szCs w:val="24"/>
          <w:u w:val="single"/>
        </w:rPr>
        <w:t> Правительства РФ от 20 ноября 2000 г. N 878)</w:t>
      </w:r>
    </w:p>
    <w:p w:rsidR="00383A81" w:rsidRPr="00383A81" w:rsidRDefault="00383A81" w:rsidP="00383A81">
      <w:pPr>
        <w:spacing w:before="240" w:after="0" w:line="360" w:lineRule="auto"/>
        <w:ind w:left="426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before="240" w:after="0" w:line="360" w:lineRule="auto"/>
        <w:ind w:left="426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t xml:space="preserve">На проектируемом земельном участке расположены охранные зоны: </w:t>
      </w:r>
    </w:p>
    <w:p w:rsidR="00383A81" w:rsidRPr="00383A81" w:rsidRDefault="00383A81" w:rsidP="00383A81">
      <w:pPr>
        <w:spacing w:before="24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21:10-6.238 – Зона санитарной охраны источников водоснабжения и водопроводов питьевого назначения;</w:t>
      </w:r>
    </w:p>
    <w:p w:rsidR="00383A81" w:rsidRPr="00383A81" w:rsidRDefault="00383A81" w:rsidP="00383A81">
      <w:pPr>
        <w:spacing w:before="24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21:10-6.239 - Зона санитарной охраны источников водоснабжения и водопроводов питьевого назначения</w:t>
      </w:r>
    </w:p>
    <w:p w:rsidR="00383A81" w:rsidRPr="00383A81" w:rsidRDefault="00383A81" w:rsidP="00383A81">
      <w:pPr>
        <w:spacing w:before="240" w:after="0" w:line="360" w:lineRule="auto"/>
        <w:ind w:left="426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before="240" w:after="0" w:line="360" w:lineRule="auto"/>
        <w:ind w:left="426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986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3"/>
        <w:gridCol w:w="243"/>
        <w:gridCol w:w="81"/>
      </w:tblGrid>
      <w:tr w:rsidR="00383A81" w:rsidRPr="00383A81" w:rsidTr="00383A81">
        <w:trPr>
          <w:tblCellSpacing w:w="15" w:type="dxa"/>
        </w:trPr>
        <w:tc>
          <w:tcPr>
            <w:tcW w:w="9498" w:type="dxa"/>
            <w:vAlign w:val="center"/>
            <w:hideMark/>
          </w:tcPr>
          <w:p w:rsidR="00383A81" w:rsidRPr="00383A81" w:rsidRDefault="00383A81" w:rsidP="00383A81">
            <w:pPr>
              <w:ind w:firstLine="70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13" w:type="dxa"/>
            <w:vAlign w:val="center"/>
            <w:hideMark/>
          </w:tcPr>
          <w:p w:rsidR="00383A81" w:rsidRPr="00383A81" w:rsidRDefault="00383A81" w:rsidP="00383A81">
            <w:pPr>
              <w:ind w:firstLine="70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83A81" w:rsidRPr="00383A81" w:rsidRDefault="00383A81" w:rsidP="00383A81">
            <w:pPr>
              <w:ind w:firstLine="70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383A81" w:rsidRPr="00383A81" w:rsidRDefault="00383A81" w:rsidP="00383A81">
      <w:pPr>
        <w:jc w:val="both"/>
        <w:rPr>
          <w:rFonts w:ascii="Times New Roman" w:eastAsiaTheme="minorHAnsi" w:hAnsi="Times New Roman"/>
          <w:noProof/>
          <w:sz w:val="22"/>
          <w:szCs w:val="22"/>
          <w:lang w:eastAsia="ru-RU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noProof/>
          <w:sz w:val="22"/>
          <w:szCs w:val="22"/>
          <w:lang w:eastAsia="ru-RU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noProof/>
          <w:sz w:val="22"/>
          <w:szCs w:val="22"/>
          <w:lang w:eastAsia="ru-RU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383A81" w:rsidRPr="00383A81" w:rsidRDefault="00383A81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Default="00383A81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383A81">
        <w:rPr>
          <w:rFonts w:ascii="Times New Roman" w:eastAsiaTheme="minorHAnsi" w:hAnsi="Times New Roman"/>
          <w:b/>
          <w:bCs/>
          <w:sz w:val="24"/>
          <w:szCs w:val="24"/>
        </w:rPr>
        <w:t>ЧАСТЬ 2. ГРАФИЧЕСКАЯ ЧАСТЬ.</w:t>
      </w:r>
    </w:p>
    <w:p w:rsidR="00F945FD" w:rsidRPr="00383A81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F945FD" w:rsidRDefault="00F945FD" w:rsidP="00F945F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853410" cy="8763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410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F945FD" w:rsidRDefault="00F945FD" w:rsidP="00F945F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63583" cy="8858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775" cy="886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A81" w:rsidRDefault="00383A81" w:rsidP="00383A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383A81" w:rsidSect="00824595">
      <w:headerReference w:type="default" r:id="rId26"/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E8E" w:rsidRDefault="003D0E8E">
      <w:pPr>
        <w:spacing w:after="0" w:line="240" w:lineRule="auto"/>
      </w:pPr>
      <w:r>
        <w:separator/>
      </w:r>
    </w:p>
  </w:endnote>
  <w:endnote w:type="continuationSeparator" w:id="0">
    <w:p w:rsidR="003D0E8E" w:rsidRDefault="003D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E8E" w:rsidRDefault="003D0E8E">
      <w:pPr>
        <w:spacing w:after="0" w:line="240" w:lineRule="auto"/>
      </w:pPr>
      <w:r>
        <w:separator/>
      </w:r>
    </w:p>
  </w:footnote>
  <w:footnote w:type="continuationSeparator" w:id="0">
    <w:p w:rsidR="003D0E8E" w:rsidRDefault="003D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E8E" w:rsidRPr="006B3389" w:rsidRDefault="003D0E8E" w:rsidP="006B3389">
    <w:pPr>
      <w:pStyle w:val="a4"/>
      <w:jc w:val="right"/>
      <w:rPr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5764111"/>
    <w:multiLevelType w:val="hybridMultilevel"/>
    <w:tmpl w:val="FB36F662"/>
    <w:lvl w:ilvl="0" w:tplc="71065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F702E4"/>
    <w:multiLevelType w:val="hybridMultilevel"/>
    <w:tmpl w:val="3A645710"/>
    <w:lvl w:ilvl="0" w:tplc="895E41E6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EB86CB1"/>
    <w:multiLevelType w:val="multilevel"/>
    <w:tmpl w:val="158271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18011794"/>
    <w:multiLevelType w:val="multilevel"/>
    <w:tmpl w:val="B6BE22C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1A1B3F7C"/>
    <w:multiLevelType w:val="hybridMultilevel"/>
    <w:tmpl w:val="B298E1D8"/>
    <w:lvl w:ilvl="0" w:tplc="3F6C5F04">
      <w:start w:val="1"/>
      <w:numFmt w:val="decimal"/>
      <w:lvlText w:val="%1.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0">
    <w:nsid w:val="1A764648"/>
    <w:multiLevelType w:val="hybridMultilevel"/>
    <w:tmpl w:val="D7847E22"/>
    <w:lvl w:ilvl="0" w:tplc="710659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12">
    <w:nsid w:val="2A6061E2"/>
    <w:multiLevelType w:val="hybridMultilevel"/>
    <w:tmpl w:val="185E1194"/>
    <w:lvl w:ilvl="0" w:tplc="710659DA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3">
    <w:nsid w:val="2A8903DD"/>
    <w:multiLevelType w:val="multilevel"/>
    <w:tmpl w:val="EC24D47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4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5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F70D71"/>
    <w:multiLevelType w:val="multilevel"/>
    <w:tmpl w:val="C79EA5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17">
    <w:nsid w:val="6A7A0D50"/>
    <w:multiLevelType w:val="multilevel"/>
    <w:tmpl w:val="AF0294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B10194F"/>
    <w:multiLevelType w:val="hybridMultilevel"/>
    <w:tmpl w:val="2D28D3BC"/>
    <w:lvl w:ilvl="0" w:tplc="7966B9DE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5016EF0"/>
    <w:multiLevelType w:val="hybridMultilevel"/>
    <w:tmpl w:val="9DB83500"/>
    <w:lvl w:ilvl="0" w:tplc="71065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540707"/>
    <w:multiLevelType w:val="multilevel"/>
    <w:tmpl w:val="78A4A3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2">
    <w:nsid w:val="7E794C11"/>
    <w:multiLevelType w:val="hybridMultilevel"/>
    <w:tmpl w:val="C1AC6F30"/>
    <w:lvl w:ilvl="0" w:tplc="71065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19"/>
  </w:num>
  <w:num w:numId="10">
    <w:abstractNumId w:val="9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7"/>
  </w:num>
  <w:num w:numId="14">
    <w:abstractNumId w:val="18"/>
  </w:num>
  <w:num w:numId="15">
    <w:abstractNumId w:val="10"/>
  </w:num>
  <w:num w:numId="16">
    <w:abstractNumId w:val="22"/>
  </w:num>
  <w:num w:numId="17">
    <w:abstractNumId w:val="20"/>
  </w:num>
  <w:num w:numId="18">
    <w:abstractNumId w:val="5"/>
  </w:num>
  <w:num w:numId="19">
    <w:abstractNumId w:val="21"/>
  </w:num>
  <w:num w:numId="20">
    <w:abstractNumId w:val="7"/>
  </w:num>
  <w:num w:numId="21">
    <w:abstractNumId w:val="8"/>
  </w:num>
  <w:num w:numId="22">
    <w:abstractNumId w:val="1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6634F"/>
    <w:rsid w:val="0007698D"/>
    <w:rsid w:val="00082EEC"/>
    <w:rsid w:val="000837FF"/>
    <w:rsid w:val="00091545"/>
    <w:rsid w:val="0009308C"/>
    <w:rsid w:val="00097B16"/>
    <w:rsid w:val="000B3828"/>
    <w:rsid w:val="000C0117"/>
    <w:rsid w:val="000D36C2"/>
    <w:rsid w:val="000E7BAD"/>
    <w:rsid w:val="000F7ACB"/>
    <w:rsid w:val="00100BDF"/>
    <w:rsid w:val="001017B5"/>
    <w:rsid w:val="00123C6D"/>
    <w:rsid w:val="00130F9A"/>
    <w:rsid w:val="00131FCC"/>
    <w:rsid w:val="0013240D"/>
    <w:rsid w:val="00134A6A"/>
    <w:rsid w:val="00157504"/>
    <w:rsid w:val="00157AA4"/>
    <w:rsid w:val="001654D8"/>
    <w:rsid w:val="0016716E"/>
    <w:rsid w:val="00172923"/>
    <w:rsid w:val="00176756"/>
    <w:rsid w:val="001831B0"/>
    <w:rsid w:val="0018699B"/>
    <w:rsid w:val="001C0C51"/>
    <w:rsid w:val="001D0460"/>
    <w:rsid w:val="001D67E0"/>
    <w:rsid w:val="001E5A97"/>
    <w:rsid w:val="001F428D"/>
    <w:rsid w:val="00211E20"/>
    <w:rsid w:val="0022438B"/>
    <w:rsid w:val="00243E1C"/>
    <w:rsid w:val="002521A1"/>
    <w:rsid w:val="002566FA"/>
    <w:rsid w:val="00263BF4"/>
    <w:rsid w:val="00280762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82467"/>
    <w:rsid w:val="00383A81"/>
    <w:rsid w:val="003B1BA4"/>
    <w:rsid w:val="003C26F9"/>
    <w:rsid w:val="003C78D4"/>
    <w:rsid w:val="003D0E8E"/>
    <w:rsid w:val="003E3EF5"/>
    <w:rsid w:val="00413966"/>
    <w:rsid w:val="00431056"/>
    <w:rsid w:val="00455EC7"/>
    <w:rsid w:val="00457F1D"/>
    <w:rsid w:val="00465919"/>
    <w:rsid w:val="004702C2"/>
    <w:rsid w:val="00480441"/>
    <w:rsid w:val="00492C5D"/>
    <w:rsid w:val="004C0288"/>
    <w:rsid w:val="004D55E9"/>
    <w:rsid w:val="004D7DB3"/>
    <w:rsid w:val="004F007C"/>
    <w:rsid w:val="004F1A99"/>
    <w:rsid w:val="004F1EDC"/>
    <w:rsid w:val="00504554"/>
    <w:rsid w:val="00516855"/>
    <w:rsid w:val="0052435A"/>
    <w:rsid w:val="00537509"/>
    <w:rsid w:val="00552188"/>
    <w:rsid w:val="005565C3"/>
    <w:rsid w:val="00560E91"/>
    <w:rsid w:val="0056185E"/>
    <w:rsid w:val="00561DD4"/>
    <w:rsid w:val="00571499"/>
    <w:rsid w:val="005A3428"/>
    <w:rsid w:val="005A3A22"/>
    <w:rsid w:val="005A76E6"/>
    <w:rsid w:val="005C346E"/>
    <w:rsid w:val="005D0CC8"/>
    <w:rsid w:val="005F0FCD"/>
    <w:rsid w:val="005F2C40"/>
    <w:rsid w:val="00626690"/>
    <w:rsid w:val="00631F42"/>
    <w:rsid w:val="0065048B"/>
    <w:rsid w:val="00652B5B"/>
    <w:rsid w:val="00652C2A"/>
    <w:rsid w:val="006550F9"/>
    <w:rsid w:val="00677FB9"/>
    <w:rsid w:val="006831FA"/>
    <w:rsid w:val="00687F6D"/>
    <w:rsid w:val="006A1D18"/>
    <w:rsid w:val="006A69D2"/>
    <w:rsid w:val="006B3389"/>
    <w:rsid w:val="006C1B5B"/>
    <w:rsid w:val="006C6655"/>
    <w:rsid w:val="006D1156"/>
    <w:rsid w:val="006F1552"/>
    <w:rsid w:val="007055F5"/>
    <w:rsid w:val="00720B8D"/>
    <w:rsid w:val="00723DD3"/>
    <w:rsid w:val="007354B1"/>
    <w:rsid w:val="007639B8"/>
    <w:rsid w:val="00772A46"/>
    <w:rsid w:val="00775E6D"/>
    <w:rsid w:val="007942E7"/>
    <w:rsid w:val="007A68AD"/>
    <w:rsid w:val="007D73D8"/>
    <w:rsid w:val="007E34A3"/>
    <w:rsid w:val="007F2E5D"/>
    <w:rsid w:val="007F442F"/>
    <w:rsid w:val="007F4EBE"/>
    <w:rsid w:val="00822993"/>
    <w:rsid w:val="00824595"/>
    <w:rsid w:val="0084575A"/>
    <w:rsid w:val="00851D93"/>
    <w:rsid w:val="008637C1"/>
    <w:rsid w:val="0089063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D60B6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679E5"/>
    <w:rsid w:val="00973767"/>
    <w:rsid w:val="009A4152"/>
    <w:rsid w:val="009A6A13"/>
    <w:rsid w:val="009C4E3C"/>
    <w:rsid w:val="009F36FB"/>
    <w:rsid w:val="009F371E"/>
    <w:rsid w:val="009F7684"/>
    <w:rsid w:val="00A127B7"/>
    <w:rsid w:val="00A26BFF"/>
    <w:rsid w:val="00A31959"/>
    <w:rsid w:val="00A35240"/>
    <w:rsid w:val="00A441BF"/>
    <w:rsid w:val="00A517A9"/>
    <w:rsid w:val="00A5689A"/>
    <w:rsid w:val="00A7238F"/>
    <w:rsid w:val="00A72FC4"/>
    <w:rsid w:val="00A7345C"/>
    <w:rsid w:val="00A811E8"/>
    <w:rsid w:val="00A91BA6"/>
    <w:rsid w:val="00A95566"/>
    <w:rsid w:val="00AC07A1"/>
    <w:rsid w:val="00AD0D1C"/>
    <w:rsid w:val="00AD5829"/>
    <w:rsid w:val="00AD7FC2"/>
    <w:rsid w:val="00AF3835"/>
    <w:rsid w:val="00B53F27"/>
    <w:rsid w:val="00B56F8F"/>
    <w:rsid w:val="00B71080"/>
    <w:rsid w:val="00B75D55"/>
    <w:rsid w:val="00B76F2D"/>
    <w:rsid w:val="00B77D09"/>
    <w:rsid w:val="00B841A9"/>
    <w:rsid w:val="00BB4A71"/>
    <w:rsid w:val="00BD097A"/>
    <w:rsid w:val="00BD7663"/>
    <w:rsid w:val="00C159EA"/>
    <w:rsid w:val="00C227DD"/>
    <w:rsid w:val="00C3015C"/>
    <w:rsid w:val="00C32E68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352EF"/>
    <w:rsid w:val="00D41C25"/>
    <w:rsid w:val="00D4567A"/>
    <w:rsid w:val="00D5108B"/>
    <w:rsid w:val="00D6651D"/>
    <w:rsid w:val="00D7431C"/>
    <w:rsid w:val="00D8429A"/>
    <w:rsid w:val="00D94057"/>
    <w:rsid w:val="00DB7A7D"/>
    <w:rsid w:val="00DF1516"/>
    <w:rsid w:val="00DF5236"/>
    <w:rsid w:val="00E03697"/>
    <w:rsid w:val="00E064E2"/>
    <w:rsid w:val="00E54E5F"/>
    <w:rsid w:val="00E65BA3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F17319"/>
    <w:rsid w:val="00F2673E"/>
    <w:rsid w:val="00F35474"/>
    <w:rsid w:val="00F54FAD"/>
    <w:rsid w:val="00F57D30"/>
    <w:rsid w:val="00F74433"/>
    <w:rsid w:val="00F849E9"/>
    <w:rsid w:val="00F943C3"/>
    <w:rsid w:val="00F945FD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36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A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9F36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83A81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yperlink" Target="https://web.archive.org/web/20150914202029/https:/ru.wikipedia.org/wiki/%D0%A7%D1%83%D0%B2%D0%B0%D1%88%D0%B8%D1%8F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s://ru.wikipedia.org/wiki/%D0%90%D0%BB%D0%B0%D1%82%D1%8B%D1%80%D1%8C" TargetMode="External"/><Relationship Id="rId25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7%D0%B5%D0%B1%D0%BE%D0%BA%D1%81%D0%B0%D1%80%D1%8B" TargetMode="External"/><Relationship Id="rId20" Type="http://schemas.openxmlformats.org/officeDocument/2006/relationships/hyperlink" Target="https://web.archive.org/web/20150914202029/https:/ru.wikipedia.org/wiki/%D0%9F%D0%BE%D1%80%D0%B5%D1%86%D0%BA%D0%B8%D0%B9_%D1%80%D0%B0%D0%B9%D0%BE%D0%BD_%D0%A7%D1%83%D0%B2%D0%B0%D1%88%D0%B8%D0%B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8.jpeg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F%D1%80%D0%B8%D0%B2%D0%BE%D0%BB%D0%B6%D1%81%D0%BA%D0%B0%D1%8F_%D0%B2%D0%BE%D0%B7%D0%B2%D1%8B%D1%88%D0%B5%D0%BD%D0%BD%D0%BE%D1%81%D1%82%D1%8C" TargetMode="External"/><Relationship Id="rId23" Type="http://schemas.openxmlformats.org/officeDocument/2006/relationships/hyperlink" Target="https://base.garant.ru/12121252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web.archive.org/web/20150914202029/https:/ru.wikipedia.org/wiki/%D0%9A%D0%BE%D0%BC%D1%81%D0%BE%D0%BC%D0%BE%D0%BB%D1%8C%D1%81%D0%BA%D0%B8%D0%B9_%D1%80%D0%B0%D0%B9%D0%BE%D0%BD_%D0%A7%D1%83%D0%B2%D0%B0%D1%88%D0%B8%D0%B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ru.wikipedia.org/w/index.php?title=%D0%A7%D1%83%D0%B2%D0%B0%D1%88%D1%81%D0%BA%D0%BE%D0%B5_%D0%BF%D0%BB%D0%B0%D1%82%D0%BE&amp;action=edit&amp;redlink=1" TargetMode="External"/><Relationship Id="rId22" Type="http://schemas.openxmlformats.org/officeDocument/2006/relationships/image" Target="media/image7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15F70-5600-4F81-A46E-0C18D02C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36</Pages>
  <Words>7281</Words>
  <Characters>41507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38</cp:revision>
  <cp:lastPrinted>2024-05-08T07:43:00Z</cp:lastPrinted>
  <dcterms:created xsi:type="dcterms:W3CDTF">2023-04-12T12:02:00Z</dcterms:created>
  <dcterms:modified xsi:type="dcterms:W3CDTF">2024-05-13T14:14:00Z</dcterms:modified>
</cp:coreProperties>
</file>