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eastAsia="Times New Roman" w:cs="Times New Roman" w:ascii="Times New Roman" w:hAnsi="Times New Roman"/>
          <w:b/>
          <w:sz w:val="26"/>
          <w:szCs w:val="26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eastAsia="Times New Roman" w:cs="Times New Roman" w:ascii="Times New Roman" w:hAnsi="Times New Roman"/>
          <w:b/>
          <w:sz w:val="26"/>
          <w:szCs w:val="26"/>
        </w:rPr>
        <w:t>Критерии отбора проектов по оптимизации и улучшению процессов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eastAsia="Times New Roman" w:cs="Times New Roman" w:ascii="Times New Roman" w:hAnsi="Times New Roman"/>
          <w:b/>
          <w:sz w:val="26"/>
          <w:szCs w:val="26"/>
        </w:rPr>
        <w:t>с использованием инструментов бережливых технологий</w:t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eastAsia="Times New Roman" w:cs="Times New Roman" w:ascii="Times New Roman" w:hAnsi="Times New Roman"/>
          <w:b/>
          <w:sz w:val="26"/>
          <w:szCs w:val="26"/>
        </w:rPr>
      </w:r>
    </w:p>
    <w:p>
      <w:pPr>
        <w:pStyle w:val="Normal"/>
        <w:tabs>
          <w:tab w:val="clear" w:pos="708"/>
          <w:tab w:val="left" w:pos="10205" w:leader="none"/>
        </w:tabs>
        <w:spacing w:lineRule="auto" w:line="240" w:before="0" w:after="0"/>
        <w:ind w:firstLine="709"/>
        <w:jc w:val="center"/>
        <w:rPr>
          <w:rFonts w:ascii="Times New Roman" w:hAnsi="Times New Roman" w:eastAsia="Times New Roman" w:cs="Times New Roman"/>
          <w:b/>
          <w:sz w:val="26"/>
          <w:szCs w:val="26"/>
          <w:u w:val="single"/>
        </w:rPr>
      </w:pPr>
      <w:r>
        <w:rPr>
          <w:rFonts w:eastAsia="Times New Roman" w:cs="Times New Roman" w:ascii="Times New Roman" w:hAnsi="Times New Roman"/>
          <w:b/>
          <w:sz w:val="26"/>
          <w:szCs w:val="26"/>
        </w:rPr>
        <w:t xml:space="preserve">Наименование проекта </w:t>
      </w:r>
      <w:r>
        <w:rPr>
          <w:rFonts w:cs="Times New Roman" w:ascii="Times New Roman" w:hAnsi="Times New Roman"/>
          <w:b/>
          <w:sz w:val="26"/>
          <w:szCs w:val="26"/>
        </w:rPr>
        <w:t xml:space="preserve">«Оптимизация процесса </w:t>
      </w:r>
      <w:r>
        <w:rPr>
          <w:rFonts w:cs="Times New Roman" w:ascii="Times New Roman" w:hAnsi="Times New Roman"/>
          <w:b/>
          <w:bCs/>
          <w:sz w:val="26"/>
          <w:szCs w:val="26"/>
        </w:rPr>
        <w:t>предоставления сведений, содержащихся в регистре муниципальных нормативных правовых актов Чувашской Республики»</w:t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 w:eastAsia="Times New Roman" w:cs="Times New Roman"/>
          <w:b/>
          <w:sz w:val="28"/>
          <w:szCs w:val="24"/>
          <w:u w:val="single"/>
        </w:rPr>
      </w:pPr>
      <w:r>
        <w:rPr>
          <w:rFonts w:eastAsia="Times New Roman" w:cs="Times New Roman" w:ascii="Times New Roman" w:hAnsi="Times New Roman"/>
          <w:b/>
          <w:sz w:val="28"/>
          <w:szCs w:val="24"/>
          <w:u w:val="single"/>
        </w:rPr>
      </w:r>
    </w:p>
    <w:tbl>
      <w:tblPr>
        <w:tblW w:w="14422" w:type="dxa"/>
        <w:jc w:val="left"/>
        <w:tblInd w:w="392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0" w:val="00a0" w:noHBand="0" w:lastColumn="0" w:firstColumn="1" w:lastRow="0" w:firstRow="1"/>
      </w:tblPr>
      <w:tblGrid>
        <w:gridCol w:w="552"/>
        <w:gridCol w:w="14"/>
        <w:gridCol w:w="3545"/>
        <w:gridCol w:w="2948"/>
        <w:gridCol w:w="27"/>
        <w:gridCol w:w="1701"/>
        <w:gridCol w:w="5635"/>
      </w:tblGrid>
      <w:tr>
        <w:trPr/>
        <w:tc>
          <w:tcPr>
            <w:tcW w:w="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right="1" w:hanging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 xml:space="preserve">№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пп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Наименования критерия</w:t>
            </w:r>
          </w:p>
        </w:tc>
        <w:tc>
          <w:tcPr>
            <w:tcW w:w="2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Соответствие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критериям, баллов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Информация о соответствии (количество баллов)</w:t>
            </w:r>
          </w:p>
        </w:tc>
        <w:tc>
          <w:tcPr>
            <w:tcW w:w="5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Обоснование</w:t>
            </w:r>
          </w:p>
        </w:tc>
      </w:tr>
      <w:tr>
        <w:trPr/>
        <w:tc>
          <w:tcPr>
            <w:tcW w:w="70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Основные критерии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5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</w:r>
          </w:p>
        </w:tc>
      </w:tr>
      <w:tr>
        <w:trPr/>
        <w:tc>
          <w:tcPr>
            <w:tcW w:w="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5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Положительное влияние проекта на достижение показателей по оценке эффективности высших должностных лиц субъектов Российской Федерации</w:t>
            </w:r>
          </w:p>
        </w:tc>
        <w:tc>
          <w:tcPr>
            <w:tcW w:w="2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соответствие – 10 баллов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10 баллов</w:t>
            </w:r>
          </w:p>
        </w:tc>
        <w:tc>
          <w:tcPr>
            <w:tcW w:w="56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Проект влияет на достижение показателей по оценке эффективности высших должностных лиц субъектов Российской Федерации.</w:t>
            </w:r>
          </w:p>
          <w:p>
            <w:pPr>
              <w:pStyle w:val="Normal"/>
              <w:widowControl w:val="false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В целях обеспечения проведения оценки эффективности деятельности высших должностных лиц субъектов Российской Федерации и деятельности исполнительных органов субъектов Российской Федерации </w:t>
            </w:r>
            <w:r>
              <w:rPr>
                <w:rFonts w:ascii="Times New Roman" w:hAnsi="Times New Roman"/>
                <w:sz w:val="24"/>
              </w:rPr>
              <w:t>Указом Президента Российской Федерации от 04.02.2021 № 68 «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Об оценке эффективности деятельности высших должностных лиц субъектов Российской Федерации и деятельности исполнительных органов субъектов Российской Федерации»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утверждён перечень показателей для оценки эффективности деятельности высших должностных лиц субъектов Российской Федерации и деятельности исполнительных органов субъектов Российской Федерации. Одним из показателей является </w:t>
            </w:r>
            <w:r>
              <w:rPr>
                <w:rFonts w:ascii="Times New Roman" w:hAnsi="Times New Roman"/>
                <w:sz w:val="24"/>
              </w:rPr>
              <w:t>«Д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оверие к власти (доверие к Президенту Российской Федерации, высшим должностным лицам субъектов Российской Федерации, уровень которого определяется в том числе посредством оценки общественного мнения в отношении достижения в субъектах Российской Федерации национальных целей развития Российской Федерации)» (далее – доверие к власти).</w:t>
            </w:r>
          </w:p>
          <w:p>
            <w:pPr>
              <w:pStyle w:val="Normal"/>
              <w:widowControl w:val="false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В связи с тем, что одним из показателей оценки доверия к власти является уровень доверия населения к руководителям органов государственной власти, реализация данного проекта, целями которого является </w:t>
            </w:r>
            <w:r>
              <w:rPr>
                <w:rFonts w:eastAsia="Calibri" w:cs="Times New Roman" w:ascii="Times New Roman" w:hAnsi="Times New Roman"/>
                <w:sz w:val="24"/>
                <w:szCs w:val="24"/>
                <w:lang w:eastAsia="ru-RU"/>
              </w:rPr>
              <w:t xml:space="preserve"> оптимизация представления сведений о муниципальных нормативных правовых актах, содержащихся в регистре муниципальных нормативных правовых актов Чувашской Республики, в более короткие сроки с целью реализации прав, свобод и законных интересов граждан и юридических лиц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, окажет положительное влияние.</w:t>
            </w:r>
          </w:p>
        </w:tc>
      </w:tr>
      <w:tr>
        <w:trPr/>
        <w:tc>
          <w:tcPr>
            <w:tcW w:w="55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559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несоответствие – 0 баллов</w:t>
            </w:r>
          </w:p>
        </w:tc>
        <w:tc>
          <w:tcPr>
            <w:tcW w:w="170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563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5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Положительное влияние проекта на улучшение положения Чувашской Республики в федеральных рейтингах</w:t>
            </w:r>
          </w:p>
        </w:tc>
        <w:tc>
          <w:tcPr>
            <w:tcW w:w="2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соответствие – 10 баллов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0 баллов</w:t>
            </w:r>
          </w:p>
        </w:tc>
        <w:tc>
          <w:tcPr>
            <w:tcW w:w="56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color="auto" w:fill="FFFFFF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-</w:t>
            </w:r>
          </w:p>
        </w:tc>
      </w:tr>
      <w:tr>
        <w:trPr/>
        <w:tc>
          <w:tcPr>
            <w:tcW w:w="55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559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несоответствие – 0 баллов</w:t>
            </w:r>
          </w:p>
        </w:tc>
        <w:tc>
          <w:tcPr>
            <w:tcW w:w="170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563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5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Положительное влияние проекта на достижение показателей национальных проектов, государственных программ Чувашской Республики (подпрограмм государственных программ Чувашской Республики), Стратегии социально-экономического развития Чувашской Республики до 2035 года</w:t>
            </w:r>
          </w:p>
        </w:tc>
        <w:tc>
          <w:tcPr>
            <w:tcW w:w="2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соответствие – 10 баллов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0 баллов</w:t>
            </w:r>
          </w:p>
        </w:tc>
        <w:tc>
          <w:tcPr>
            <w:tcW w:w="56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>
        <w:trPr/>
        <w:tc>
          <w:tcPr>
            <w:tcW w:w="55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559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несоответствие – 0 баллов</w:t>
            </w:r>
          </w:p>
        </w:tc>
        <w:tc>
          <w:tcPr>
            <w:tcW w:w="170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563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5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Проект направлен на оптимизацию предоставления государственных (муниципальных) услуг гражданам и бизнесу</w:t>
            </w:r>
          </w:p>
        </w:tc>
        <w:tc>
          <w:tcPr>
            <w:tcW w:w="2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соответствие – 10 баллов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0 баллов</w:t>
            </w:r>
          </w:p>
        </w:tc>
        <w:tc>
          <w:tcPr>
            <w:tcW w:w="56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346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eastAsia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eastAsia="ru-RU"/>
              </w:rPr>
              <w:t>Реализация проекта направлена на оптимизацию представления сведений в более короткие сроки с целью реализации прав, свобод и законных интересов граждан и юридических лиц</w:t>
            </w:r>
          </w:p>
          <w:p>
            <w:pPr>
              <w:pStyle w:val="Normal"/>
              <w:widowControl w:val="false"/>
              <w:shd w:val="clear" w:color="auto" w:fill="FFFFFF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55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559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несоответствие – 0 баллов</w:t>
            </w:r>
          </w:p>
        </w:tc>
        <w:tc>
          <w:tcPr>
            <w:tcW w:w="170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563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35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Проект имеет положительный ожидаемый экономический эффект</w:t>
            </w:r>
          </w:p>
        </w:tc>
        <w:tc>
          <w:tcPr>
            <w:tcW w:w="2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соответствие – 10 баллов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10 баллов</w:t>
            </w:r>
          </w:p>
        </w:tc>
        <w:tc>
          <w:tcPr>
            <w:tcW w:w="56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Проект имеет положительный экономический эффект - 85 тысяч 968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 xml:space="preserve"> рублей 5 копеек</w:t>
            </w:r>
          </w:p>
        </w:tc>
      </w:tr>
      <w:tr>
        <w:trPr/>
        <w:tc>
          <w:tcPr>
            <w:tcW w:w="55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559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несоответствие – 0 баллов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563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1442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346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Дополнительные критерии</w:t>
            </w:r>
          </w:p>
        </w:tc>
      </w:tr>
      <w:tr>
        <w:trPr/>
        <w:tc>
          <w:tcPr>
            <w:tcW w:w="56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Проект имеет межведомственный характер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соответствие – 5 баллов</w:t>
            </w:r>
          </w:p>
        </w:tc>
        <w:tc>
          <w:tcPr>
            <w:tcW w:w="17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0 баллов</w:t>
            </w:r>
          </w:p>
        </w:tc>
        <w:tc>
          <w:tcPr>
            <w:tcW w:w="56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346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eastAsia="ru-RU"/>
              </w:rPr>
            </w:pPr>
            <w:r>
              <w:rPr>
                <w:rFonts w:eastAsia="Calibri"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>
        <w:trPr/>
        <w:tc>
          <w:tcPr>
            <w:tcW w:w="566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5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несоответствие – 0 баллов</w:t>
            </w:r>
          </w:p>
        </w:tc>
        <w:tc>
          <w:tcPr>
            <w:tcW w:w="17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563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56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Проект предусматривает оптимизацию всего потока создания ценностей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соответствие – 5 баллов</w:t>
            </w:r>
          </w:p>
        </w:tc>
        <w:tc>
          <w:tcPr>
            <w:tcW w:w="17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val="en-US"/>
              </w:rPr>
              <w:t>5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 xml:space="preserve"> баллов</w:t>
            </w:r>
          </w:p>
        </w:tc>
        <w:tc>
          <w:tcPr>
            <w:tcW w:w="56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60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Проектом охватывается максимальный поток процедуры (начиная с поступления запроса заявителя, поиск информации о муниципальном нормативном правовом акте в регистре, подготовка ответа на запрос, согласование и утверждение ответа на запрос, направление запроса заявителю).</w:t>
            </w:r>
          </w:p>
          <w:p>
            <w:pPr>
              <w:pStyle w:val="Normal"/>
              <w:widowControl w:val="false"/>
              <w:spacing w:lineRule="auto" w:line="240" w:before="0" w:after="0"/>
              <w:ind w:firstLine="601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566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5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несоответствие – 0 баллов</w:t>
            </w:r>
          </w:p>
        </w:tc>
        <w:tc>
          <w:tcPr>
            <w:tcW w:w="17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563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56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Срок реализации проекта до 6 месяцев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соответствие – 5 баллов</w:t>
            </w:r>
          </w:p>
        </w:tc>
        <w:tc>
          <w:tcPr>
            <w:tcW w:w="17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5 баллов</w:t>
            </w:r>
          </w:p>
        </w:tc>
        <w:tc>
          <w:tcPr>
            <w:tcW w:w="56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Срок реализации проекта менее 6 месяцев</w:t>
            </w:r>
          </w:p>
        </w:tc>
      </w:tr>
      <w:tr>
        <w:trPr/>
        <w:tc>
          <w:tcPr>
            <w:tcW w:w="566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5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несоответствие – 0 баллов</w:t>
            </w:r>
          </w:p>
        </w:tc>
        <w:tc>
          <w:tcPr>
            <w:tcW w:w="17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563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56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Проект не требует выделения средств из республиканского бюджета Чувашской Республики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соответствие – 5 баллов</w:t>
            </w:r>
          </w:p>
        </w:tc>
        <w:tc>
          <w:tcPr>
            <w:tcW w:w="17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5 баллов</w:t>
            </w:r>
          </w:p>
        </w:tc>
        <w:tc>
          <w:tcPr>
            <w:tcW w:w="56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34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Реализация проекта не требует выделения средств из республиканского бюджета Чувашской Республики</w:t>
            </w:r>
          </w:p>
        </w:tc>
      </w:tr>
      <w:tr>
        <w:trPr/>
        <w:tc>
          <w:tcPr>
            <w:tcW w:w="566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5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несоответствие – 0 баллов</w:t>
            </w:r>
          </w:p>
        </w:tc>
        <w:tc>
          <w:tcPr>
            <w:tcW w:w="17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563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</w:tbl>
    <w:p>
      <w:pPr>
        <w:pStyle w:val="Normal"/>
        <w:spacing w:before="0" w:after="160"/>
        <w:jc w:val="right"/>
        <w:rPr>
          <w:color w:val="000000" w:themeColor="text1"/>
        </w:rPr>
      </w:pPr>
      <w:r>
        <w:rPr/>
        <w:tab/>
      </w:r>
      <w:r>
        <w:rPr>
          <w:rFonts w:eastAsia="Calibri" w:cs="Times New Roman" w:ascii="Times New Roman" w:hAnsi="Times New Roman"/>
          <w:b/>
          <w:sz w:val="24"/>
          <w:szCs w:val="24"/>
        </w:rPr>
        <w:t>Итого 3</w:t>
      </w:r>
      <w:r>
        <w:rPr>
          <w:rFonts w:eastAsia="Calibri" w:cs="Times New Roman" w:ascii="Times New Roman" w:hAnsi="Times New Roman"/>
          <w:b/>
          <w:sz w:val="24"/>
          <w:szCs w:val="24"/>
          <w:lang w:val="en-US"/>
        </w:rPr>
        <w:t>5</w:t>
      </w:r>
      <w:r>
        <w:rPr>
          <w:rFonts w:eastAsia="Calibri" w:cs="Times New Roman" w:ascii="Times New Roman" w:hAnsi="Times New Roman"/>
          <w:b/>
          <w:sz w:val="24"/>
          <w:szCs w:val="24"/>
        </w:rPr>
        <w:t xml:space="preserve"> </w:t>
      </w:r>
      <w:r>
        <w:rPr>
          <w:rFonts w:eastAsia="Calibri" w:cs="Times New Roman" w:ascii="Times New Roman" w:hAnsi="Times New Roman"/>
          <w:b/>
          <w:color w:val="000000" w:themeColor="text1"/>
          <w:sz w:val="24"/>
          <w:szCs w:val="24"/>
        </w:rPr>
        <w:t>баллов</w:t>
      </w:r>
    </w:p>
    <w:sectPr>
      <w:type w:val="nextPage"/>
      <w:pgSz w:orient="landscape" w:w="16838" w:h="11906"/>
      <w:pgMar w:left="1134" w:right="1134" w:gutter="0" w:header="0" w:top="709" w:footer="0" w:bottom="709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Segoe UI">
    <w:charset w:val="01"/>
    <w:family w:val="roman"/>
    <w:pitch w:val="default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basedOn w:val="DefaultParagraphFont"/>
    <w:uiPriority w:val="22"/>
    <w:qFormat/>
    <w:rsid w:val="00cb26ff"/>
    <w:rPr>
      <w:b/>
      <w:bCs/>
    </w:rPr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2e2656"/>
    <w:rPr>
      <w:rFonts w:ascii="Segoe UI" w:hAnsi="Segoe UI" w:cs="Segoe UI"/>
      <w:sz w:val="18"/>
      <w:szCs w:val="18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ascii="PT Astra Serif" w:hAnsi="PT Astra Serif" w:cs="Noto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ListParagraph">
    <w:name w:val="List Paragraph"/>
    <w:basedOn w:val="Normal"/>
    <w:uiPriority w:val="34"/>
    <w:qFormat/>
    <w:rsid w:val="009f0135"/>
    <w:pPr>
      <w:spacing w:before="0" w:after="160"/>
      <w:ind w:left="720" w:hanging="0"/>
      <w:contextualSpacing/>
    </w:pPr>
    <w:rPr/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2e265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LibreOffice/7.5.6.2$Linux_X86_64 LibreOffice_project/50$Build-2</Application>
  <AppVersion>15.0000</AppVersion>
  <Pages>3</Pages>
  <Words>497</Words>
  <Characters>3626</Characters>
  <CharactersWithSpaces>4076</CharactersWithSpaces>
  <Paragraphs>68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2024-09-20T11:45:00Z</dcterms:created>
  <dc:creator>Минюст ЧР Наталия Наварнова</dc:creator>
  <dc:description/>
  <dc:language>ru-RU</dc:language>
  <cp:lastModifiedBy>Минюст ЧР Ирина Дайрукина</cp:lastModifiedBy>
  <cp:lastPrinted>2024-03-20T08:10:00Z</cp:lastPrinted>
  <dcterms:modified xsi:type="dcterms:W3CDTF">2024-10-01T13:25:00Z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