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left="4521"/>
        <w:jc w:val="center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риложение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аз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</w:t>
      </w:r>
      <w:r>
        <w:rPr>
          <w:sz w:val="26"/>
          <w:szCs w:val="26"/>
        </w:rPr>
        <w:t xml:space="preserve">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</w:t>
      </w:r>
      <w:r>
        <w:rPr>
          <w:sz w:val="26"/>
          <w:szCs w:val="26"/>
        </w:rPr>
        <w:t xml:space="preserve">зяйства,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промышленных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203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both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3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 А Р А К Т Е Р И С Т И К А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3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текущего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состояния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анализ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основных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показателей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газоснабжения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3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фикации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Республики,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том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числе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природным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газом,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сжиженным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углеводородным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сж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женным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природным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газом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3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Газоснабжение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обеспечивается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рез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сетей,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плуатируемых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Чебоксарским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линейно-производственным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Газпром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газ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Нижний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Новгород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(далее – Чебоксарское</w:t>
      </w:r>
      <w:r>
        <w:rPr>
          <w:sz w:val="26"/>
          <w:szCs w:val="26"/>
        </w:rPr>
        <w:t xml:space="preserve"> ЛПУМГ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Общая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протяженность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однониточном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исчислении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зоне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ственности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ЛПУМГ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952,889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Газокомпрессорная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служба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ЛПУМГ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обслуживает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сорн</w:t>
      </w:r>
      <w:r>
        <w:rPr>
          <w:sz w:val="26"/>
          <w:szCs w:val="26"/>
        </w:rPr>
        <w:t xml:space="preserve">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КС-6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Ишлей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Покровская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которая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время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сервирована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проход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через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Пермь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Горький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Тура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Пермь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Горький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II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КС-22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Чебоксарская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двух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компрессорных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цехов: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КЦ-1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Ямбург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оснащенного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эле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троприводными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газоперекачивающими </w:t>
      </w:r>
      <w:r>
        <w:rPr>
          <w:sz w:val="26"/>
          <w:szCs w:val="26"/>
        </w:rPr>
        <w:t xml:space="preserve">агрегатами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ЭГПА-12,5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мощностью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87,5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МВт,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КЦ-2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Ямбург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Тула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II,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оснащенного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тырьмя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ЭГПА2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12,5/76-</w:t>
      </w:r>
      <w:r>
        <w:rPr>
          <w:sz w:val="26"/>
          <w:szCs w:val="26"/>
        </w:rPr>
        <w:t xml:space="preserve">1,5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мощностью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50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МВт.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входят: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766,14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газопроводов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природного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высокого,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среднего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низкого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давлени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межпоселковых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4038,47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км,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внутрипоселковых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br w:type="textWrapping" w:clear="all"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11727,67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510267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газифицированных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квартир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509933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природным,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334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сжиже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ным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газом),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170831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квартир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местности;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газифицированных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промышленных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объект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сельской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местности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255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265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газифицированных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сельскохозяйственных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объектов,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сельской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местности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25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9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8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40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газифицированных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коммунально-бытовых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объект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а,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местности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575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165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газорегуляторных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пункта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(ГРП),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из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них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сельской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местности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br w:type="textWrapping" w:clear="all"/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1204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147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шкафн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газорегуляторны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х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пункт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ов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(ШРП),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из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них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сельской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мес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ности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502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1677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установ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ок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электрохим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ической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защиты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(ЭХЗ)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подземных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стальных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газопроводов.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Уровень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газификации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населения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природным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сжиженным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углеводородным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по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состоянию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1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янв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аря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со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ставлял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78,45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процента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том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числе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природным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газом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78,4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процента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сжиженным у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леводородным газом 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0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,05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процента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).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Уровень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потенциальной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газифика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ции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селения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84,11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 процента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6"/>
          <w:szCs w:val="26"/>
          <w:lang w:eastAsia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состоянию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января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2024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ц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рован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90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населенных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пунктов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из которых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постоянно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проживающего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селения.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инвестиций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публичного акционерного общества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аффилированных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лиц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реализуется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программа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развития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газоснабжения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период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2021–2025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утвержденная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Главой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О.А.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Николаевым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Предс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дателем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равления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публичного акционерного общества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А.Б.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Милл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году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рамках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указанной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реализованы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следующие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роприятия: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азопровод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межпоселковый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ул.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Менделеева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Алатырь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межпосе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ковый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высокого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давления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Новиковка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Знаменка –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Анютино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Алатырского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газоснабжения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комбината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рамических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изделий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общества с ограниченной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ответственностью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Стройкерам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(закольцовка)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(протяженность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провода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составила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7,0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км);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азопровод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межпоселковый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Заволжской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территории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Чебоксар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ского 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родского округа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(протяженность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составила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53,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из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них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территории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31,63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террит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Марий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Эл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21,48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Пуск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Заволжской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территории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боксар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ского 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родского округа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 Республики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осуществлен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28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октября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(база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отдыха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Росинка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улица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Полевая,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3,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микрорайон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Первома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ский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(догазификация)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рамках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развития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газоснабжения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период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–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2025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планируется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акже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реализация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следу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щих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мероприятий: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инвестиций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общества с ограниченной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ответственностью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межрегионгаз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высокого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давления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категории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(до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1,2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МПа)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Новое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пердино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Батыревского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района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Апанасово-Эщебенево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Яльчикского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(закольцовка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газораспределительной станции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(ГРС)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тырево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ГРС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Яльчи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инвестиций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общества с ограниченной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ответственностью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подводящего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АГНКС-2М-120,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522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подводящего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М-120,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522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справа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подводящего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газопровода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1063"/>
        <w:spacing w:line="235" w:lineRule="auto"/>
        <w:widowControl/>
      </w:pPr>
      <w:r>
        <w:t xml:space="preserve">«</w:t>
      </w:r>
      <w:r>
        <w:t xml:space="preserve">Строительство</w:t>
      </w:r>
      <w:r>
        <w:t xml:space="preserve"> </w:t>
      </w:r>
      <w:r>
        <w:t xml:space="preserve">подводящего</w:t>
      </w:r>
      <w:r>
        <w:t xml:space="preserve"> </w:t>
      </w:r>
      <w:r>
        <w:t xml:space="preserve">газопровода</w:t>
      </w:r>
      <w:r>
        <w:t xml:space="preserve"> </w:t>
      </w:r>
      <w:r>
        <w:t xml:space="preserve">к</w:t>
      </w:r>
      <w:r>
        <w:t xml:space="preserve"> </w:t>
      </w:r>
      <w:r>
        <w:t xml:space="preserve">АГНКС</w:t>
      </w:r>
      <w:r>
        <w:t xml:space="preserve"> </w:t>
      </w:r>
      <w:r>
        <w:t xml:space="preserve">Большеакта</w:t>
      </w:r>
      <w:r>
        <w:t xml:space="preserve">р</w:t>
      </w:r>
      <w:r>
        <w:t xml:space="preserve">ское</w:t>
      </w:r>
      <w:r>
        <w:t xml:space="preserve"> </w:t>
      </w:r>
      <w:r>
        <w:t xml:space="preserve">с/</w:t>
      </w:r>
      <w:r>
        <w:t xml:space="preserve">п,</w:t>
      </w:r>
      <w:r>
        <w:t xml:space="preserve"> </w:t>
      </w:r>
      <w:r>
        <w:t xml:space="preserve">М-7</w:t>
      </w:r>
      <w:r>
        <w:t xml:space="preserve"> </w:t>
      </w:r>
      <w:r>
        <w:t xml:space="preserve">слева</w:t>
      </w:r>
      <w:r>
        <w:t xml:space="preserve">»</w:t>
      </w:r>
      <w:r>
        <w:t xml:space="preserve">;</w:t>
      </w:r>
      <w:r/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инвестиций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общества с ограниченной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ответственностью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зомоторное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топливо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35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АГНКС-2М-120,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522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слева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М-12,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522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справа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АГНКС-2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Чебоксары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Строительство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АГНКС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Большеактарское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с/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М-7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слева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инвестиций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публичного акционерного общества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Газпром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: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Техническое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перевооружение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ГРС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Новочебоксарск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ТЭЦ-3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соответствии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постановление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Кабинета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Министров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публики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13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января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2021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1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«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утверждении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Порядка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разработки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плана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мероприятий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финансируемых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средств,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ченных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применения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специальных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надбавок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тарифам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транспортировку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газорас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пределительными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организациями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фо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мируется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план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мероприятий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финансируемых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счет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средств,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полученных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применения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специальных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надбавок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тарифам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транспортировку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указанный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план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включаются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мероприятия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по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проектировани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ю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строи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тельств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новых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газорасп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ределительных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систем,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сооружений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отдельны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объектов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снабжения,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связанных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газификацией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Республики;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рекон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струкци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модернизаци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газораспределительных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систем,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сооружений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отдельных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объе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к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газоснабжения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для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поддержания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надежного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безопасного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газоснабжения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потр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бителей,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включая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сооружение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технологических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закольцовок,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перемычек,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лупингов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организацию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автоматизированной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системы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управления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технологич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ским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процессом;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установку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замену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запорного,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регулирующего,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измерительного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об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рудования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приборов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учета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расхода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газа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 w:bidi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  <w:r>
        <w:rPr>
          <w:rFonts w:ascii="Times New Roman" w:hAnsi="Times New Roman" w:eastAsia="Times New Roman"/>
          <w:sz w:val="26"/>
          <w:szCs w:val="26"/>
          <w:lang w:eastAsia="ru-RU" w:bidi="ru-RU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4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 Р О Г Н О З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ожидаемых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результатов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</w:t>
      </w:r>
      <w:r>
        <w:rPr>
          <w:b/>
          <w:sz w:val="26"/>
          <w:szCs w:val="26"/>
        </w:rPr>
        <w:t xml:space="preserve">ь</w:t>
      </w:r>
      <w:r>
        <w:rPr>
          <w:b/>
          <w:sz w:val="26"/>
          <w:szCs w:val="26"/>
        </w:rPr>
        <w:t xml:space="preserve">ной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«Газификация жилищно-коммунального хозяйства, промы</w:t>
      </w:r>
      <w:r>
        <w:rPr>
          <w:b/>
          <w:sz w:val="26"/>
          <w:szCs w:val="26"/>
        </w:rPr>
        <w:t xml:space="preserve">ш</w:t>
      </w:r>
      <w:r>
        <w:rPr>
          <w:b/>
          <w:sz w:val="26"/>
          <w:szCs w:val="26"/>
        </w:rPr>
        <w:t xml:space="preserve">ленных и иных организ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ций Чувашской Республики на 2024–2035 годы»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рамках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2035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планируется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объем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(прирост)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0,09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млрд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куб. 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количество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(строительство)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</w:t>
      </w:r>
      <w:r>
        <w:rPr>
          <w:sz w:val="26"/>
          <w:szCs w:val="26"/>
        </w:rPr>
        <w:t xml:space="preserve">пределительных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ед.;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реконструкция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(газораспредел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станций)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ед.;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газоснабжение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ед.;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протяженность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(строительство)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межпоселковых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внутрипоселковых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29,2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км, </w:t>
      </w:r>
      <w:r>
        <w:rPr>
          <w:sz w:val="26"/>
          <w:szCs w:val="26"/>
        </w:rPr>
        <w:t xml:space="preserve">в том числе межпоселковых – 17,4 км, внутрипоселк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вых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– 11,8 км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газификация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квартир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(домовладений)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1139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ед.;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уровень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потенциальной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84,11</w:t>
      </w:r>
      <w:r>
        <w:rPr>
          <w:sz w:val="26"/>
          <w:szCs w:val="26"/>
        </w:rPr>
        <w:t xml:space="preserve"> процента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количество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(строительство)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автомобильных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наполнительных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сорных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станций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rPr>
          <w:rFonts w:ascii="Times New Roman" w:hAnsi="Times New Roman"/>
          <w:sz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5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ОПИСАНИЕ РИСКОВ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реализации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«Газификация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жилищно-коммунального хозяйства, промышленных и иных организ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ций Чувашской Республики на 2024–2035 годы»</w:t>
      </w:r>
      <w:r>
        <w:rPr>
          <w:b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том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числе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ис</w:t>
      </w:r>
      <w:r>
        <w:rPr>
          <w:b/>
          <w:sz w:val="26"/>
          <w:szCs w:val="26"/>
        </w:rPr>
        <w:t xml:space="preserve">ков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недостиже</w:t>
      </w:r>
      <w:r>
        <w:rPr>
          <w:b/>
          <w:sz w:val="26"/>
          <w:szCs w:val="26"/>
        </w:rPr>
        <w:t xml:space="preserve">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ее </w:t>
      </w:r>
      <w:r>
        <w:rPr>
          <w:b/>
          <w:sz w:val="26"/>
          <w:szCs w:val="26"/>
        </w:rPr>
        <w:t xml:space="preserve">целевых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показ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телей,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также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описание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механизмов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управления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рисками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мер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минимиз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Газификация ж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лищно-коммунального хозяйства, промышленных и иных организаций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 xml:space="preserve">региональн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 xml:space="preserve">а) </w:t>
      </w:r>
      <w:r>
        <w:rPr>
          <w:sz w:val="26"/>
          <w:szCs w:val="26"/>
        </w:rPr>
        <w:t xml:space="preserve">существуют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ри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(факторы),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наступление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может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повлечь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снижение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руемых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рискам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относятся: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неполное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недостаточное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финансовое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дусмотренных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рограммой,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повлече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нев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полнение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запланированные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несоблюдение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запланированных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межпоселковых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инвестиций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 xml:space="preserve">публичного акционерного о</w:t>
      </w:r>
      <w:r>
        <w:rPr>
          <w:sz w:val="26"/>
          <w:szCs w:val="26"/>
          <w:lang w:bidi="ru-RU"/>
        </w:rPr>
        <w:t xml:space="preserve">б</w:t>
      </w:r>
      <w:r>
        <w:rPr>
          <w:sz w:val="26"/>
          <w:szCs w:val="26"/>
          <w:lang w:bidi="ru-RU"/>
        </w:rPr>
        <w:t xml:space="preserve">щества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Газпром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повлеч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нецелесообразность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распределения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ассигнований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заплан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минимизации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рисков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процессе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предусматр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осуществление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эффек</w:t>
      </w:r>
      <w:r>
        <w:rPr>
          <w:sz w:val="26"/>
          <w:szCs w:val="26"/>
        </w:rPr>
        <w:t xml:space="preserve">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эффективного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взаим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мониторинг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перераспределение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зависимости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динамики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пов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разработка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Управление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рисками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ствляться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координации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участвующих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</w:t>
      </w:r>
      <w:r/>
      <w:r/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9581" w:hanging="11"/>
        <w:jc w:val="center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9581" w:hanging="11"/>
        <w:jc w:val="center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азификация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9581" w:hanging="11"/>
        <w:jc w:val="center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мышленных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9581" w:hanging="11"/>
        <w:jc w:val="center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2035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Н Ф О Р М А Ц И 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объемах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источниках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финансирования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«Газификация жилищно-коммунального хозяйства, промышленных и иных организаций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 Республики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2024–2035 годы»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 w:line="23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Ind w:w="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23"/>
        <w:gridCol w:w="1034"/>
        <w:gridCol w:w="1035"/>
        <w:gridCol w:w="1035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>
        <w:tblPrEx/>
        <w:trPr/>
        <w:tc>
          <w:tcPr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689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Объем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финансирования региональной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программы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«Газификация жилищно-коммунального хозяйства, промышленных и иных организаций Чувашской Республики на 2024–2035 годы» (далее – региональная программа)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по годам реализации за счет всех и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точников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млн. рублей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Источники финансир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вания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2024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2025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2026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2027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2028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2029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2031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2034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2035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Федеральный бю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жет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еспубликанский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 бюджет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</w:p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Чувашской Ре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публики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Местный бю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жет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tabs>
                <w:tab w:val="right" w:pos="269" w:leader="none"/>
                <w:tab w:val="center" w:pos="489" w:leader="none"/>
              </w:tabs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Внебюджетные исто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ч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ники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288,67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297,93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92,62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23" w:type="dxa"/>
            <w:vAlign w:val="top"/>
            <w:textDirection w:val="lrTb"/>
            <w:noWrap/>
          </w:tcPr>
          <w:p>
            <w:pPr>
              <w:pStyle w:val="89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4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288,67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297,93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5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92,62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8" w:type="dxa"/>
            <w:vAlign w:val="top"/>
            <w:textDirection w:val="lrTb"/>
            <w:noWrap w:val="false"/>
          </w:tcPr>
          <w:p>
            <w:pPr>
              <w:pStyle w:val="89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</w:tbl>
    <w:p>
      <w:pPr>
        <w:pStyle w:val="896"/>
        <w:ind w:firstLine="709"/>
        <w:jc w:val="both"/>
        <w:spacing w:before="0" w:beforeAutospacing="0" w:after="0" w:afterAutospacing="0" w:line="23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0" w:lineRule="auto"/>
        <w:rPr>
          <w:sz w:val="26"/>
          <w:szCs w:val="26"/>
        </w:rPr>
      </w:pPr>
      <w:r>
        <w:rPr>
          <w:sz w:val="26"/>
          <w:szCs w:val="26"/>
        </w:rPr>
        <w:t xml:space="preserve">Региональная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носит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комплексный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характер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синхронизацию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ству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газотранспортной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инфраструктур,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смо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рены: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0" w:lineRule="auto"/>
        <w:rPr>
          <w:sz w:val="26"/>
          <w:szCs w:val="26"/>
        </w:rPr>
      </w:pPr>
      <w:r>
        <w:rPr>
          <w:sz w:val="26"/>
          <w:szCs w:val="26"/>
        </w:rPr>
        <w:t xml:space="preserve">программой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инвест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публичного акционерного общества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Газпром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0" w:lineRule="auto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"https://internet.garant.ru/" \l "/document/408133507/entry/1000" </w:instrText>
      </w:r>
      <w:r>
        <w:rPr>
          <w:sz w:val="26"/>
          <w:szCs w:val="26"/>
        </w:rPr>
        <w:fldChar w:fldCharType="separate"/>
      </w:r>
      <w:r>
        <w:rPr>
          <w:rStyle w:val="898"/>
          <w:color w:val="000000"/>
          <w:sz w:val="26"/>
          <w:szCs w:val="26"/>
          <w:u w:val="none"/>
        </w:rPr>
        <w:t xml:space="preserve">государственной</w:t>
      </w:r>
      <w:r>
        <w:rPr>
          <w:rStyle w:val="898"/>
          <w:color w:val="000000"/>
          <w:sz w:val="26"/>
          <w:szCs w:val="26"/>
          <w:u w:val="none"/>
        </w:rPr>
        <w:t xml:space="preserve"> </w:t>
      </w:r>
      <w:r>
        <w:rPr>
          <w:rStyle w:val="898"/>
          <w:color w:val="000000"/>
          <w:sz w:val="26"/>
          <w:szCs w:val="26"/>
          <w:u w:val="none"/>
        </w:rPr>
        <w:t xml:space="preserve">программой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Модернизация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сферы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"https://internet.garant.ru/" \l "/document/408133507/entry/0" </w:instrText>
      </w:r>
      <w:r>
        <w:rPr>
          <w:sz w:val="26"/>
          <w:szCs w:val="26"/>
        </w:rPr>
        <w:fldChar w:fldCharType="separate"/>
      </w:r>
      <w:r>
        <w:rPr>
          <w:rStyle w:val="898"/>
          <w:color w:val="000000"/>
          <w:sz w:val="26"/>
          <w:szCs w:val="26"/>
          <w:u w:val="none"/>
        </w:rPr>
        <w:t xml:space="preserve"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588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 w:line="230" w:lineRule="auto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одготовка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домовладений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(проектирование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границах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монтаж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внутридомового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оборудования)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домовл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дений.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992" w:footer="709" w:gutter="0"/>
          <w:cols w:num="1" w:sep="0" w:space="708" w:equalWidth="1"/>
          <w:docGrid w:linePitch="360"/>
          <w:titlePg/>
        </w:sectPr>
      </w:pPr>
      <w:r>
        <w:rPr>
          <w:sz w:val="26"/>
          <w:szCs w:val="26"/>
        </w:rPr>
      </w:r>
      <w:r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7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ОЖИДАЕМЫЙ ЭФФЕКТ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«Газификация жилищно-коммунального хозяйства, промы</w:t>
      </w:r>
      <w:r>
        <w:rPr>
          <w:b/>
          <w:sz w:val="26"/>
          <w:szCs w:val="26"/>
        </w:rPr>
        <w:t xml:space="preserve">ш</w:t>
      </w:r>
      <w:r>
        <w:rPr>
          <w:b/>
          <w:sz w:val="26"/>
          <w:szCs w:val="26"/>
        </w:rPr>
        <w:t xml:space="preserve">ленных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b/>
          <w:sz w:val="26"/>
          <w:szCs w:val="26"/>
        </w:rPr>
        <w:t xml:space="preserve">и иных организ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ций </w:t>
      </w:r>
      <w:r>
        <w:rPr>
          <w:b/>
          <w:sz w:val="26"/>
          <w:szCs w:val="26"/>
        </w:rPr>
        <w:t xml:space="preserve">Чувашской Республики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2024–2035 годы»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Ожида</w:t>
      </w:r>
      <w:r>
        <w:rPr>
          <w:sz w:val="26"/>
          <w:szCs w:val="26"/>
        </w:rPr>
        <w:t xml:space="preserve">ются следующие </w:t>
      </w:r>
      <w:r>
        <w:rPr>
          <w:sz w:val="26"/>
          <w:szCs w:val="26"/>
        </w:rPr>
        <w:t xml:space="preserve">результаты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эконом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ческое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</w:t>
      </w:r>
      <w:r>
        <w:rPr>
          <w:sz w:val="26"/>
          <w:szCs w:val="26"/>
        </w:rPr>
        <w:t xml:space="preserve"> «Газификация жилищно-коммунального хозяйства, промышленных и иных организаций Ч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вашской Республики на 2024–2035 годы»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э</w:t>
      </w:r>
      <w:r>
        <w:rPr>
          <w:i/>
          <w:sz w:val="26"/>
          <w:szCs w:val="26"/>
        </w:rPr>
        <w:t xml:space="preserve">кономическая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эффективность: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расширение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газораспределения,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являющихся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ляющей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энергообеспечения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загрузка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построенных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целью</w:t>
      </w:r>
      <w:r>
        <w:rPr>
          <w:sz w:val="26"/>
          <w:szCs w:val="26"/>
        </w:rPr>
        <w:t xml:space="preserve"> 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эффективного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функционирования;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повышение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уровня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промы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ленных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создание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зонах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стиц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активности;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увеличение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поставки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транспортировки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дополнительные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налоговые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поступления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различных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уровней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</w:t>
      </w:r>
      <w:r>
        <w:rPr>
          <w:i/>
          <w:sz w:val="26"/>
          <w:szCs w:val="26"/>
        </w:rPr>
        <w:t xml:space="preserve">оциальная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эффективность:</w:t>
      </w:r>
      <w:r>
        <w:rPr>
          <w:i/>
          <w:sz w:val="26"/>
          <w:szCs w:val="26"/>
        </w:rPr>
      </w:r>
      <w:r>
        <w:rPr>
          <w:i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обеспечение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возможности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квартир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(домовладений);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отопление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видуальных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источников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тепла,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топл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перевод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отопления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многоквартирных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домов,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назначения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(школы,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детские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сады,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больницы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пр.);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синхронизация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газопроводов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объемам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товкой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spacing w:after="0" w:line="240" w:lineRule="auto"/>
        <w:rPr>
          <w:rFonts w:ascii="Times New Roman" w:hAnsi="Times New Roman"/>
          <w:sz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8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В Е Д Е Н И 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порядке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расчета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показателей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«Газификация жили</w:t>
      </w:r>
      <w:r>
        <w:rPr>
          <w:b/>
          <w:sz w:val="26"/>
          <w:szCs w:val="26"/>
        </w:rPr>
        <w:t xml:space="preserve">щ</w:t>
      </w:r>
      <w:r>
        <w:rPr>
          <w:b/>
          <w:sz w:val="26"/>
          <w:szCs w:val="26"/>
        </w:rPr>
        <w:t xml:space="preserve">но-коммунального хозяйства, промышленных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иных организаций Чува</w:t>
      </w:r>
      <w:r>
        <w:rPr>
          <w:b/>
          <w:sz w:val="26"/>
          <w:szCs w:val="26"/>
        </w:rPr>
        <w:t xml:space="preserve">ш</w:t>
      </w:r>
      <w:r>
        <w:rPr>
          <w:b/>
          <w:sz w:val="26"/>
          <w:szCs w:val="26"/>
        </w:rPr>
        <w:t xml:space="preserve">ской Республики на 2024–2035 годы»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Значение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объем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(прирост)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принято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</w:t>
      </w:r>
      <w:r>
        <w:rPr>
          <w:sz w:val="26"/>
          <w:szCs w:val="26"/>
        </w:rPr>
        <w:t xml:space="preserve">отве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ственностью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Газпром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межрегионгаз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всем категориям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бществ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с ограниченной </w:t>
      </w:r>
      <w:r>
        <w:rPr>
          <w:sz w:val="26"/>
          <w:szCs w:val="26"/>
        </w:rPr>
        <w:t xml:space="preserve">ответственностью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Газпром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межрегионгаз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боксары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обеспечивает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беспер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бойную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поставк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природного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заключенными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ми.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Расчет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«Газификация ж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лищно-коммунального хозяйства, промышленных и иных организаций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 на 2024–2035 годы»</w:t>
      </w:r>
      <w:r>
        <w:rPr>
          <w:sz w:val="26"/>
          <w:szCs w:val="26"/>
        </w:rPr>
        <w:t xml:space="preserve"> (далее – региональная программа)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ключением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целевого показателя «уровень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потенциальной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данных,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ной </w:t>
      </w:r>
      <w:r>
        <w:rPr>
          <w:sz w:val="26"/>
          <w:szCs w:val="26"/>
        </w:rPr>
        <w:t xml:space="preserve">программы,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также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"https://internet.garant.ru/" \l "/document/408133507/entry/1000" </w:instrText>
      </w:r>
      <w:r>
        <w:rPr>
          <w:sz w:val="26"/>
          <w:szCs w:val="26"/>
        </w:rPr>
        <w:fldChar w:fldCharType="separate"/>
      </w:r>
      <w:r>
        <w:rPr>
          <w:rStyle w:val="898"/>
          <w:color w:val="000000"/>
          <w:sz w:val="26"/>
          <w:szCs w:val="26"/>
          <w:u w:val="none"/>
        </w:rPr>
        <w:t xml:space="preserve">государственной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</w:t>
      </w:r>
      <w:r>
        <w:rPr>
          <w:sz w:val="26"/>
          <w:szCs w:val="26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Модернизация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сферы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"https://internet.garant.ru/" \l "/document/408133507/entry/0" </w:instrText>
      </w:r>
      <w:r>
        <w:rPr>
          <w:sz w:val="26"/>
          <w:szCs w:val="26"/>
        </w:rPr>
        <w:fldChar w:fldCharType="separate"/>
      </w:r>
      <w:r>
        <w:rPr>
          <w:rStyle w:val="898"/>
          <w:color w:val="000000"/>
          <w:sz w:val="26"/>
          <w:szCs w:val="26"/>
          <w:u w:val="none"/>
        </w:rPr>
        <w:t xml:space="preserve">постановлением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кабря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588.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Расчет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целевого </w:t>
      </w:r>
      <w:r>
        <w:rPr>
          <w:sz w:val="26"/>
          <w:szCs w:val="26"/>
        </w:rPr>
        <w:t xml:space="preserve">показателя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уровень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потенциальной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ния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выполнен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етодикой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Министерства энергетики Российской Федерации от 21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июня 2024 г. № 685 (</w:t>
      </w:r>
      <w:r>
        <w:rPr>
          <w:sz w:val="26"/>
          <w:szCs w:val="26"/>
        </w:rPr>
        <w:t xml:space="preserve">зарегистрирован</w:t>
      </w:r>
      <w:r>
        <w:rPr>
          <w:sz w:val="26"/>
          <w:szCs w:val="26"/>
        </w:rPr>
        <w:t xml:space="preserve"> в Министерстве юстиции </w:t>
      </w:r>
      <w:r>
        <w:rPr>
          <w:sz w:val="26"/>
          <w:szCs w:val="26"/>
        </w:rPr>
        <w:t xml:space="preserve">Российской Федерации</w:t>
      </w:r>
      <w:r>
        <w:rPr>
          <w:sz w:val="26"/>
          <w:szCs w:val="26"/>
        </w:rPr>
        <w:t xml:space="preserve"> 14 октября 2024 г.</w:t>
      </w:r>
      <w:r>
        <w:rPr>
          <w:sz w:val="26"/>
          <w:szCs w:val="26"/>
        </w:rPr>
        <w:t xml:space="preserve">, регистрационный № 79780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отражен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ском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паспорте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газового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хозяйства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стоянию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ода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rPr>
          <w:rFonts w:ascii="Times New Roman" w:hAnsi="Times New Roman"/>
          <w:sz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</w:rPr>
        <w:t xml:space="preserve">_____________</w:t>
      </w:r>
      <w:r/>
      <w:r/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9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В Е Д Е Н И 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потребителях</w:t>
      </w:r>
      <w:r>
        <w:rPr>
          <w:b/>
          <w:sz w:val="26"/>
          <w:szCs w:val="26"/>
        </w:rPr>
        <w:t xml:space="preserve"> газа</w:t>
      </w:r>
      <w:r>
        <w:rPr>
          <w:b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которых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направлено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действие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«Газификация жилищно-коммунального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хозяйства, промышле</w:t>
      </w:r>
      <w:r>
        <w:rPr>
          <w:b/>
          <w:sz w:val="26"/>
          <w:szCs w:val="26"/>
        </w:rPr>
        <w:t xml:space="preserve">н</w:t>
      </w:r>
      <w:r>
        <w:rPr>
          <w:b/>
          <w:sz w:val="26"/>
          <w:szCs w:val="26"/>
        </w:rPr>
        <w:t xml:space="preserve">ных и иных организаций Чувашской Республики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2024–2035 годы»</w:t>
      </w:r>
      <w:r>
        <w:rPr>
          <w:b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обоснование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выдел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Потребителями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Газификация жилищно-коммунального хозяйства, пр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мышленных и иных организаций Чувашской Республики 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(далее – реги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нальная программа)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являютс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промышленные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зации,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объекты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коммунальной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инфраструктуры.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Действие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направлено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создание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реконстру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модернизацию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систем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надежн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потребит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Приорите</w:t>
      </w:r>
      <w:r>
        <w:rPr>
          <w:color w:val="22272f"/>
          <w:sz w:val="26"/>
          <w:szCs w:val="26"/>
        </w:rPr>
        <w:t xml:space="preserve">тны</w:t>
      </w:r>
      <w:r>
        <w:rPr>
          <w:color w:val="22272f"/>
          <w:sz w:val="26"/>
          <w:szCs w:val="26"/>
        </w:rPr>
        <w:t xml:space="preserve">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направления</w:t>
      </w:r>
      <w:r>
        <w:rPr>
          <w:color w:val="22272f"/>
          <w:sz w:val="26"/>
          <w:szCs w:val="26"/>
        </w:rPr>
        <w:t xml:space="preserve">ми</w:t>
      </w:r>
      <w:r>
        <w:rPr>
          <w:color w:val="22272f"/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</w:t>
      </w:r>
      <w:r>
        <w:rPr>
          <w:color w:val="22272f"/>
          <w:sz w:val="26"/>
          <w:szCs w:val="26"/>
        </w:rPr>
        <w:t xml:space="preserve">рограмм</w:t>
      </w:r>
      <w:r>
        <w:rPr>
          <w:color w:val="22272f"/>
          <w:sz w:val="26"/>
          <w:szCs w:val="26"/>
        </w:rPr>
        <w:t xml:space="preserve">ы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являются</w:t>
      </w:r>
      <w:r>
        <w:rPr>
          <w:color w:val="22272f"/>
          <w:sz w:val="26"/>
          <w:szCs w:val="26"/>
        </w:rPr>
        <w:t xml:space="preserve">: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обеспечение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над</w:t>
      </w:r>
      <w:r>
        <w:rPr>
          <w:color w:val="22272f"/>
          <w:sz w:val="26"/>
          <w:szCs w:val="26"/>
        </w:rPr>
        <w:t xml:space="preserve">е</w:t>
      </w:r>
      <w:r>
        <w:rPr>
          <w:color w:val="22272f"/>
          <w:sz w:val="26"/>
          <w:szCs w:val="26"/>
        </w:rPr>
        <w:t xml:space="preserve">жности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газоснабжения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Чувашской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Республики;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исполнение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обязательств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Чувашской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Республики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по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строительству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газ</w:t>
      </w:r>
      <w:r>
        <w:rPr>
          <w:color w:val="22272f"/>
          <w:sz w:val="26"/>
          <w:szCs w:val="26"/>
        </w:rPr>
        <w:t xml:space="preserve">о</w:t>
      </w:r>
      <w:r>
        <w:rPr>
          <w:color w:val="22272f"/>
          <w:sz w:val="26"/>
          <w:szCs w:val="26"/>
        </w:rPr>
        <w:t xml:space="preserve">распределительных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систем,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предусмотренных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для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обеспечения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потребителей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г</w:t>
      </w:r>
      <w:r>
        <w:rPr>
          <w:color w:val="22272f"/>
          <w:sz w:val="26"/>
          <w:szCs w:val="26"/>
        </w:rPr>
        <w:t xml:space="preserve">а</w:t>
      </w:r>
      <w:r>
        <w:rPr>
          <w:color w:val="22272f"/>
          <w:sz w:val="26"/>
          <w:szCs w:val="26"/>
        </w:rPr>
        <w:t xml:space="preserve">за в </w:t>
      </w:r>
      <w:r>
        <w:rPr>
          <w:color w:val="22272f"/>
          <w:sz w:val="26"/>
          <w:szCs w:val="26"/>
        </w:rPr>
        <w:t xml:space="preserve">насел</w:t>
      </w:r>
      <w:r>
        <w:rPr>
          <w:color w:val="22272f"/>
          <w:sz w:val="26"/>
          <w:szCs w:val="26"/>
        </w:rPr>
        <w:t xml:space="preserve">е</w:t>
      </w:r>
      <w:r>
        <w:rPr>
          <w:color w:val="22272f"/>
          <w:sz w:val="26"/>
          <w:szCs w:val="26"/>
        </w:rPr>
        <w:t xml:space="preserve">нных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пунктах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Чувашской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Республики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в рамках программы</w:t>
      </w:r>
      <w:r>
        <w:rPr>
          <w:color w:val="22272f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развития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дов</w:t>
      </w:r>
      <w:r>
        <w:rPr>
          <w:color w:val="22272f"/>
          <w:sz w:val="26"/>
          <w:szCs w:val="26"/>
        </w:rPr>
        <w:t xml:space="preserve">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обеспечение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газораспределительными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системами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территорий,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связанных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с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развитием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перспективных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промышленных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зон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новыми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инвестиционными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пр</w:t>
      </w:r>
      <w:r>
        <w:rPr>
          <w:color w:val="22272f"/>
          <w:sz w:val="26"/>
          <w:szCs w:val="26"/>
        </w:rPr>
        <w:t xml:space="preserve">о</w:t>
      </w:r>
      <w:r>
        <w:rPr>
          <w:color w:val="22272f"/>
          <w:sz w:val="26"/>
          <w:szCs w:val="26"/>
        </w:rPr>
        <w:t xml:space="preserve">ектами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в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Чува</w:t>
      </w:r>
      <w:r>
        <w:rPr>
          <w:color w:val="22272f"/>
          <w:sz w:val="26"/>
          <w:szCs w:val="26"/>
        </w:rPr>
        <w:t xml:space="preserve">ш</w:t>
      </w:r>
      <w:r>
        <w:rPr>
          <w:color w:val="22272f"/>
          <w:sz w:val="26"/>
          <w:szCs w:val="26"/>
        </w:rPr>
        <w:t xml:space="preserve">ской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Республик</w:t>
      </w:r>
      <w:r>
        <w:rPr>
          <w:color w:val="22272f"/>
          <w:sz w:val="26"/>
          <w:szCs w:val="26"/>
        </w:rPr>
        <w:t xml:space="preserve">е</w:t>
      </w:r>
      <w:r>
        <w:rPr>
          <w:color w:val="22272f"/>
          <w:sz w:val="26"/>
          <w:szCs w:val="26"/>
        </w:rPr>
        <w:t xml:space="preserve">;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 xml:space="preserve">обеспечение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развития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рынка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газомоторного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топлива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в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Чувашской</w:t>
      </w:r>
      <w:r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Респу</w:t>
      </w:r>
      <w:r>
        <w:rPr>
          <w:color w:val="22272f"/>
          <w:sz w:val="26"/>
          <w:szCs w:val="26"/>
        </w:rPr>
        <w:t xml:space="preserve">б</w:t>
      </w:r>
      <w:r>
        <w:rPr>
          <w:color w:val="22272f"/>
          <w:sz w:val="26"/>
          <w:szCs w:val="26"/>
        </w:rPr>
        <w:t xml:space="preserve">лике</w:t>
      </w:r>
      <w:r>
        <w:rPr>
          <w:color w:val="22272f"/>
          <w:sz w:val="26"/>
          <w:szCs w:val="26"/>
        </w:rPr>
        <w:t xml:space="preserve">.</w:t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7"/>
        <w:ind w:firstLine="709"/>
        <w:jc w:val="both"/>
        <w:spacing w:before="0" w:beforeAutospacing="0" w:after="0" w:afterAutospacing="0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890"/>
        <w:jc w:val="center"/>
        <w:rPr>
          <w:rFonts w:ascii="Times New Roman" w:hAnsi="Times New Roman"/>
          <w:sz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10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 И С А Н И Е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координации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деятельности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исполнительных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органов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</w:t>
      </w:r>
      <w:r>
        <w:rPr>
          <w:b/>
          <w:sz w:val="26"/>
          <w:szCs w:val="26"/>
        </w:rPr>
        <w:t xml:space="preserve">уваш</w:t>
      </w:r>
      <w:r>
        <w:rPr>
          <w:b/>
          <w:sz w:val="26"/>
          <w:szCs w:val="26"/>
        </w:rPr>
        <w:t xml:space="preserve">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с</w:t>
      </w:r>
      <w:r>
        <w:rPr>
          <w:b/>
          <w:sz w:val="26"/>
          <w:szCs w:val="26"/>
        </w:rPr>
        <w:t xml:space="preserve">публики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организаций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достижения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hanging="22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целей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ожидаемых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результатов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«Газификация жилищно-коммунального хозяйства, промышленных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иных организ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ций Чувашской Республики на 2024–2035 годы»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строительства,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архитектуры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жилищно-коммунального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зяйства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инистерство)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зует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совместно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оператором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самоуправления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«Газификация жилищно-коммуналь</w:t>
      </w:r>
      <w:r>
        <w:rPr>
          <w:sz w:val="26"/>
          <w:szCs w:val="26"/>
        </w:rPr>
        <w:t xml:space="preserve">ного хозяйства, промышленных и иных организаций Чувашской 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 на 2024–2035 годы»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региональная программа).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целях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подготовки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направления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энергетики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Росси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ежегодного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отчета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реализации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региональной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зификации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Чувашск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Республ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соответствии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равилами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разработки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реализации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межрегионал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ных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региональных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газификации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жилищно-коммунального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хозяйства,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промышленных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иных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организ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ций,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утвержденными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постановлением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Росси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сентября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2016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г.</w:t>
      </w:r>
      <w:r>
        <w:rPr>
          <w:rFonts w:ascii="Times New Roman" w:hAnsi="Times New Roman" w:eastAsia="Times New Roman"/>
          <w:sz w:val="26"/>
          <w:szCs w:val="26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903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«О порядке разработки и реализации межрегиональных и региональных программ 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зификации жилищно-коммунального хозяйства, промышленных и иных организаций»,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участники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региональной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представляют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стерство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ежегодно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отчеты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реализации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программных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мероприятий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срок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марта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форме,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установленной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приказом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энергетики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Росси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Федерации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 сентября 2024 г.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1184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«Об утверждении формы отчета о реализ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ции межрегиональных и региональных программ газификации жилищно-коммунального хозяйства, промышленных и иных организаций» (зарегистрир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ван в Мин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истерстве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юст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Росси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йской Федерации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28 ноября 2024 г.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80371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(далее – приказ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Министерства энергетики Российской Федерации от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 сентя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ря 2024 г.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1184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апреля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энерг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отч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энергетики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 сентября 2024 г.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1184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Порядок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взаимодействия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исполнительных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</w:t>
      </w:r>
      <w:r>
        <w:rPr>
          <w:sz w:val="26"/>
          <w:szCs w:val="26"/>
        </w:rPr>
        <w:t xml:space="preserve">зораспределительной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реализующих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финансиру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надбавок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услуги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ровке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сетям</w:t>
      </w:r>
      <w:r>
        <w:rPr>
          <w:sz w:val="26"/>
          <w:szCs w:val="26"/>
        </w:rPr>
        <w:t xml:space="preserve">, регламентируется </w:t>
      </w:r>
      <w:r>
        <w:rPr>
          <w:sz w:val="26"/>
          <w:szCs w:val="26"/>
        </w:rPr>
        <w:t xml:space="preserve">Порядк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ботки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нансируемых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полученных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применения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надбавок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тарифам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транспортировку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организациями</w:t>
      </w:r>
      <w:r>
        <w:rPr>
          <w:sz w:val="26"/>
          <w:szCs w:val="26"/>
        </w:rPr>
        <w:t xml:space="preserve">, у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вержденным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Кабинета Министров Чувашской Республики от 13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варя 2021 г. № 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Оценка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мониторинге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ожидаемых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конечных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результатов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сопоста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значений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показателей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фактически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достигнутыми.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фактически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достигнутыми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резул</w:t>
      </w:r>
      <w:r>
        <w:rPr>
          <w:sz w:val="26"/>
          <w:szCs w:val="26"/>
        </w:rPr>
        <w:t xml:space="preserve">ьтатами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вносятся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корректировки.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Участники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</w:t>
      </w:r>
      <w:r>
        <w:rPr>
          <w:sz w:val="26"/>
          <w:szCs w:val="26"/>
        </w:rPr>
        <w:t xml:space="preserve">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своевременно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информируют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связа</w:t>
      </w:r>
      <w:r>
        <w:rPr>
          <w:sz w:val="26"/>
          <w:szCs w:val="26"/>
        </w:rPr>
        <w:t xml:space="preserve">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граммы.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Министерство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готовит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стано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Кабинета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вующий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период.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spacing w:after="0"/>
        <w:rPr>
          <w:rFonts w:ascii="Times New Roman" w:hAnsi="Times New Roman"/>
          <w:sz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</w:rPr>
        <w:t xml:space="preserve">_____________</w:t>
      </w:r>
      <w:r/>
      <w:r/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Приложение № 11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 региональной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ция жилищно-коммунального хозяйства, промышленных и иных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left="4521"/>
        <w:jc w:val="center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 2024–2035 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ПРОГНОЗИРУЕМЫЙ РАЗМЕР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расходов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республиканского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бюджета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реализацию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региональной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программы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«Газификация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жилищно-коммунального хозяйства, промышленных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center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иных </w:t>
      </w: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рганиз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ций Чувашской Республики на 2024–2035 годы»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егиональной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рограммой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Газификация жилищно-коммунального хозя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ства, промышленных и иных организ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ций Чувашской Республики на 2024–2035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годы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 (далее – региональная программа)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состоянию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января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предусмотрены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реализуемые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ресурсном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обеспечени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сформирована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финансирование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торых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бюджета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6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9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</w:rPr>
      </w:r>
    </w:p>
    <w:sectPr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1044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1044"/>
        <w:rFonts w:ascii="Times New Roman" w:hAnsi="Times New Roman"/>
        <w:sz w:val="24"/>
        <w:szCs w:val="24"/>
      </w:rPr>
      <w:fldChar w:fldCharType="begin"/>
    </w:r>
    <w:r>
      <w:rPr>
        <w:rStyle w:val="1044"/>
        <w:rFonts w:ascii="Times New Roman" w:hAnsi="Times New Roman"/>
        <w:sz w:val="24"/>
        <w:szCs w:val="24"/>
      </w:rPr>
      <w:instrText xml:space="preserve">PAGE  </w:instrText>
    </w:r>
    <w:r>
      <w:rPr>
        <w:rStyle w:val="1044"/>
        <w:rFonts w:ascii="Times New Roman" w:hAnsi="Times New Roman"/>
        <w:sz w:val="24"/>
        <w:szCs w:val="24"/>
      </w:rPr>
      <w:fldChar w:fldCharType="separate"/>
    </w:r>
    <w:r>
      <w:rPr>
        <w:rStyle w:val="1044"/>
        <w:rFonts w:ascii="Times New Roman" w:hAnsi="Times New Roman"/>
        <w:sz w:val="24"/>
        <w:szCs w:val="24"/>
      </w:rPr>
      <w:t xml:space="preserve">2</w:t>
    </w:r>
    <w:r>
      <w:rPr>
        <w:rStyle w:val="1044"/>
        <w:rFonts w:ascii="Times New Roman" w:hAnsi="Times New Roman"/>
        <w:sz w:val="24"/>
        <w:szCs w:val="24"/>
      </w:rPr>
      <w:fldChar w:fldCharType="end"/>
    </w:r>
    <w:r>
      <w:rPr>
        <w:rStyle w:val="1044"/>
        <w:rFonts w:ascii="Times New Roman" w:hAnsi="Times New Roman"/>
        <w:sz w:val="24"/>
        <w:szCs w:val="24"/>
      </w:rPr>
    </w:r>
    <w:r>
      <w:rPr>
        <w:rStyle w:val="1044"/>
        <w:rFonts w:ascii="Times New Roman" w:hAnsi="Times New Roman"/>
        <w:sz w:val="24"/>
        <w:szCs w:val="24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1">
    <w:name w:val="Заголовок 1"/>
    <w:basedOn w:val="890"/>
    <w:next w:val="890"/>
    <w:link w:val="1049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" w:hAnsi="Times New Roman" w:eastAsia="Times New Roman"/>
      <w:b/>
      <w:bCs/>
      <w:color w:val="26282f"/>
      <w:sz w:val="24"/>
      <w:szCs w:val="24"/>
      <w:lang w:eastAsia="ru-RU"/>
    </w:rPr>
  </w:style>
  <w:style w:type="paragraph" w:styleId="892">
    <w:name w:val="Заголовок 2"/>
    <w:basedOn w:val="890"/>
    <w:next w:val="890"/>
    <w:link w:val="1065"/>
    <w:uiPriority w:val="9"/>
    <w:unhideWhenUsed/>
    <w:qFormat/>
    <w:pPr>
      <w:ind w:firstLine="11"/>
      <w:jc w:val="center"/>
      <w:keepNext/>
      <w:spacing w:after="0" w:line="240" w:lineRule="auto"/>
      <w:outlineLvl w:val="1"/>
    </w:pPr>
    <w:rPr>
      <w:rFonts w:ascii="Times New Roman" w:hAnsi="Times New Roman"/>
      <w:b/>
      <w:sz w:val="26"/>
      <w:szCs w:val="26"/>
    </w:rPr>
  </w:style>
  <w:style w:type="character" w:styleId="893">
    <w:name w:val="Основной шрифт абзаца"/>
    <w:next w:val="893"/>
    <w:link w:val="890"/>
    <w:uiPriority w:val="1"/>
    <w:unhideWhenUsed/>
  </w:style>
  <w:style w:type="table" w:styleId="894">
    <w:name w:val="Обычная таблица"/>
    <w:next w:val="894"/>
    <w:link w:val="890"/>
    <w:uiPriority w:val="99"/>
    <w:semiHidden/>
    <w:unhideWhenUsed/>
    <w:tblPr/>
  </w:style>
  <w:style w:type="numbering" w:styleId="895">
    <w:name w:val="Нет списка"/>
    <w:next w:val="895"/>
    <w:link w:val="890"/>
    <w:uiPriority w:val="99"/>
    <w:semiHidden/>
    <w:unhideWhenUsed/>
  </w:style>
  <w:style w:type="paragraph" w:styleId="896">
    <w:name w:val="s_3"/>
    <w:basedOn w:val="890"/>
    <w:next w:val="896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7">
    <w:name w:val="s_1"/>
    <w:basedOn w:val="890"/>
    <w:next w:val="897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8">
    <w:name w:val="Гиперссылка"/>
    <w:next w:val="898"/>
    <w:link w:val="890"/>
    <w:uiPriority w:val="99"/>
    <w:unhideWhenUsed/>
    <w:rPr>
      <w:color w:val="0000ff"/>
      <w:u w:val="single"/>
    </w:rPr>
  </w:style>
  <w:style w:type="table" w:styleId="899">
    <w:name w:val="Сетка таблицы"/>
    <w:basedOn w:val="894"/>
    <w:next w:val="899"/>
    <w:link w:val="890"/>
    <w:uiPriority w:val="59"/>
    <w:pPr>
      <w:spacing w:after="0" w:line="240" w:lineRule="auto"/>
    </w:pPr>
    <w:tblPr/>
  </w:style>
  <w:style w:type="paragraph" w:styleId="900">
    <w:name w:val="Верхний колонтитул"/>
    <w:basedOn w:val="890"/>
    <w:next w:val="900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>
    <w:name w:val=" Знак Знак8"/>
    <w:basedOn w:val="893"/>
    <w:next w:val="901"/>
    <w:link w:val="900"/>
    <w:uiPriority w:val="99"/>
  </w:style>
  <w:style w:type="paragraph" w:styleId="902">
    <w:name w:val="Нижний колонтитул"/>
    <w:basedOn w:val="890"/>
    <w:next w:val="902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>
    <w:name w:val=" Знак Знак7"/>
    <w:basedOn w:val="893"/>
    <w:next w:val="903"/>
    <w:link w:val="902"/>
    <w:uiPriority w:val="99"/>
  </w:style>
  <w:style w:type="paragraph" w:styleId="904">
    <w:name w:val="xl65"/>
    <w:basedOn w:val="890"/>
    <w:next w:val="904"/>
    <w:link w:val="89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05">
    <w:name w:val="xl66"/>
    <w:basedOn w:val="890"/>
    <w:next w:val="905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06">
    <w:name w:val="xl67"/>
    <w:basedOn w:val="890"/>
    <w:next w:val="906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07">
    <w:name w:val="xl68"/>
    <w:basedOn w:val="890"/>
    <w:next w:val="907"/>
    <w:link w:val="890"/>
    <w:pPr>
      <w:spacing w:before="100" w:beforeAutospacing="1" w:after="100" w:afterAutospacing="1" w:line="240" w:lineRule="auto"/>
      <w:shd w:val="clear" w:color="000000" w:fill="ffffff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08">
    <w:name w:val="xl69"/>
    <w:basedOn w:val="890"/>
    <w:next w:val="908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09">
    <w:name w:val="xl70"/>
    <w:basedOn w:val="890"/>
    <w:next w:val="909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10">
    <w:name w:val="xl71"/>
    <w:basedOn w:val="890"/>
    <w:next w:val="910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11">
    <w:name w:val="xl72"/>
    <w:basedOn w:val="890"/>
    <w:next w:val="911"/>
    <w:link w:val="890"/>
    <w:pPr>
      <w:spacing w:before="100" w:beforeAutospacing="1" w:after="100" w:afterAutospacing="1" w:line="240" w:lineRule="auto"/>
      <w:shd w:val="clear" w:color="000000" w:fill="ffffff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12">
    <w:name w:val="xl73"/>
    <w:basedOn w:val="890"/>
    <w:next w:val="912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3">
    <w:name w:val="xl74"/>
    <w:basedOn w:val="890"/>
    <w:next w:val="913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4">
    <w:name w:val="xl75"/>
    <w:basedOn w:val="890"/>
    <w:next w:val="914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5">
    <w:name w:val="xl76"/>
    <w:basedOn w:val="890"/>
    <w:next w:val="915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6">
    <w:name w:val="xl77"/>
    <w:basedOn w:val="890"/>
    <w:next w:val="916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7">
    <w:name w:val="xl78"/>
    <w:basedOn w:val="890"/>
    <w:next w:val="917"/>
    <w:link w:val="890"/>
    <w:pPr>
      <w:spacing w:before="100" w:beforeAutospacing="1" w:after="100" w:afterAutospacing="1" w:line="240" w:lineRule="auto"/>
      <w:shd w:val="clear" w:color="000000" w:fill="d9d9d9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18">
    <w:name w:val="xl79"/>
    <w:basedOn w:val="890"/>
    <w:next w:val="918"/>
    <w:link w:val="890"/>
    <w:pPr>
      <w:spacing w:before="100" w:beforeAutospacing="1" w:after="100" w:afterAutospacing="1" w:line="240" w:lineRule="auto"/>
      <w:shd w:val="clear" w:color="000000" w:fill="d9d9d9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19">
    <w:name w:val="xl80"/>
    <w:basedOn w:val="890"/>
    <w:next w:val="919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0">
    <w:name w:val="xl81"/>
    <w:basedOn w:val="890"/>
    <w:next w:val="920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1">
    <w:name w:val="xl82"/>
    <w:basedOn w:val="890"/>
    <w:next w:val="921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2">
    <w:name w:val="xl83"/>
    <w:basedOn w:val="890"/>
    <w:next w:val="922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3">
    <w:name w:val="xl84"/>
    <w:basedOn w:val="890"/>
    <w:next w:val="923"/>
    <w:link w:val="890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4">
    <w:name w:val="xl85"/>
    <w:basedOn w:val="890"/>
    <w:next w:val="924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5">
    <w:name w:val="xl86"/>
    <w:basedOn w:val="890"/>
    <w:next w:val="925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6">
    <w:name w:val="xl87"/>
    <w:basedOn w:val="890"/>
    <w:next w:val="926"/>
    <w:link w:val="890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7">
    <w:name w:val="xl88"/>
    <w:basedOn w:val="890"/>
    <w:next w:val="927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8">
    <w:name w:val="xl89"/>
    <w:basedOn w:val="890"/>
    <w:next w:val="928"/>
    <w:link w:val="890"/>
    <w:pPr>
      <w:spacing w:before="100" w:beforeAutospacing="1" w:after="100" w:afterAutospacing="1" w:line="240" w:lineRule="auto"/>
      <w:shd w:val="clear" w:color="000000" w:fill="e2efda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9">
    <w:name w:val="xl90"/>
    <w:basedOn w:val="890"/>
    <w:next w:val="929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0">
    <w:name w:val="xl91"/>
    <w:basedOn w:val="890"/>
    <w:next w:val="930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1">
    <w:name w:val="xl92"/>
    <w:basedOn w:val="890"/>
    <w:next w:val="931"/>
    <w:link w:val="890"/>
    <w:pPr>
      <w:spacing w:before="100" w:beforeAutospacing="1" w:after="100" w:afterAutospacing="1" w:line="240" w:lineRule="auto"/>
      <w:shd w:val="clear" w:color="000000" w:fill="e2efda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2">
    <w:name w:val="xl93"/>
    <w:basedOn w:val="890"/>
    <w:next w:val="932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33">
    <w:name w:val="xl94"/>
    <w:basedOn w:val="890"/>
    <w:next w:val="933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34">
    <w:name w:val="xl95"/>
    <w:basedOn w:val="890"/>
    <w:next w:val="934"/>
    <w:link w:val="890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35">
    <w:name w:val="xl96"/>
    <w:basedOn w:val="890"/>
    <w:next w:val="935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6">
    <w:name w:val="xl97"/>
    <w:basedOn w:val="890"/>
    <w:next w:val="936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37">
    <w:name w:val="xl98"/>
    <w:basedOn w:val="890"/>
    <w:next w:val="937"/>
    <w:link w:val="89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38">
    <w:name w:val="xl99"/>
    <w:basedOn w:val="890"/>
    <w:next w:val="938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9">
    <w:name w:val="xl100"/>
    <w:basedOn w:val="890"/>
    <w:next w:val="939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0">
    <w:name w:val="xl101"/>
    <w:basedOn w:val="890"/>
    <w:next w:val="940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1">
    <w:name w:val="xl102"/>
    <w:basedOn w:val="890"/>
    <w:next w:val="941"/>
    <w:link w:val="890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2">
    <w:name w:val="xl103"/>
    <w:basedOn w:val="890"/>
    <w:next w:val="942"/>
    <w:link w:val="890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3">
    <w:name w:val="xl104"/>
    <w:basedOn w:val="890"/>
    <w:next w:val="943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4">
    <w:name w:val="xl105"/>
    <w:basedOn w:val="890"/>
    <w:next w:val="944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5">
    <w:name w:val="xl106"/>
    <w:basedOn w:val="890"/>
    <w:next w:val="945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6">
    <w:name w:val="xl107"/>
    <w:basedOn w:val="890"/>
    <w:next w:val="946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7">
    <w:name w:val="xl108"/>
    <w:basedOn w:val="890"/>
    <w:next w:val="947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8">
    <w:name w:val="xl109"/>
    <w:basedOn w:val="890"/>
    <w:next w:val="948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9">
    <w:name w:val="xl110"/>
    <w:basedOn w:val="890"/>
    <w:next w:val="949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0">
    <w:name w:val="xl111"/>
    <w:basedOn w:val="890"/>
    <w:next w:val="950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1">
    <w:name w:val="xl112"/>
    <w:basedOn w:val="890"/>
    <w:next w:val="951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2">
    <w:name w:val="xl113"/>
    <w:basedOn w:val="890"/>
    <w:next w:val="952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3">
    <w:name w:val="xl114"/>
    <w:basedOn w:val="890"/>
    <w:next w:val="953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4">
    <w:name w:val="xl115"/>
    <w:basedOn w:val="890"/>
    <w:next w:val="954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5">
    <w:name w:val="xl116"/>
    <w:basedOn w:val="890"/>
    <w:next w:val="955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6">
    <w:name w:val="xl117"/>
    <w:basedOn w:val="890"/>
    <w:next w:val="956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7">
    <w:name w:val="xl118"/>
    <w:basedOn w:val="890"/>
    <w:next w:val="957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8">
    <w:name w:val="xl119"/>
    <w:basedOn w:val="890"/>
    <w:next w:val="958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9">
    <w:name w:val="xl120"/>
    <w:basedOn w:val="890"/>
    <w:next w:val="959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0">
    <w:name w:val="xl121"/>
    <w:basedOn w:val="890"/>
    <w:next w:val="960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1">
    <w:name w:val="xl122"/>
    <w:basedOn w:val="890"/>
    <w:next w:val="961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2">
    <w:name w:val="xl123"/>
    <w:basedOn w:val="890"/>
    <w:next w:val="962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3">
    <w:name w:val="xl124"/>
    <w:basedOn w:val="890"/>
    <w:next w:val="963"/>
    <w:link w:val="890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4">
    <w:name w:val="xl125"/>
    <w:basedOn w:val="890"/>
    <w:next w:val="964"/>
    <w:link w:val="890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5">
    <w:name w:val="xl126"/>
    <w:basedOn w:val="890"/>
    <w:next w:val="965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6">
    <w:name w:val="xl127"/>
    <w:basedOn w:val="890"/>
    <w:next w:val="966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7">
    <w:name w:val="xl128"/>
    <w:basedOn w:val="890"/>
    <w:next w:val="967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8">
    <w:name w:val="xl129"/>
    <w:basedOn w:val="890"/>
    <w:next w:val="968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9">
    <w:name w:val="xl130"/>
    <w:basedOn w:val="890"/>
    <w:next w:val="969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0">
    <w:name w:val="xl131"/>
    <w:basedOn w:val="890"/>
    <w:next w:val="970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1">
    <w:name w:val="xl132"/>
    <w:basedOn w:val="890"/>
    <w:next w:val="971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2">
    <w:name w:val="xl133"/>
    <w:basedOn w:val="890"/>
    <w:next w:val="972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73">
    <w:name w:val="xl134"/>
    <w:basedOn w:val="890"/>
    <w:next w:val="973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74">
    <w:name w:val="xl135"/>
    <w:basedOn w:val="890"/>
    <w:next w:val="974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75">
    <w:name w:val="xl136"/>
    <w:basedOn w:val="890"/>
    <w:next w:val="975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6">
    <w:name w:val="xl137"/>
    <w:basedOn w:val="890"/>
    <w:next w:val="976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7">
    <w:name w:val="xl138"/>
    <w:basedOn w:val="890"/>
    <w:next w:val="977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8">
    <w:name w:val="xl139"/>
    <w:basedOn w:val="890"/>
    <w:next w:val="978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9">
    <w:name w:val="xl140"/>
    <w:basedOn w:val="890"/>
    <w:next w:val="979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0">
    <w:name w:val="xl141"/>
    <w:basedOn w:val="890"/>
    <w:next w:val="980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81">
    <w:name w:val="xl142"/>
    <w:basedOn w:val="890"/>
    <w:next w:val="981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2">
    <w:name w:val="xl143"/>
    <w:basedOn w:val="890"/>
    <w:next w:val="982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3">
    <w:name w:val="xl144"/>
    <w:basedOn w:val="890"/>
    <w:next w:val="983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84">
    <w:name w:val="xl145"/>
    <w:basedOn w:val="890"/>
    <w:next w:val="984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85">
    <w:name w:val="xl146"/>
    <w:basedOn w:val="890"/>
    <w:next w:val="985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6">
    <w:name w:val="xl147"/>
    <w:basedOn w:val="890"/>
    <w:next w:val="986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7">
    <w:name w:val="xl148"/>
    <w:basedOn w:val="890"/>
    <w:next w:val="987"/>
    <w:link w:val="890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88">
    <w:name w:val="xl149"/>
    <w:basedOn w:val="890"/>
    <w:next w:val="988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89">
    <w:name w:val="xl150"/>
    <w:basedOn w:val="890"/>
    <w:next w:val="989"/>
    <w:link w:val="890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0">
    <w:name w:val="xl151"/>
    <w:basedOn w:val="890"/>
    <w:next w:val="990"/>
    <w:link w:val="890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1">
    <w:name w:val="xl152"/>
    <w:basedOn w:val="890"/>
    <w:next w:val="991"/>
    <w:link w:val="890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2">
    <w:name w:val="xl153"/>
    <w:basedOn w:val="890"/>
    <w:next w:val="992"/>
    <w:link w:val="890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3">
    <w:name w:val="xl154"/>
    <w:basedOn w:val="890"/>
    <w:next w:val="993"/>
    <w:link w:val="8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4">
    <w:name w:val="xl155"/>
    <w:basedOn w:val="890"/>
    <w:next w:val="994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5">
    <w:name w:val="xl156"/>
    <w:basedOn w:val="890"/>
    <w:next w:val="995"/>
    <w:link w:val="8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6">
    <w:name w:val="xl157"/>
    <w:basedOn w:val="890"/>
    <w:next w:val="996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7">
    <w:name w:val="xl158"/>
    <w:basedOn w:val="890"/>
    <w:next w:val="997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8">
    <w:name w:val="xl159"/>
    <w:basedOn w:val="890"/>
    <w:next w:val="998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9">
    <w:name w:val="xl160"/>
    <w:basedOn w:val="890"/>
    <w:next w:val="999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0">
    <w:name w:val="xl161"/>
    <w:basedOn w:val="890"/>
    <w:next w:val="1000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1">
    <w:name w:val="xl162"/>
    <w:basedOn w:val="890"/>
    <w:next w:val="1001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2">
    <w:name w:val="xl163"/>
    <w:basedOn w:val="890"/>
    <w:next w:val="1002"/>
    <w:link w:val="890"/>
    <w:pPr>
      <w:jc w:val="center"/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3">
    <w:name w:val="xl164"/>
    <w:basedOn w:val="890"/>
    <w:next w:val="1003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4">
    <w:name w:val="xl165"/>
    <w:basedOn w:val="890"/>
    <w:next w:val="1004"/>
    <w:link w:val="890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5">
    <w:name w:val="xl166"/>
    <w:basedOn w:val="890"/>
    <w:next w:val="1005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6">
    <w:name w:val="xl167"/>
    <w:basedOn w:val="890"/>
    <w:next w:val="1006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7">
    <w:name w:val="xl168"/>
    <w:basedOn w:val="890"/>
    <w:next w:val="1007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8">
    <w:name w:val="xl169"/>
    <w:basedOn w:val="890"/>
    <w:next w:val="1008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9">
    <w:name w:val="xl170"/>
    <w:basedOn w:val="890"/>
    <w:next w:val="1009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0">
    <w:name w:val="xl171"/>
    <w:basedOn w:val="890"/>
    <w:next w:val="1010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1">
    <w:name w:val="xl172"/>
    <w:basedOn w:val="890"/>
    <w:next w:val="1011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2">
    <w:name w:val="xl173"/>
    <w:basedOn w:val="890"/>
    <w:next w:val="1012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3">
    <w:name w:val="xl174"/>
    <w:basedOn w:val="890"/>
    <w:next w:val="1013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4">
    <w:name w:val="xl175"/>
    <w:basedOn w:val="890"/>
    <w:next w:val="1014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5">
    <w:name w:val="xl176"/>
    <w:basedOn w:val="890"/>
    <w:next w:val="1015"/>
    <w:link w:val="890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6">
    <w:name w:val="xl177"/>
    <w:basedOn w:val="890"/>
    <w:next w:val="1016"/>
    <w:link w:val="890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7">
    <w:name w:val="xl178"/>
    <w:basedOn w:val="890"/>
    <w:next w:val="1017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8">
    <w:name w:val="xl179"/>
    <w:basedOn w:val="890"/>
    <w:next w:val="1018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9">
    <w:name w:val="xl180"/>
    <w:basedOn w:val="890"/>
    <w:next w:val="1019"/>
    <w:link w:val="890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0">
    <w:name w:val="xl181"/>
    <w:basedOn w:val="890"/>
    <w:next w:val="1020"/>
    <w:link w:val="890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1">
    <w:name w:val="xl182"/>
    <w:basedOn w:val="890"/>
    <w:next w:val="1021"/>
    <w:link w:val="890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2">
    <w:name w:val="xl183"/>
    <w:basedOn w:val="890"/>
    <w:next w:val="1022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3">
    <w:name w:val="xl184"/>
    <w:basedOn w:val="890"/>
    <w:next w:val="1023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4">
    <w:name w:val="xl185"/>
    <w:basedOn w:val="890"/>
    <w:next w:val="1024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25">
    <w:name w:val="xl186"/>
    <w:basedOn w:val="890"/>
    <w:next w:val="1025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6">
    <w:name w:val="xl187"/>
    <w:basedOn w:val="890"/>
    <w:next w:val="1026"/>
    <w:link w:val="8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27">
    <w:name w:val="xl188"/>
    <w:basedOn w:val="890"/>
    <w:next w:val="1027"/>
    <w:link w:val="890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28">
    <w:name w:val="xl189"/>
    <w:basedOn w:val="890"/>
    <w:next w:val="1028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29">
    <w:name w:val="xl190"/>
    <w:basedOn w:val="890"/>
    <w:next w:val="1029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0">
    <w:name w:val="xl191"/>
    <w:basedOn w:val="890"/>
    <w:next w:val="1030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1">
    <w:name w:val="xl192"/>
    <w:basedOn w:val="890"/>
    <w:next w:val="1031"/>
    <w:link w:val="890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2">
    <w:name w:val="xl193"/>
    <w:basedOn w:val="890"/>
    <w:next w:val="1032"/>
    <w:link w:val="890"/>
    <w:pPr>
      <w:jc w:val="center"/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3">
    <w:name w:val="xl194"/>
    <w:basedOn w:val="890"/>
    <w:next w:val="1033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4">
    <w:name w:val="xl195"/>
    <w:basedOn w:val="890"/>
    <w:next w:val="1034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5">
    <w:name w:val="xl196"/>
    <w:basedOn w:val="890"/>
    <w:next w:val="1035"/>
    <w:link w:val="890"/>
    <w:pPr>
      <w:jc w:val="center"/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6">
    <w:name w:val="xl197"/>
    <w:basedOn w:val="890"/>
    <w:next w:val="1036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7">
    <w:name w:val="xl198"/>
    <w:basedOn w:val="890"/>
    <w:next w:val="1037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8">
    <w:name w:val="xl199"/>
    <w:basedOn w:val="890"/>
    <w:next w:val="1038"/>
    <w:link w:val="890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9">
    <w:name w:val="xl200"/>
    <w:basedOn w:val="890"/>
    <w:next w:val="1039"/>
    <w:link w:val="890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character" w:styleId="1040">
    <w:name w:val="Просмотренная гиперссылка"/>
    <w:next w:val="1040"/>
    <w:link w:val="890"/>
    <w:uiPriority w:val="99"/>
    <w:semiHidden/>
    <w:unhideWhenUsed/>
    <w:rPr>
      <w:color w:val="954f72"/>
      <w:u w:val="single"/>
    </w:rPr>
  </w:style>
  <w:style w:type="paragraph" w:styleId="1041">
    <w:name w:val="xl64"/>
    <w:basedOn w:val="890"/>
    <w:next w:val="1041"/>
    <w:link w:val="89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42">
    <w:name w:val="Текст выноски"/>
    <w:basedOn w:val="890"/>
    <w:next w:val="1042"/>
    <w:link w:val="10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43">
    <w:name w:val=" Знак Знак6"/>
    <w:next w:val="1043"/>
    <w:link w:val="1042"/>
    <w:uiPriority w:val="99"/>
    <w:semiHidden/>
    <w:rPr>
      <w:rFonts w:ascii="Tahoma" w:hAnsi="Tahoma" w:cs="Tahoma"/>
      <w:sz w:val="16"/>
      <w:szCs w:val="16"/>
    </w:rPr>
  </w:style>
  <w:style w:type="character" w:styleId="1044">
    <w:name w:val="Номер страницы"/>
    <w:basedOn w:val="893"/>
    <w:next w:val="1044"/>
    <w:link w:val="890"/>
  </w:style>
  <w:style w:type="paragraph" w:styleId="1045">
    <w:name w:val="Основной текст"/>
    <w:basedOn w:val="890"/>
    <w:next w:val="1045"/>
    <w:link w:val="1046"/>
    <w:uiPriority w:val="99"/>
    <w:unhideWhenUsed/>
    <w:pPr>
      <w:jc w:val="both"/>
      <w:spacing w:after="0" w:line="240" w:lineRule="auto"/>
    </w:pPr>
    <w:rPr>
      <w:rFonts w:ascii="Times New Roman" w:hAnsi="Times New Roman" w:eastAsia="Times New Roman"/>
      <w:color w:val="ff0000"/>
      <w:sz w:val="26"/>
      <w:szCs w:val="26"/>
      <w:lang w:bidi="en-US"/>
    </w:rPr>
  </w:style>
  <w:style w:type="character" w:styleId="1046">
    <w:name w:val=" Знак Знак5"/>
    <w:next w:val="1046"/>
    <w:link w:val="1045"/>
    <w:uiPriority w:val="99"/>
    <w:rPr>
      <w:rFonts w:ascii="Times New Roman" w:hAnsi="Times New Roman" w:eastAsia="Times New Roman"/>
      <w:color w:val="ff0000"/>
      <w:sz w:val="26"/>
      <w:szCs w:val="26"/>
      <w:lang w:eastAsia="en-US" w:bidi="en-US"/>
    </w:rPr>
  </w:style>
  <w:style w:type="paragraph" w:styleId="1047">
    <w:name w:val="Основной текст 2"/>
    <w:basedOn w:val="890"/>
    <w:next w:val="1047"/>
    <w:link w:val="1048"/>
    <w:uiPriority w:val="99"/>
    <w:unhideWhenUsed/>
    <w:pPr>
      <w:ind w:right="81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  <w:lang w:bidi="en-US"/>
    </w:rPr>
  </w:style>
  <w:style w:type="character" w:styleId="1048">
    <w:name w:val=" Знак Знак4"/>
    <w:next w:val="1048"/>
    <w:link w:val="1047"/>
    <w:uiPriority w:val="99"/>
    <w:rPr>
      <w:rFonts w:ascii="Times New Roman" w:hAnsi="Times New Roman" w:eastAsia="Times New Roman"/>
      <w:sz w:val="26"/>
      <w:szCs w:val="26"/>
      <w:lang w:eastAsia="en-US" w:bidi="en-US"/>
    </w:rPr>
  </w:style>
  <w:style w:type="character" w:styleId="1049">
    <w:name w:val=" Знак Знак10"/>
    <w:next w:val="1049"/>
    <w:link w:val="891"/>
    <w:uiPriority w:val="99"/>
    <w:rPr>
      <w:rFonts w:ascii="Times New Roman" w:hAnsi="Times New Roman" w:eastAsia="Times New Roman"/>
      <w:b/>
      <w:bCs/>
      <w:color w:val="26282f"/>
      <w:sz w:val="24"/>
      <w:szCs w:val="24"/>
    </w:rPr>
  </w:style>
  <w:style w:type="numbering" w:styleId="1050">
    <w:name w:val="Нет списка1"/>
    <w:next w:val="895"/>
    <w:link w:val="890"/>
    <w:uiPriority w:val="99"/>
    <w:semiHidden/>
    <w:unhideWhenUsed/>
  </w:style>
  <w:style w:type="paragraph" w:styleId="1051">
    <w:name w:val="Нормальный (таблица)"/>
    <w:basedOn w:val="890"/>
    <w:next w:val="890"/>
    <w:link w:val="890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2">
    <w:name w:val="Таблицы (моноширинный)"/>
    <w:basedOn w:val="890"/>
    <w:next w:val="890"/>
    <w:link w:val="890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1053">
    <w:name w:val="Прижатый влево"/>
    <w:basedOn w:val="890"/>
    <w:next w:val="890"/>
    <w:link w:val="890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54">
    <w:name w:val="Сноска"/>
    <w:basedOn w:val="890"/>
    <w:next w:val="890"/>
    <w:link w:val="890"/>
    <w:uiPriority w:val="99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55">
    <w:name w:val="Цветовое выделение"/>
    <w:next w:val="1055"/>
    <w:link w:val="890"/>
    <w:uiPriority w:val="99"/>
    <w:rPr>
      <w:b/>
      <w:color w:val="26282f"/>
    </w:rPr>
  </w:style>
  <w:style w:type="character" w:styleId="1056">
    <w:name w:val="Гипертекстовая ссылка"/>
    <w:next w:val="1056"/>
    <w:link w:val="890"/>
    <w:uiPriority w:val="99"/>
    <w:rPr>
      <w:rFonts w:ascii="Times New Roman" w:hAnsi="Times New Roman" w:cs="Times New Roman"/>
      <w:color w:val="106bbe"/>
    </w:rPr>
  </w:style>
  <w:style w:type="character" w:styleId="1057">
    <w:name w:val="Цветовое выделение для Текст"/>
    <w:next w:val="1057"/>
    <w:link w:val="890"/>
    <w:uiPriority w:val="99"/>
    <w:rPr>
      <w:rFonts w:ascii="Times New Roman" w:hAnsi="Times New Roman"/>
    </w:rPr>
  </w:style>
  <w:style w:type="paragraph" w:styleId="1058">
    <w:name w:val="font5"/>
    <w:basedOn w:val="890"/>
    <w:next w:val="1058"/>
    <w:link w:val="890"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ru-RU"/>
    </w:rPr>
  </w:style>
  <w:style w:type="paragraph" w:styleId="1059">
    <w:name w:val="Основной текст с отступом"/>
    <w:basedOn w:val="890"/>
    <w:next w:val="1059"/>
    <w:link w:val="1060"/>
    <w:uiPriority w:val="99"/>
    <w:unhideWhenUsed/>
    <w:pPr>
      <w:ind w:left="1429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eastAsia="ru-RU" w:bidi="ru-RU"/>
    </w:rPr>
  </w:style>
  <w:style w:type="character" w:styleId="1060">
    <w:name w:val=" Знак Знак3"/>
    <w:next w:val="1060"/>
    <w:link w:val="1059"/>
    <w:uiPriority w:val="99"/>
    <w:rPr>
      <w:rFonts w:ascii="Times New Roman" w:hAnsi="Times New Roman" w:eastAsia="Times New Roman"/>
      <w:sz w:val="26"/>
      <w:szCs w:val="26"/>
      <w:lang w:bidi="ru-RU"/>
    </w:rPr>
  </w:style>
  <w:style w:type="paragraph" w:styleId="1061">
    <w:name w:val="Основной текст с отступом 2"/>
    <w:basedOn w:val="890"/>
    <w:next w:val="1061"/>
    <w:link w:val="1062"/>
    <w:uiPriority w:val="99"/>
    <w:unhideWhenUsed/>
    <w:pPr>
      <w:ind w:firstLine="709"/>
      <w:jc w:val="center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  <w:lang w:bidi="en-US"/>
    </w:rPr>
  </w:style>
  <w:style w:type="character" w:styleId="1062">
    <w:name w:val=" Знак Знак2"/>
    <w:next w:val="1062"/>
    <w:link w:val="1061"/>
    <w:uiPriority w:val="99"/>
    <w:rPr>
      <w:rFonts w:ascii="Times New Roman" w:hAnsi="Times New Roman" w:eastAsia="Times New Roman"/>
      <w:sz w:val="26"/>
      <w:szCs w:val="26"/>
      <w:lang w:eastAsia="en-US" w:bidi="en-US"/>
    </w:rPr>
  </w:style>
  <w:style w:type="paragraph" w:styleId="1063">
    <w:name w:val="Основной текст с отступом 3"/>
    <w:basedOn w:val="890"/>
    <w:next w:val="1063"/>
    <w:link w:val="1064"/>
    <w:uiPriority w:val="99"/>
    <w:unhideWhenUsed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eastAsia="ru-RU" w:bidi="ru-RU"/>
    </w:rPr>
  </w:style>
  <w:style w:type="character" w:styleId="1064">
    <w:name w:val=" Знак Знак1"/>
    <w:next w:val="1064"/>
    <w:link w:val="1063"/>
    <w:uiPriority w:val="99"/>
    <w:rPr>
      <w:rFonts w:ascii="Times New Roman" w:hAnsi="Times New Roman" w:eastAsia="Times New Roman"/>
      <w:sz w:val="26"/>
      <w:szCs w:val="26"/>
      <w:lang w:bidi="ru-RU"/>
    </w:rPr>
  </w:style>
  <w:style w:type="character" w:styleId="1065">
    <w:name w:val=" Знак Знак9"/>
    <w:next w:val="1065"/>
    <w:link w:val="892"/>
    <w:uiPriority w:val="9"/>
    <w:rPr>
      <w:rFonts w:ascii="Times New Roman" w:hAnsi="Times New Roman"/>
      <w:b/>
      <w:sz w:val="26"/>
      <w:szCs w:val="26"/>
      <w:lang w:eastAsia="en-US"/>
    </w:rPr>
  </w:style>
  <w:style w:type="paragraph" w:styleId="1066">
    <w:name w:val="Основной текст 3"/>
    <w:basedOn w:val="890"/>
    <w:next w:val="1066"/>
    <w:link w:val="1067"/>
    <w:uiPriority w:val="99"/>
    <w:unhideWhenUsed/>
    <w:pPr>
      <w:jc w:val="center"/>
      <w:tabs>
        <w:tab w:val="left" w:pos="1576" w:leader="none"/>
      </w:tabs>
    </w:pPr>
    <w:rPr>
      <w:lang w:eastAsia="ru-RU"/>
    </w:rPr>
  </w:style>
  <w:style w:type="character" w:styleId="1067">
    <w:name w:val=" Знак Знак"/>
    <w:next w:val="1067"/>
    <w:link w:val="1066"/>
    <w:uiPriority w:val="99"/>
    <w:rPr>
      <w:sz w:val="22"/>
      <w:szCs w:val="22"/>
    </w:rPr>
  </w:style>
  <w:style w:type="character" w:styleId="1068" w:default="1">
    <w:name w:val="Default Paragraph Font"/>
    <w:uiPriority w:val="1"/>
    <w:semiHidden/>
    <w:unhideWhenUsed/>
  </w:style>
  <w:style w:type="numbering" w:styleId="1069" w:default="1">
    <w:name w:val="No List"/>
    <w:uiPriority w:val="99"/>
    <w:semiHidden/>
    <w:unhideWhenUsed/>
  </w:style>
  <w:style w:type="table" w:styleId="10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ЖКХ 6.</dc:creator>
  <cp:revision>55</cp:revision>
  <dcterms:created xsi:type="dcterms:W3CDTF">2024-10-24T11:07:00Z</dcterms:created>
  <dcterms:modified xsi:type="dcterms:W3CDTF">2024-12-26T09:25:54Z</dcterms:modified>
  <cp:version>730895</cp:version>
</cp:coreProperties>
</file>