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styleswitheffects.xml" ContentType="application/vnd.ms-word.stylesWithEffect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>
      <w:pPr>
        <w:spacing w:after="0" w:line="240" w:lineRule="auto"/>
        <w:jc w:val="center"/>
        <w:rPr>
          <w:rFonts w:ascii="Arial" w:cs="Arial" w:eastAsia="Arial" w:hAnsi="Arial"/>
          <w:b/>
          <w:sz w:val="26"/>
          <w:szCs w:val="26"/>
        </w:rPr>
      </w:pPr>
      <w:r>
        <w:rPr>
          <w:rFonts w:ascii="Arial" w:cs="Arial" w:eastAsia="Arial" w:hAnsi="Arial"/>
          <w:b/>
          <w:sz w:val="26"/>
          <w:szCs w:val="26"/>
        </w:rPr>
        <w:t xml:space="preserve">Тезисы выступления </w:t>
      </w:r>
    </w:p>
    <w:p>
      <w:pPr>
        <w:spacing w:after="0" w:line="240" w:lineRule="auto"/>
        <w:jc w:val="center"/>
        <w:rPr>
          <w:rFonts w:ascii="Arial" w:cs="Arial" w:eastAsia="Arial" w:hAnsi="Arial"/>
          <w:b/>
          <w:sz w:val="26"/>
          <w:szCs w:val="26"/>
        </w:rPr>
      </w:pPr>
      <w:r>
        <w:rPr>
          <w:rFonts w:ascii="Arial" w:cs="Arial" w:eastAsia="Arial" w:hAnsi="Arial"/>
          <w:b/>
          <w:sz w:val="26"/>
          <w:szCs w:val="26"/>
        </w:rPr>
        <w:t>министра физической культуры и спорта Чувашской Республики</w:t>
      </w:r>
      <w:r>
        <w:rPr>
          <w:rFonts w:ascii="Arial" w:cs="Arial" w:eastAsia="Arial" w:hAnsi="Arial"/>
          <w:b/>
          <w:sz w:val="26"/>
          <w:szCs w:val="26"/>
        </w:rPr>
        <w:br w:type="textWrapping"/>
      </w:r>
      <w:r>
        <w:rPr>
          <w:rFonts w:ascii="Arial" w:cs="Arial" w:eastAsia="Arial" w:hAnsi="Arial"/>
          <w:b/>
          <w:sz w:val="26"/>
          <w:szCs w:val="26"/>
        </w:rPr>
        <w:t>В.В. Петрова на еженедельном совещании по вопросу «Об участии сборной Чувашской Республики в Х</w:t>
      </w:r>
      <w:r>
        <w:rPr>
          <w:rFonts w:ascii="Arial" w:cs="Arial" w:eastAsia="Arial" w:hAnsi="Arial"/>
          <w:b/>
          <w:sz w:val="26"/>
          <w:szCs w:val="26"/>
        </w:rPr>
        <w:t>I</w:t>
      </w:r>
      <w:r>
        <w:rPr>
          <w:rFonts w:ascii="Arial" w:cs="Arial" w:eastAsia="Arial" w:hAnsi="Arial"/>
          <w:b/>
          <w:sz w:val="26"/>
          <w:szCs w:val="26"/>
        </w:rPr>
        <w:t xml:space="preserve"> Всероссийских зимних сельских спортивных играх»</w:t>
      </w:r>
    </w:p>
    <w:p>
      <w:pPr>
        <w:spacing w:after="0" w:line="240" w:lineRule="auto"/>
        <w:jc w:val="center"/>
        <w:rPr>
          <w:rFonts w:ascii="Arial" w:cs="Arial" w:eastAsia="Arial" w:hAnsi="Arial"/>
          <w:b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b/>
          <w:sz w:val="26"/>
          <w:szCs w:val="26"/>
        </w:rPr>
        <w:t>Слайд 1.</w:t>
      </w:r>
      <w:r>
        <w:rPr>
          <w:rFonts w:ascii="Arial" w:cs="Arial" w:eastAsia="Arial" w:hAnsi="Arial"/>
          <w:sz w:val="26"/>
          <w:szCs w:val="26"/>
        </w:rPr>
        <w:t xml:space="preserve">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drawing xmlns:mc="http://schemas.openxmlformats.org/markup-compatibility/2006">
          <wp:inline distT="0" distB="0" distL="0" distR="0">
            <wp:extent cx="4622165" cy="2599690"/>
            <wp:effectExtent l="0" t="0" r="0" b="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Grp="0" noSelect="0" noChangeAspect="1" noMove="0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Доброе утро, уважаемый Олег Алексеевич, коллеги!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Вкратце хочу доложить об итогах выступлении сборной команды Чувашской Республики на одиннадцатых Всероссийских зимних сельских спортивных играх.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t xml:space="preserve">Слайд 2. </w:t>
      </w: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drawing xmlns:mc="http://schemas.openxmlformats.org/markup-compatibility/2006">
          <wp:inline distT="0" distB="0" distL="0" distR="0">
            <wp:extent cx="5909310" cy="3327400"/>
            <wp:effectExtent l="0" t="0" r="0" b="0"/>
            <wp:docPr id="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Grp="0" noSelect="0" noChangeAspect="1" noMove="0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Эти масштабные комплексные физкультурно - спортивные соревнования </w:t>
      </w:r>
      <w:r>
        <w:rPr>
          <w:rFonts w:ascii="Arial" w:cs="Arial" w:eastAsia="Arial" w:hAnsi="Arial"/>
          <w:sz w:val="26"/>
          <w:szCs w:val="26"/>
        </w:rPr>
        <w:t>провод</w:t>
      </w:r>
      <w:r>
        <w:rPr>
          <w:rFonts w:ascii="Arial" w:cs="Arial" w:eastAsia="Arial" w:hAnsi="Arial"/>
          <w:sz w:val="26"/>
          <w:szCs w:val="26"/>
        </w:rPr>
        <w:t>ятся под эгидой Минспорта России и Минсельхоза России</w:t>
      </w:r>
      <w:r>
        <w:rPr>
          <w:rFonts w:ascii="Arial" w:cs="Arial" w:eastAsia="Arial" w:hAnsi="Arial"/>
          <w:sz w:val="26"/>
          <w:szCs w:val="26"/>
        </w:rPr>
        <w:t xml:space="preserve"> </w:t>
      </w:r>
      <w:r>
        <w:rPr>
          <w:rFonts w:ascii="Arial" w:cs="Arial" w:eastAsia="Arial" w:hAnsi="Arial"/>
          <w:sz w:val="26"/>
          <w:szCs w:val="26"/>
        </w:rPr>
        <w:t xml:space="preserve">в рамках </w:t>
      </w:r>
      <w:r>
        <w:rPr>
          <w:rFonts w:ascii="Arial" w:cs="Arial" w:eastAsia="Arial" w:hAnsi="Arial"/>
          <w:sz w:val="26"/>
          <w:szCs w:val="26"/>
        </w:rPr>
        <w:t xml:space="preserve">федерального проекта «Спорт – норма жизни» нацпроекта </w:t>
      </w:r>
      <w:r>
        <w:rPr>
          <w:rFonts w:ascii="Arial" w:cs="Arial" w:eastAsia="Arial" w:hAnsi="Arial"/>
          <w:sz w:val="26"/>
          <w:szCs w:val="26"/>
        </w:rPr>
        <w:t xml:space="preserve">«Демография» при поддержке проекта </w:t>
      </w:r>
      <w:r>
        <w:rPr>
          <w:rFonts w:ascii="Arial" w:cs="Arial" w:eastAsia="Arial" w:hAnsi="Arial"/>
          <w:sz w:val="26"/>
          <w:szCs w:val="26"/>
        </w:rPr>
        <w:t xml:space="preserve">Российского Союза сельской молодёжи </w:t>
      </w:r>
      <w:r>
        <w:rPr>
          <w:rFonts w:ascii="Arial" w:cs="Arial" w:eastAsia="Arial" w:hAnsi="Arial"/>
          <w:sz w:val="26"/>
          <w:szCs w:val="26"/>
        </w:rPr>
        <w:t>«Спорт на селе»</w:t>
      </w:r>
      <w:r>
        <w:rPr>
          <w:rFonts w:ascii="Arial" w:cs="Arial" w:eastAsia="Arial" w:hAnsi="Arial"/>
          <w:sz w:val="26"/>
          <w:szCs w:val="26"/>
        </w:rPr>
        <w:t>. Традиционно в них участвуют работники сельского, лесного, рыбного хозяйства, потребительской кооперации, а также работники социальной сферы, постоянно проживающие в сельской местности.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t>Слайд 3.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drawing xmlns:mc="http://schemas.openxmlformats.org/markup-compatibility/2006">
          <wp:inline distT="0" distB="0" distL="0" distR="0">
            <wp:extent cx="4798695" cy="2700655"/>
            <wp:effectExtent l="0" t="0" r="0" b="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Grp="0" noSelect="0" noChangeAspect="1" noMove="0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>Нынешние Игры стали 11-ми по счёту. Финальная часть соревнования проходила с 16 по</w:t>
      </w:r>
      <w:bookmarkStart w:id="0" w:name="_GoBack"/>
      <w:bookmarkEnd w:id="0"/>
      <w:r>
        <w:rPr>
          <w:rFonts w:ascii="Arial" w:cs="Arial" w:eastAsia="Arial" w:hAnsi="Arial"/>
          <w:sz w:val="26"/>
          <w:szCs w:val="26"/>
        </w:rPr>
        <w:t xml:space="preserve"> </w:t>
      </w:r>
      <w:r>
        <w:rPr>
          <w:rFonts w:ascii="Arial" w:cs="Arial" w:eastAsia="Arial" w:hAnsi="Arial"/>
          <w:sz w:val="26"/>
          <w:szCs w:val="26"/>
        </w:rPr>
        <w:t xml:space="preserve">20 марта в городе Череповец Вологодской области. В них участвовали сборные команды из </w:t>
      </w:r>
      <w:r>
        <w:rPr>
          <w:rFonts w:ascii="Arial" w:cs="Arial" w:eastAsia="Arial" w:hAnsi="Arial"/>
          <w:sz w:val="26"/>
          <w:szCs w:val="26"/>
        </w:rPr>
        <w:t>49 субъектов Российской Федерации. Всего – 724 человека.</w:t>
      </w:r>
      <w:r>
        <w:rPr>
          <w:rFonts w:ascii="Arial" w:cs="Arial" w:eastAsia="Arial" w:hAnsi="Arial"/>
          <w:sz w:val="26"/>
          <w:szCs w:val="26"/>
        </w:rPr>
        <w:t xml:space="preserve"> </w:t>
      </w:r>
      <w:r>
        <w:rPr>
          <w:rFonts w:ascii="Arial" w:cs="Arial" w:eastAsia="Arial" w:hAnsi="Arial"/>
          <w:sz w:val="26"/>
          <w:szCs w:val="26"/>
        </w:rPr>
        <w:t xml:space="preserve"> В программу Игр </w:t>
      </w:r>
      <w:r>
        <w:rPr>
          <w:rFonts w:ascii="Arial" w:cs="Arial" w:eastAsia="Arial" w:hAnsi="Arial"/>
          <w:sz w:val="26"/>
          <w:szCs w:val="26"/>
        </w:rPr>
        <w:t xml:space="preserve">вошли соревнования по лыжным гонкам, </w:t>
      </w:r>
      <w:r>
        <w:rPr>
          <w:rFonts w:ascii="Arial" w:cs="Arial" w:eastAsia="Arial" w:hAnsi="Arial"/>
          <w:sz w:val="26"/>
          <w:szCs w:val="26"/>
        </w:rPr>
        <w:t>полиатлону</w:t>
      </w:r>
      <w:r>
        <w:rPr>
          <w:rFonts w:ascii="Arial" w:cs="Arial" w:eastAsia="Arial" w:hAnsi="Arial"/>
          <w:sz w:val="26"/>
          <w:szCs w:val="26"/>
        </w:rPr>
        <w:t xml:space="preserve">, шахматам, шашкам, </w:t>
      </w:r>
      <w:r>
        <w:rPr>
          <w:rFonts w:ascii="Arial" w:cs="Arial" w:eastAsia="Arial" w:hAnsi="Arial"/>
          <w:sz w:val="26"/>
          <w:szCs w:val="26"/>
        </w:rPr>
        <w:t xml:space="preserve"> соревнования среди семейных команд, а также два обязательных вида  троеборья - среди </w:t>
      </w:r>
      <w:r>
        <w:rPr>
          <w:rFonts w:ascii="Arial" w:cs="Arial" w:eastAsia="Arial" w:hAnsi="Arial"/>
          <w:sz w:val="26"/>
          <w:szCs w:val="26"/>
        </w:rPr>
        <w:t>д</w:t>
      </w:r>
      <w:r>
        <w:rPr>
          <w:rFonts w:ascii="Arial" w:cs="Arial" w:eastAsia="Arial" w:hAnsi="Arial"/>
          <w:sz w:val="26"/>
          <w:szCs w:val="26"/>
        </w:rPr>
        <w:t>О</w:t>
      </w:r>
      <w:r>
        <w:rPr>
          <w:rFonts w:ascii="Arial" w:cs="Arial" w:eastAsia="Arial" w:hAnsi="Arial"/>
          <w:sz w:val="26"/>
          <w:szCs w:val="26"/>
        </w:rPr>
        <w:t>яров</w:t>
      </w:r>
      <w:r>
        <w:rPr>
          <w:rFonts w:ascii="Arial" w:cs="Arial" w:eastAsia="Arial" w:hAnsi="Arial"/>
          <w:sz w:val="26"/>
          <w:szCs w:val="26"/>
        </w:rPr>
        <w:t xml:space="preserve"> и механизаторов.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t>Слайд 4.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drawing xmlns:mc="http://schemas.openxmlformats.org/markup-compatibility/2006">
          <wp:inline distT="0" distB="0" distL="0" distR="0">
            <wp:extent cx="5262245" cy="2962275"/>
            <wp:effectExtent l="0" t="0" r="0" b="0"/>
            <wp:docPr id="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Grp="0" noSelect="0" noChangeAspect="1" noMove="0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>Напомню, что сборная команда Чувашии была сформирована по итогам республиканских зимних сельских спортивных игр, которые мы провели в феврале на территории Красноармейского муниципального округа. В состав команды вошли представители Вурнарского, Моргаушского, Цивильского, Чебоксарского, Ядринского и Янтиковского муниципальных округов - всего 17 человек. Накануне выезд</w:t>
      </w:r>
      <w:r>
        <w:rPr>
          <w:rFonts w:ascii="Arial" w:cs="Arial" w:eastAsia="Arial" w:hAnsi="Arial"/>
          <w:sz w:val="26"/>
          <w:szCs w:val="26"/>
        </w:rPr>
        <w:t>а сборной с приглашением представителей средств массовой информации мы провели торжественные проводы, чтобы поддержать и напутствовать нашу команду на достойное представление республики на всероссийских стартах.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t>Слайд 5.</w:t>
      </w: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drawing xmlns:mc="http://schemas.openxmlformats.org/markup-compatibility/2006">
          <wp:inline distT="0" distB="0" distL="0" distR="0">
            <wp:extent cx="5705475" cy="3213735"/>
            <wp:effectExtent l="0" t="0" r="0" b="0"/>
            <wp:docPr id="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Grp="0" noSelect="0" noChangeAspect="1" noMove="0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Чувашия была представлена во всех семи видах соревновательной программы. Конечно, не во всех видах нам удалось войти в число призёров, тем не менее, практически в каждом виде наши спортсмены превзошли результаты, показанные на предыдущих зимних сельских играх 2021 года.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Победителей и призёров по традиции определяли как в личном, так и в командном зачётах в каждой из дисциплин. И здесь особо хотелось бы отметить выступление наших представителей в таких специфических видах соревнований, как троеборье дояров и механизаторов. Участники в этих дисциплинах соревновались в лыжных гонках, рывке гири, и, соответственно, дояры - в сборке и разборке доильного аппарата, а механизаторы - в фигурном вождении трактора.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t>Слайд 6.</w:t>
      </w: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drawing xmlns:mc="http://schemas.openxmlformats.org/markup-compatibility/2006">
          <wp:inline distT="0" distB="0" distL="0" distR="0">
            <wp:extent cx="5909310" cy="3327400"/>
            <wp:effectExtent l="0" t="0" r="0" b="0"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Grp="0" noSelect="0" noChangeAspect="1" noMove="0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В троеборье среди механизаторов высокое мастерство и отличную физическую подготовку показала неоднократная участница сельских Игр Эльвира Чугунова из Вурнарского муниципального округа. Среди женщин - механизаторов ей удалось занять второе место по итогам всех трёх видов соревнования.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В троеборье среди дояров в личном зачёте  второе место среди женщин </w:t>
      </w:r>
      <w:r>
        <w:rPr>
          <w:rFonts w:ascii="Arial" w:cs="Arial" w:eastAsia="Arial" w:hAnsi="Arial"/>
          <w:sz w:val="26"/>
          <w:szCs w:val="26"/>
        </w:rPr>
        <w:t xml:space="preserve">заняла </w:t>
      </w:r>
      <w:r>
        <w:rPr>
          <w:rFonts w:ascii="Arial" w:cs="Arial" w:eastAsia="Arial" w:hAnsi="Arial"/>
          <w:sz w:val="26"/>
          <w:szCs w:val="26"/>
        </w:rPr>
        <w:t>представительница Ядринского муниципального округа Надежда Петрова. Что примечательно, её напарницей в команде выступала родная дочка Глафира Петрова. В командном зачёте  им также удалось занять второе место.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Особенностью сельских зимних игр этого года стало то, что результаты троеборья среди механизаторов и дояров учитывались отдельно и награждались специальными кубками. Отрадно отметить, что в общем зачёте среди 40 субъектов Российской Федерации, представленных в этих дисциплинах, команда Чувашии заняла третье место, уступив лишь сборным Кемеровской и Курганской областей.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t xml:space="preserve">Слайд </w:t>
      </w:r>
      <w:r>
        <w:rPr>
          <w:rFonts w:ascii="Arial" w:cs="Arial" w:eastAsia="Arial" w:hAnsi="Arial"/>
          <w:b/>
          <w:bCs/>
          <w:sz w:val="26"/>
          <w:szCs w:val="26"/>
        </w:rPr>
        <w:t>7</w:t>
      </w:r>
      <w:r>
        <w:rPr>
          <w:rFonts w:ascii="Arial" w:cs="Arial" w:eastAsia="Arial" w:hAnsi="Arial"/>
          <w:b/>
          <w:bCs/>
          <w:sz w:val="26"/>
          <w:szCs w:val="26"/>
        </w:rPr>
        <w:t>.</w:t>
      </w: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drawing xmlns:mc="http://schemas.openxmlformats.org/markup-compatibility/2006">
          <wp:inline distT="0" distB="0" distL="0" distR="0">
            <wp:extent cx="5909310" cy="3327400"/>
            <wp:effectExtent l="0" t="0" r="0" b="0"/>
            <wp:docPr id="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Grp="0" noSelect="0" noChangeAspect="1" noMove="0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В общем же зачёте по итогам всех семи видов соревновательной программы сборная Чувашии замкнула шестёрку сильнейших команд среди всех субъектов Российской Федерации, принимавших участие в Играх 2023 года. </w:t>
      </w:r>
      <w:r>
        <w:rPr>
          <w:rFonts w:ascii="Arial" w:cs="Arial" w:eastAsia="Arial" w:hAnsi="Arial"/>
          <w:sz w:val="26"/>
          <w:szCs w:val="26"/>
        </w:rPr>
        <w:t xml:space="preserve">Помимо этого регионы также были поделены на шесть групп в зависимости от численности проживающего сельского населения. В своей группе команда Чувашии завоевала кубок за второе место, немного уступив соперникам из Кемеровской области - Кузбаса.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t>Слайд 8</w:t>
      </w:r>
      <w:r>
        <w:rPr>
          <w:rFonts w:ascii="Arial" w:cs="Arial" w:eastAsia="Arial" w:hAnsi="Arial"/>
          <w:sz w:val="26"/>
          <w:szCs w:val="26"/>
        </w:rPr>
        <w:t>.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 </w:t>
      </w:r>
      <w:r>
        <w:rPr>
          <w:rFonts w:ascii="Arial" w:cs="Arial" w:eastAsia="Arial" w:hAnsi="Arial"/>
          <w:sz w:val="26"/>
          <w:szCs w:val="26"/>
        </w:rPr>
        <w:drawing xmlns:mc="http://schemas.openxmlformats.org/markup-compatibility/2006">
          <wp:inline distT="0" distB="0" distL="0" distR="0">
            <wp:extent cx="5909310" cy="3327400"/>
            <wp:effectExtent l="0" t="0" r="0" b="0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Grp="0" noSelect="0" noChangeAspect="1" noMove="0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>Считаю, что это достойный результат. И, пользуясь случаем, я хочу поздравить каждого члена нашей дружной команды - в</w:t>
      </w:r>
      <w:r>
        <w:rPr>
          <w:rFonts w:ascii="Arial" w:cs="Arial" w:eastAsia="Arial" w:hAnsi="Arial"/>
          <w:sz w:val="26"/>
          <w:szCs w:val="26"/>
        </w:rPr>
        <w:t>е</w:t>
      </w:r>
      <w:r>
        <w:rPr>
          <w:rFonts w:ascii="Arial" w:cs="Arial" w:eastAsia="Arial" w:hAnsi="Arial"/>
          <w:sz w:val="26"/>
          <w:szCs w:val="26"/>
        </w:rPr>
        <w:t xml:space="preserve">дь каждый из них внёс свой вклад в общий результат. И здесь нужно учитывать тот факт, что это ведь не профессиональные спортсмены, а простые труженики села, которые после работы находят время на занятие спортом, заражают своим примером коллег, друзей, соседей. Становятся примером подражания для подрастающего поколения. И мы больше должны рассказывать в средствах массовой информации о таких людях, живущих среди нас.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>Т</w:t>
      </w:r>
      <w:r>
        <w:rPr>
          <w:rFonts w:ascii="Arial" w:cs="Arial" w:eastAsia="Arial" w:hAnsi="Arial"/>
          <w:sz w:val="26"/>
          <w:szCs w:val="26"/>
        </w:rPr>
        <w:t xml:space="preserve">акже обращаюсь к главам администраций муниципальных округов - провести на муниципальном уровне чествование своих “героев”, ведь даже само участие в таких престижных соревнованиях  достойно большого уважения.  </w:t>
      </w:r>
      <w:r>
        <w:rPr>
          <w:rFonts w:ascii="Arial" w:cs="Arial" w:eastAsia="Arial" w:hAnsi="Arial"/>
          <w:sz w:val="26"/>
          <w:szCs w:val="26"/>
        </w:rPr>
        <w:t xml:space="preserve">Неслучайно в прошлом году при поддержке Главы Чувашии Олега Алексеевича Всероссийские сельские спортивные игры были включены в список всероссийских и международных соревнований, по итогам которых в рамках </w:t>
      </w:r>
      <w:r>
        <w:rPr>
          <w:rFonts w:ascii="Arial" w:cs="Arial" w:eastAsia="Arial" w:hAnsi="Arial"/>
          <w:sz w:val="26"/>
          <w:szCs w:val="26"/>
        </w:rPr>
        <w:t>постановления Кабинета Министров Чувашской Республики № 348 «О государств</w:t>
      </w:r>
      <w:r>
        <w:rPr>
          <w:rFonts w:ascii="Arial" w:cs="Arial" w:eastAsia="Arial" w:hAnsi="Arial"/>
          <w:sz w:val="26"/>
          <w:szCs w:val="26"/>
        </w:rPr>
        <w:t xml:space="preserve">енной поддержке спортсменов и тренеров Чувашской Республики», предусмотрены премиальные выплаты из республиканского бюджета. 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Сельские спортивные игры проводятся на протяжении многих лет с целью социального развития села, укрепления здоровья населения, популяризации физической культуры и массового спорта.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>Для тружеников села -</w:t>
      </w:r>
      <w:r>
        <w:rPr>
          <w:rFonts w:ascii="Arial" w:cs="Arial" w:eastAsia="Arial" w:hAnsi="Arial"/>
          <w:sz w:val="26"/>
          <w:szCs w:val="26"/>
        </w:rPr>
        <w:t xml:space="preserve"> это прекрасная возможность проявить себя в состязаниях, обменяться опытом, а главное познакомиться с такими же активными людьми из сел и деревень различных регионов нашей страны.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 xml:space="preserve">Проведение таких мероприятий, безусловно, способствует достижению целей, обозначенных Президентом России Владимиром Владимировичем Путиным в национальном проекте “Демография”, а в частности, вовлечения к 2030 году не менее 70 процентов жителей страны  в систематические занятия физической культурой и спортом. 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  <w:r>
        <w:rPr>
          <w:rFonts w:ascii="Arial" w:cs="Arial" w:eastAsia="Arial" w:hAnsi="Arial"/>
          <w:sz w:val="26"/>
          <w:szCs w:val="26"/>
        </w:rPr>
        <w:t>Спасибо за внимание. Доклад окончен.</w:t>
      </w:r>
    </w:p>
    <w:p>
      <w:pPr>
        <w:spacing w:after="0" w:line="240" w:lineRule="auto"/>
        <w:jc w:val="both"/>
        <w:rPr>
          <w:rFonts w:ascii="Arial" w:cs="Arial" w:eastAsia="Arial" w:hAnsi="Arial"/>
          <w:sz w:val="26"/>
          <w:szCs w:val="26"/>
        </w:rPr>
      </w:pP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t>Слайд 9.</w:t>
      </w:r>
    </w:p>
    <w:p>
      <w:pPr>
        <w:spacing w:after="0" w:line="240" w:lineRule="auto"/>
        <w:jc w:val="both"/>
        <w:rPr>
          <w:rFonts w:ascii="Arial" w:cs="Arial" w:eastAsia="Arial" w:hAnsi="Arial"/>
          <w:b/>
          <w:bCs/>
          <w:sz w:val="26"/>
          <w:szCs w:val="26"/>
        </w:rPr>
      </w:pPr>
      <w:r>
        <w:rPr>
          <w:rFonts w:ascii="Arial" w:cs="Arial" w:eastAsia="Arial" w:hAnsi="Arial"/>
          <w:b/>
          <w:bCs/>
          <w:sz w:val="26"/>
          <w:szCs w:val="26"/>
        </w:rPr>
        <w:drawing xmlns:mc="http://schemas.openxmlformats.org/markup-compatibility/2006">
          <wp:inline distT="0" distB="0" distL="0" distR="0">
            <wp:extent cx="4112260" cy="2315210"/>
            <wp:effectExtent l="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00000000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32C87"/>
    <w:rsid w:val="0017244D"/>
    <w:rsid w:val="00332C87"/>
    <w:rsid w:val="00674683"/>
    <w:rsid w:val="00795C6A"/>
    <w:rsid w:val="00C519BC"/>
    <w:rsid w:val="00C7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Calibri" w:eastAsia="Calibri" w:hAnsi="Calibri"/>
        <w:sz w:val="22"/>
        <w:szCs w:val="22"/>
        <w:lang w:val="ru-RU" w:bidi="ar-SA" w:eastAsia="ru-RU"/>
      </w:rPr>
    </w:rPrDefault>
    <w:pPrDefault>
      <w:pPr>
        <w:spacing w:after="200" w:line="276" w:lineRule="auto"/>
      </w:pPr>
    </w:pPrDefault>
  </w:docDefaults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uiPriority w:val="99"/>
    <w:pPr>
      <w:keepNext w:val="on"/>
      <w:keepLines w:val="on"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9"/>
    <w:pPr>
      <w:keepNext w:val="on"/>
      <w:keepLines w:val="on"/>
      <w:spacing w:before="360" w:after="80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9"/>
    <w:pPr>
      <w:keepNext w:val="on"/>
      <w:keepLines w:val="on"/>
      <w:spacing w:before="280" w:after="80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9"/>
    <w:pPr>
      <w:keepNext w:val="on"/>
      <w:keepLines w:val="on"/>
      <w:spacing w:before="240" w:after="40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9"/>
    <w:pPr>
      <w:keepNext w:val="on"/>
      <w:keepLines w:val="on"/>
      <w:spacing w:before="220" w:after="40"/>
    </w:pPr>
    <w:rPr>
      <w:b/>
    </w:rPr>
  </w:style>
  <w:style w:type="paragraph" w:styleId="Heading6">
    <w:name w:val="Heading 6"/>
    <w:basedOn w:val="Normal"/>
    <w:next w:val="Normal"/>
    <w:uiPriority w:val="99"/>
    <w:pPr>
      <w:keepNext w:val="on"/>
      <w:keepLines w:val="on"/>
      <w:spacing w:before="200" w:after="40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table" w:customStyle="1" w:styleId="TableNormal">
    <w:name w:val="Table Normal"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99"/>
    <w:pPr>
      <w:keepNext w:val="on"/>
      <w:keepLines w:val="on"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uiPriority w:val="99"/>
    <w:pPr>
      <w:keepNext w:val="on"/>
      <w:keepLines w:val="on"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 w:val="on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4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2CF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Hyperlink"/>
    <w:basedOn w:val="a0"/>
    <w:uiPriority w:val="99"/>
    <w:unhideWhenUsed/>
    <w:rsid w:val="006746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styles" Target="styles.xml"/><Relationship Id="rId35" Type="http://schemas.openxmlformats.org/officeDocument/2006/relationships/image" Target="media/image10.png"/><Relationship Id="rId36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" Type="http://schemas.openxmlformats.org/officeDocument/2006/relationships/settings" Target="settings.xml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image" Target="media/image18.png"/><Relationship Id="rId44" Type="http://schemas.openxmlformats.org/officeDocument/2006/relationships/image" Target="media/image10.png"/><Relationship Id="rId45" Type="http://schemas.openxmlformats.org/officeDocument/2006/relationships/image" Target="media/image11.png"/><Relationship Id="rId46" Type="http://schemas.openxmlformats.org/officeDocument/2006/relationships/image" Target="media/image12.png"/><Relationship Id="rId47" Type="http://schemas.openxmlformats.org/officeDocument/2006/relationships/image" Target="media/image13.png"/><Relationship Id="rId48" Type="http://schemas.openxmlformats.org/officeDocument/2006/relationships/image" Target="media/image14.png"/><Relationship Id="rId49" Type="http://schemas.openxmlformats.org/officeDocument/2006/relationships/image" Target="media/image15.png"/><Relationship Id="rId50" Type="http://schemas.openxmlformats.org/officeDocument/2006/relationships/image" Target="media/image16.png"/><Relationship Id="rId51" Type="http://schemas.openxmlformats.org/officeDocument/2006/relationships/image" Target="media/image17.png"/><Relationship Id="rId52" Type="http://schemas.openxmlformats.org/officeDocument/2006/relationships/image" Target="media/image18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3" Type="http://schemas.microsoft.com/office/2007/relationships/stylesWithEffects" Target="stylesWithEffects.xml"/><Relationship Id="rId5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.png"/><Relationship Id="rId27" Type="http://schemas.openxmlformats.org/officeDocument/2006/relationships/image" Target="media/image2.png"/><Relationship Id="rId28" Type="http://schemas.openxmlformats.org/officeDocument/2006/relationships/image" Target="media/image3.png"/><Relationship Id="rId29" Type="http://schemas.openxmlformats.org/officeDocument/2006/relationships/image" Target="media/image4.png"/><Relationship Id="rId30" Type="http://schemas.openxmlformats.org/officeDocument/2006/relationships/image" Target="media/image5.png"/><Relationship Id="rId31" Type="http://schemas.openxmlformats.org/officeDocument/2006/relationships/image" Target="media/image6.png"/><Relationship Id="rId32" Type="http://schemas.openxmlformats.org/officeDocument/2006/relationships/image" Target="media/image7.png"/><Relationship Id="rId33" Type="http://schemas.openxmlformats.org/officeDocument/2006/relationships/image" Target="media/image8.png"/><Relationship Id="rId3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UzgabV1CtAt8U1zFuqvh0h3wEQ==">AMUW2mXyeFU0+yc6A+b1NYom2djO6DO86TlbgQ3C5lTirFVfJa3kNYrjs6zm1u0KdKOkKDVcDMfePK9n52avNZTtEAgac1a0qd1udlRKtIfPPzI3dxJEAH8=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ЧР Андреева Полина</dc:creator>
  <cp:lastModifiedBy>Артем</cp:lastModifiedBy>
</cp:coreProperties>
</file>