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ПРОЕКТ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 обобщения правоприм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енительной практики Министерством образования Чувашской Республики при осуществлении федерального государственного контроля (надзора)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о результатах обобщения правоприменительной практики Министерством образования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, контрольный (надзорный) орган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федерального государственного контроля (надзора) в сфере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со статьей 47 Федерального закона «О государственном контроле (надзо</w:t>
      </w:r>
      <w:r>
        <w:rPr>
          <w:rFonts w:ascii="Times New Roman" w:hAnsi="Times New Roman" w:cs="Times New Roman"/>
          <w:sz w:val="28"/>
          <w:szCs w:val="28"/>
        </w:rPr>
        <w:t xml:space="preserve">ре) и муниципальном контроле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для решения следующих задач: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анализ случаев причинения вреда (ущерба) охраняемым законом ценностям, выявление источников и факторов риска причинения вреда (ущерба);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подготовка предложений об актуализации обязательных требований;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подготовка предложений о внесении изменений в законодательство Российской Федерации о государственном контроле (надзоре), муниципальном контроле.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контроля (надзора)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регулиру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Положением о федеральном государственном контроле (надзоре) в сфере образования, утвержденном постановлением Правительства Российской Федерации от 25 июня 2021 года № 997 (далее – Положение).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93 Федерального закона «Об образовании в Российской Федерации» предметом федерального государственного контроля (надзора) в сфере образования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соблюдени</w:t>
      </w:r>
      <w:r>
        <w:rPr>
          <w:rFonts w:ascii="Times New Roman" w:hAnsi="Times New Roman" w:cs="Times New Roman"/>
          <w:sz w:val="28"/>
          <w:szCs w:val="28"/>
        </w:rPr>
        <w:t xml:space="preserve">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</w:t>
      </w:r>
      <w:r>
        <w:rPr>
          <w:rFonts w:ascii="Times New Roman" w:hAnsi="Times New Roman" w:cs="Times New Roman"/>
          <w:sz w:val="28"/>
          <w:szCs w:val="28"/>
        </w:rPr>
        <w:t xml:space="preserve">аккредитационных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соблюдение требований по обеспечению доступности для инвалидов объектов социальной, инженерной и транспортной инфрас</w:t>
      </w:r>
      <w:r>
        <w:rPr>
          <w:rFonts w:ascii="Times New Roman" w:hAnsi="Times New Roman" w:cs="Times New Roman"/>
          <w:sz w:val="28"/>
          <w:szCs w:val="28"/>
        </w:rPr>
        <w:t xml:space="preserve">труктур и предоставляемых услуг.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полномоченным органом исполнительной власти Чувашской Республики, осуществляющим федеральный государственный контроль (надзор) в сфере образования, определено Министерство образования Чувашской Республики. В структуре Министерства функционирует управление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sz w:val="28"/>
          <w:szCs w:val="28"/>
        </w:rPr>
        <w:t xml:space="preserve">(надзору) </w:t>
      </w:r>
      <w:r>
        <w:rPr>
          <w:rFonts w:ascii="Times New Roman" w:hAnsi="Times New Roman" w:cs="Times New Roman"/>
          <w:sz w:val="28"/>
          <w:szCs w:val="28"/>
        </w:rPr>
        <w:t xml:space="preserve">в сфере образования, непосредственно осуществляющее федеральный государственный контроль (надзор) в сфере образования.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ъектами государственного контроля (надзора) являются образовательная деятельность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Чувашской Республики,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организаций, указанных в пункте 7 части 1 статьи 6 Федерального закона «Об образовании в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объектов государственного контроля (надзора) осуществляется посредством: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единого реестра учета лицензий;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государственной информационной системы государственного надзора в сфере образования;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федеральной информационной системы «Федеральный реестр сведений о </w:t>
      </w:r>
      <w:r>
        <w:rPr>
          <w:rFonts w:ascii="Times New Roman" w:hAnsi="Times New Roman" w:cs="Times New Roman"/>
          <w:sz w:val="28"/>
          <w:szCs w:val="28"/>
        </w:rPr>
        <w:t xml:space="preserve">документах</w:t>
      </w:r>
      <w:r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иных государственных и региональных информационных систем путем межведомственного информационного взаимодействия.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31 декабря 202</w:t>
      </w:r>
      <w:r>
        <w:rPr>
          <w:rFonts w:ascii="Times New Roman" w:hAnsi="Times New Roman" w:cs="Times New Roman"/>
          <w:sz w:val="28"/>
          <w:szCs w:val="28"/>
        </w:rPr>
        <w:t xml:space="preserve">4 года общее количество объектов государственного контроля (надзора) в сфере образования составило 10</w:t>
      </w:r>
      <w:r>
        <w:rPr>
          <w:rFonts w:ascii="Times New Roman" w:hAnsi="Times New Roman" w:cs="Times New Roman"/>
          <w:sz w:val="28"/>
          <w:szCs w:val="28"/>
        </w:rPr>
        <w:t xml:space="preserve">22 (в 2023 г. - 2020)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Согласно пункту 6 Положения объекты контроля подлежат отнесению к категориям высокого, среднего и низкого риска причинения вреда (ущерба) охраняемым законом ценностям (далее - категории риска) согласно установленных Положением критериев.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Критерии риска определены без взаимодействия с контролируемыми лицами на основе анализа сведений, имеющихся в государственной информационной системе государственного надзора в сфере образования.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 1 октября 2024 года из 1020 объектов контроля 970 отнесены к низкой категории риска (95,1 % от общего числа объектов контроля), 49 – к средней (4,8 %), 1 объект высокой категории риска ( 0,1%)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 сравнению с 2023 годом количество  объектов контроля средней категории 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иска снизилось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2,1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процента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вместе с тем появился объект, отнесенный к высокой категории риска.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Наибольшая доля объектов контроля среднего риска приходиться на общеобразовательные организации,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 дополнительного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Основанием для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несения к средней категории риска  являлось несоблюдение контролируемыми лицами обязательных требований, установленных законодательством об образовании, наличии вступившего в законную силу постановления о назначении административного наказания контролируем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ому лицу за совершение административного правонарушения в сфере образования, предусмотренного одной или несколькими статьями Кодекса Российской Федерации об административных правонарушениях: частью 1 статьи 19.5, статьями 19.7, 19.20 и 19.30 в период 3 лет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предшествующих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дате принятия решения об отнесении объекта контрол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 к определенной категории риска, несоблюдение аккредитационных показателей, выявленное по результатам аккредитационного мониторинга. Основанием для отнесения к высокой категории риска наличие двух критериев вероятности несоблюдения обязательных требований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указанных в Положении.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Министерством организован постоянный мониторинг сведений, используемых для оценки и управлениями рисками.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 году принято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 решения об изменении 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атегории риска объекта контроля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аявлений от контролируемых лиц об изменении категорий риска не поступало.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требованиями пункта 7 части 3 статьи 46 Федерального закона «О государственном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контроле (надзоре) и муниципальном контроле в Российской Федерации» перечень объектов контроля, учитываемый в рамках формирования ежегодного плана контрольных надзорных мероприятий, с указанием категории риска опубликован на официальном сайте Министерства.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федерального государственного контроля (надзора) в сфере образования установлено проведение следующих видов контрольных (надзорных) мероприятий: документарная проверка, выездная проверка</w:t>
      </w:r>
      <w:r>
        <w:rPr>
          <w:rFonts w:ascii="Times New Roman" w:hAnsi="Times New Roman" w:cs="Times New Roman"/>
          <w:sz w:val="28"/>
          <w:szCs w:val="28"/>
        </w:rPr>
        <w:t xml:space="preserve">, наблюдение за соблюдением обязательных требований (мониторинг безопасности).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2024 году проведено 806 контрольных (надзорных) мероприятий в отношении 483 контролируемых лиц, что составляет 47,3 процента от общего количества контролируемых лиц, что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13,1 процента меньше, чем в 2023 году.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отсутствием объектов высокой категории риска и </w:t>
      </w:r>
      <w:r>
        <w:rPr>
          <w:rFonts w:ascii="Times New Roman" w:hAnsi="Times New Roman" w:cs="Times New Roman"/>
          <w:sz w:val="28"/>
          <w:szCs w:val="28"/>
        </w:rPr>
        <w:t xml:space="preserve">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объект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контроля средней категории риска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пункта</w:t>
      </w:r>
      <w:r>
        <w:rPr>
          <w:rFonts w:ascii="Times New Roman" w:hAnsi="Times New Roman" w:cs="Times New Roman"/>
          <w:sz w:val="28"/>
          <w:szCs w:val="28"/>
        </w:rPr>
        <w:t xml:space="preserve"> 11.3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10 марта 2022 г. № </w:t>
      </w:r>
      <w:r>
        <w:rPr>
          <w:rFonts w:ascii="Times New Roman" w:hAnsi="Times New Roman" w:cs="Times New Roman"/>
          <w:sz w:val="28"/>
          <w:szCs w:val="28"/>
        </w:rPr>
        <w:t xml:space="preserve">336 </w:t>
      </w:r>
      <w:r>
        <w:rPr>
          <w:rFonts w:ascii="Times New Roman" w:hAnsi="Times New Roman" w:cs="Times New Roman"/>
          <w:sz w:val="28"/>
          <w:szCs w:val="28"/>
        </w:rPr>
        <w:t xml:space="preserve">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лановые контрольные (надзорные) мероприятия в 2024 году не проводились.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контролируемых лиц в 2024 году проведено 6 контрольных (надзорных) мероприятий с взаимодействием с контролируемым лицом - внеплановые выездная и документарные проверки (в 2023 г.</w:t>
      </w:r>
      <w:r>
        <w:rPr>
          <w:rFonts w:ascii="Times New Roman" w:hAnsi="Times New Roman" w:cs="Times New Roman"/>
          <w:sz w:val="28"/>
          <w:szCs w:val="28"/>
        </w:rPr>
        <w:t xml:space="preserve"> - 1):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5 документарных </w:t>
      </w:r>
      <w:r>
        <w:rPr>
          <w:rFonts w:ascii="Times New Roman" w:hAnsi="Times New Roman" w:cs="Times New Roman"/>
          <w:sz w:val="28"/>
          <w:szCs w:val="28"/>
        </w:rPr>
        <w:t xml:space="preserve">проверок проведены по результатам набл</w:t>
      </w:r>
      <w:r>
        <w:rPr>
          <w:rFonts w:ascii="Times New Roman" w:hAnsi="Times New Roman" w:cs="Times New Roman"/>
          <w:sz w:val="28"/>
          <w:szCs w:val="28"/>
        </w:rPr>
        <w:t xml:space="preserve">юдений за соблюдением обязательных требований (мониторингов безопасности) в связи с выявлением индикаторов риска нарушения обязательных требований в сфере образования;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выездная  проверка проведена по результатам рассмотрения обращения от физических лиц.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роверки были проведены после согласования с Прокуратурой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итогам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 xml:space="preserve">ок были выявлены на</w:t>
      </w:r>
      <w:r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установленные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частью 9 статьи 98 Федерального закона от 29 декабря 2012 г. № 273-ФЗ «Об образовании в Российской Федерации», пунктами 4, 6 Правил формирования и ведения федеральной информационной системы «Федеральный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реестр сведений о документах об образовании и (или) о квалификации, документах об обучении», утвержденных постановлением Правительства Российской Федерации от 31 мая 2021 г. № 825.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фактам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>
        <w:rPr>
          <w:rFonts w:ascii="Times New Roman" w:hAnsi="Times New Roman" w:cs="Times New Roman"/>
          <w:sz w:val="28"/>
          <w:szCs w:val="28"/>
        </w:rPr>
        <w:t xml:space="preserve">нарушений</w:t>
      </w:r>
      <w:r>
        <w:rPr>
          <w:rFonts w:ascii="Times New Roman" w:hAnsi="Times New Roman" w:cs="Times New Roman"/>
          <w:sz w:val="28"/>
          <w:szCs w:val="28"/>
        </w:rPr>
        <w:t xml:space="preserve">, выявленных в ходе контрольных (надзорных)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выдано предписани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Согласно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19.7 КоАП РФ в связи с истечением сроков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дело об административной ответственности не возбуждалось.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контрольных (надзорных) мероприятий без взаимодействия составило в 2024 году 800, в том числе </w:t>
      </w:r>
      <w:r>
        <w:rPr>
          <w:rFonts w:ascii="Times New Roman" w:hAnsi="Times New Roman" w:cs="Times New Roman"/>
          <w:sz w:val="28"/>
          <w:szCs w:val="28"/>
        </w:rPr>
        <w:t xml:space="preserve">699 </w:t>
      </w:r>
      <w:r>
        <w:rPr>
          <w:rFonts w:ascii="Times New Roman" w:hAnsi="Times New Roman" w:cs="Times New Roman"/>
          <w:sz w:val="28"/>
          <w:szCs w:val="28"/>
        </w:rPr>
        <w:t xml:space="preserve">наблюдений за соблюдением обязательных требований (мониторинг безопасности) (в 2023 г. - </w:t>
      </w:r>
      <w:r>
        <w:rPr>
          <w:rFonts w:ascii="Times New Roman" w:hAnsi="Times New Roman" w:cs="Times New Roman"/>
          <w:sz w:val="28"/>
          <w:szCs w:val="28"/>
        </w:rPr>
        <w:t xml:space="preserve">1356</w:t>
      </w:r>
      <w:r>
        <w:rPr>
          <w:rFonts w:ascii="Times New Roman" w:hAnsi="Times New Roman" w:cs="Times New Roman"/>
          <w:sz w:val="28"/>
          <w:szCs w:val="28"/>
        </w:rPr>
        <w:t xml:space="preserve">) и 101 выездное обследование (в 2023 г. -0).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аблюдени</w:t>
      </w:r>
      <w:r>
        <w:rPr>
          <w:rFonts w:ascii="Times New Roman" w:hAnsi="Times New Roman" w:cs="Times New Roman"/>
          <w:sz w:val="28"/>
          <w:szCs w:val="28"/>
        </w:rPr>
        <w:t xml:space="preserve">е за соблюдением обязательных требований (мониторинг безопасности) </w:t>
      </w:r>
      <w:r>
        <w:rPr>
          <w:rFonts w:ascii="Times New Roman" w:hAnsi="Times New Roman" w:cs="Times New Roman"/>
          <w:sz w:val="28"/>
          <w:szCs w:val="28"/>
        </w:rPr>
        <w:t xml:space="preserve">проводилось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анализ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информации, размещенной на официальных сайтах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в сети «Интернет»,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ы «Федеральный реестр сведений о </w:t>
      </w:r>
      <w:r>
        <w:rPr>
          <w:rFonts w:ascii="Times New Roman" w:hAnsi="Times New Roman" w:cs="Times New Roman"/>
          <w:sz w:val="28"/>
          <w:szCs w:val="28"/>
        </w:rPr>
        <w:t xml:space="preserve">документах</w:t>
      </w:r>
      <w:r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ессионального и высшего образования, формы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Общее количество контрольных (надзорных) мероприятий, по результатам которых выявлены нарушения обязательных требований, составило 324 (в 2023 г. - 571), из них количество: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наблюдений за соблюдением обязательных требо</w:t>
      </w:r>
      <w:r>
        <w:rPr>
          <w:rFonts w:ascii="Times New Roman" w:hAnsi="Times New Roman" w:cs="Times New Roman"/>
          <w:sz w:val="28"/>
          <w:szCs w:val="28"/>
        </w:rPr>
        <w:t xml:space="preserve">ваний (мониторинг безопасности)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которых выявлены нарушения, составило 299 (в 2023 г. - </w:t>
      </w:r>
      <w:r>
        <w:rPr>
          <w:rFonts w:ascii="Times New Roman" w:hAnsi="Times New Roman" w:cs="Times New Roman"/>
          <w:sz w:val="28"/>
          <w:szCs w:val="28"/>
        </w:rPr>
        <w:t xml:space="preserve">57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)  или </w:t>
      </w:r>
      <w:r>
        <w:rPr>
          <w:rFonts w:ascii="Times New Roman" w:hAnsi="Times New Roman" w:cs="Times New Roman"/>
          <w:sz w:val="28"/>
          <w:szCs w:val="28"/>
        </w:rPr>
        <w:t xml:space="preserve">44,5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 от общего числа </w:t>
      </w:r>
      <w:r>
        <w:rPr>
          <w:rFonts w:ascii="Times New Roman" w:hAnsi="Times New Roman" w:cs="Times New Roman"/>
          <w:sz w:val="28"/>
          <w:szCs w:val="28"/>
        </w:rPr>
        <w:t xml:space="preserve">наблюдений за соблюдением обязательных требований, что на 0,5 процента </w:t>
      </w:r>
      <w:r>
        <w:rPr>
          <w:rFonts w:ascii="Times New Roman" w:hAnsi="Times New Roman" w:cs="Times New Roman"/>
          <w:sz w:val="28"/>
          <w:szCs w:val="28"/>
        </w:rPr>
        <w:t xml:space="preserve">больше, чем в 2023 году;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выездных обследований - 24  (в 2023 г. - 0) или 23,8 </w:t>
      </w:r>
      <w:r>
        <w:rPr>
          <w:rFonts w:ascii="Times New Roman" w:hAnsi="Times New Roman" w:cs="Times New Roman"/>
          <w:sz w:val="28"/>
          <w:szCs w:val="28"/>
        </w:rPr>
        <w:t xml:space="preserve">процента от общего числа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выездных обследований;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документарных проверок - 1 (в 2023 г. - 1) или 20 процентов от общего числа документарных проверок, </w:t>
      </w:r>
      <w:r>
        <w:rPr>
          <w:rFonts w:ascii="Times New Roman" w:hAnsi="Times New Roman" w:cs="Times New Roman"/>
          <w:sz w:val="28"/>
          <w:szCs w:val="28"/>
        </w:rPr>
        <w:t xml:space="preserve">что на 80 процентов </w:t>
      </w:r>
      <w:r>
        <w:rPr>
          <w:rFonts w:ascii="Times New Roman" w:hAnsi="Times New Roman" w:cs="Times New Roman"/>
          <w:sz w:val="28"/>
          <w:szCs w:val="28"/>
        </w:rPr>
        <w:t xml:space="preserve">меньше, чем в 2023 году.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количества контрольных (надзорных)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без взаимодействия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, по результатам которых выявлены нарушения обязательных требований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2024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в разрезе образовательных организаций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 по сравнению с в023 годом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838"/>
        <w:tblW w:w="0" w:type="auto"/>
        <w:tblLayout w:type="fixed"/>
        <w:tblLook w:val="04A0" w:firstRow="1" w:lastRow="0" w:firstColumn="1" w:lastColumn="0" w:noHBand="0" w:noVBand="1"/>
      </w:tblPr>
      <w:tblGrid>
        <w:gridCol w:w="3651"/>
        <w:gridCol w:w="3969"/>
        <w:gridCol w:w="2126"/>
      </w:tblGrid>
      <w:tr>
        <w:trPr/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Типы образовательных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3969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Доля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контрольных (надзорных) мероприятий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без взаимодействия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 от общего количества контрольных (надзорных) мероприятий,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по результатам которых выявлены нарушения обязательных требований, в 2024 году, 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2126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Изменение по сравнению с 2023 годом, %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/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69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11,2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126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+3,3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69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72,5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126" w:type="dxa"/>
            <w:noWrap w:val="false"/>
            <w:textDirection w:val="lrTb"/>
          </w:tcPr>
          <w:p>
            <w:pPr>
              <w:ind w:left="-142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+0,5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Профессиональные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69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11,2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126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+3,7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69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0,6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126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-8,0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blPrEx/>
        <w:tc>
          <w:tcPr>
            <w:tcW w:w="3651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Организации дополнительного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69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2,8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126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blPrEx/>
        <w:tc>
          <w:tcPr>
            <w:tcW w:w="3651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Организации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69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0,6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126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+0,6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blPrEx/>
        <w:tc>
          <w:tcPr>
            <w:tcW w:w="3651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Организации, осуществляющие социальное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69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0,3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126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+0,3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blPrEx/>
        <w:tc>
          <w:tcPr>
            <w:tcW w:w="3651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Иные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3969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9,3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2126" w:type="dxa"/>
            <w:noWrap w:val="false"/>
            <w:textDirection w:val="lrTb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+9,1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контрольных (надзорных) мероприятий выявлено 750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( в 2023 г. - 1233).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выявленных нарушений (правонарушений)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разрезе образовательных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в 2024 </w:t>
      </w:r>
      <w:r>
        <w:rPr>
          <w:rFonts w:ascii="Times New Roman" w:hAnsi="Times New Roman" w:cs="Times New Roman"/>
          <w:b/>
          <w:sz w:val="24"/>
          <w:szCs w:val="24"/>
        </w:rPr>
        <w:t xml:space="preserve">г</w:t>
      </w:r>
      <w:r>
        <w:rPr>
          <w:rFonts w:ascii="Times New Roman" w:hAnsi="Times New Roman" w:cs="Times New Roman"/>
          <w:b/>
          <w:sz w:val="24"/>
          <w:szCs w:val="24"/>
        </w:rPr>
        <w:t xml:space="preserve">., ед.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838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677"/>
      </w:tblGrid>
      <w:tr>
        <w:trPr>
          <w:trHeight w:val="662"/>
        </w:trPr>
        <w:tblPrEx/>
        <w:tc>
          <w:tcPr>
            <w:tcW w:w="4927" w:type="dxa"/>
            <w:noWrap w:val="false"/>
            <w:textDirection w:val="lrTb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Типы образовательных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4677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>
          <w:trHeight w:val="260"/>
        </w:trPr>
        <w:tblPrEx/>
        <w:tc>
          <w:tcPr>
            <w:tcW w:w="4927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4677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80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>
          <w:trHeight w:val="273"/>
        </w:trPr>
        <w:tblPrEx/>
        <w:tc>
          <w:tcPr>
            <w:tcW w:w="4927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4677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536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>
          <w:trHeight w:val="557"/>
        </w:trPr>
        <w:tblPrEx/>
        <w:tc>
          <w:tcPr>
            <w:tcW w:w="4927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Профессиональные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4677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99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>
          <w:trHeight w:val="415"/>
        </w:trPr>
        <w:tblPrEx/>
        <w:tc>
          <w:tcPr>
            <w:tcW w:w="4927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Организации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4677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>
          <w:trHeight w:val="557"/>
        </w:trPr>
        <w:tblPrEx/>
        <w:tc>
          <w:tcPr>
            <w:tcW w:w="4927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Организации дополнительного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4677" w:type="dxa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>
          <w:trHeight w:val="557"/>
        </w:trPr>
        <w:tblPrEx/>
        <w:tc>
          <w:tcPr>
            <w:tcW w:w="4927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Организации для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4677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>
          <w:trHeight w:val="566"/>
        </w:trPr>
        <w:tblPrEx/>
        <w:tc>
          <w:tcPr>
            <w:tcW w:w="4927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Организации, осуществляющие социальное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4677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rPr>
          <w:trHeight w:val="453"/>
        </w:trPr>
        <w:tblPrEx/>
        <w:tc>
          <w:tcPr>
            <w:tcW w:w="4927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Иные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4677" w:type="dxa"/>
            <w:vMerge w:val="restart"/>
            <w:noWrap w:val="false"/>
            <w:textDirection w:val="lrTb"/>
          </w:tcPr>
          <w:p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 нарушения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(правонарушения)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обязательных требований, допущенные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9"/>
        <w:tabs>
          <w:tab w:val="left" w:pos="993" w:leader="none"/>
        </w:tabs>
        <w:spacing w:line="240" w:lineRule="auto"/>
        <w:ind w:left="0" w:firstLine="709"/>
        <w:jc w:val="both"/>
        <w:rPr>
          <w:rFonts w:eastAsia="Times New Roman"/>
          <w:b/>
          <w:bCs/>
          <w:i/>
          <w:sz w:val="24"/>
          <w:szCs w:val="24"/>
          <w:highlight w:val="none"/>
        </w:rPr>
      </w:pPr>
      <w:r>
        <w:rPr>
          <w:rFonts w:eastAsia="Times New Roman"/>
          <w:b/>
          <w:i/>
          <w:sz w:val="28"/>
          <w:szCs w:val="28"/>
        </w:rPr>
        <w:t xml:space="preserve">1) </w:t>
      </w:r>
      <w:r>
        <w:rPr>
          <w:rFonts w:eastAsia="Times New Roman"/>
          <w:b/>
          <w:i/>
          <w:sz w:val="28"/>
          <w:szCs w:val="28"/>
        </w:rPr>
        <w:t xml:space="preserve">Ф</w:t>
      </w:r>
      <w:r>
        <w:rPr>
          <w:rFonts w:eastAsia="Times New Roman"/>
          <w:b/>
          <w:i/>
          <w:sz w:val="28"/>
          <w:szCs w:val="28"/>
        </w:rPr>
        <w:t xml:space="preserve">едерального закона от 29 декабря 2012 г. № 273-ФЗ «Об образовании </w:t>
      </w:r>
      <w:r>
        <w:rPr>
          <w:rFonts w:eastAsia="Times New Roman"/>
          <w:b/>
          <w:i/>
          <w:sz w:val="28"/>
          <w:szCs w:val="28"/>
        </w:rPr>
        <w:t xml:space="preserve">в Российской Федерации»</w:t>
      </w:r>
      <w:r>
        <w:rPr>
          <w:rFonts w:eastAsia="Times New Roman"/>
          <w:b/>
          <w:i/>
          <w:sz w:val="28"/>
          <w:szCs w:val="28"/>
        </w:rPr>
        <w:t xml:space="preserve"> </w:t>
      </w:r>
      <w:r>
        <w:rPr>
          <w:rFonts w:eastAsia="Times New Roman"/>
          <w:b/>
          <w:i/>
          <w:sz w:val="28"/>
          <w:szCs w:val="28"/>
        </w:rPr>
        <w:t xml:space="preserve">:</w:t>
      </w:r>
      <w:r>
        <w:rPr>
          <w:rFonts w:eastAsia="Times New Roman"/>
          <w:b/>
          <w:bCs/>
          <w:i/>
          <w:sz w:val="24"/>
          <w:szCs w:val="24"/>
          <w:highlight w:val="none"/>
        </w:rPr>
      </w:r>
      <w:r>
        <w:rPr>
          <w:rFonts w:eastAsia="Times New Roman"/>
          <w:b/>
          <w:bCs/>
          <w:i/>
          <w:sz w:val="24"/>
          <w:szCs w:val="24"/>
          <w:highlight w:val="none"/>
        </w:rPr>
      </w:r>
    </w:p>
    <w:p>
      <w:pPr>
        <w:pStyle w:val="841"/>
        <w:spacing w:before="0" w:beforeAutospacing="0" w:after="0" w:afterAutospacing="0" w:line="288" w:lineRule="atLeast"/>
        <w:ind w:firstLine="540"/>
        <w:jc w:val="both"/>
        <w:rPr>
          <w:rFonts w:eastAsia="Times New Roman"/>
          <w:b w:val="0"/>
          <w:bCs w:val="0"/>
          <w:i w:val="0"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</w:rPr>
        <w:t xml:space="preserve">части 6 статьи 12</w:t>
      </w:r>
      <w:r>
        <w:rPr>
          <w:rFonts w:eastAsia="Times New Roman"/>
          <w:b/>
          <w:i/>
          <w:sz w:val="24"/>
          <w:szCs w:val="24"/>
          <w:highlight w:val="none"/>
        </w:rPr>
        <w:t xml:space="preserve"> – </w:t>
      </w:r>
      <w:r>
        <w:rPr>
          <w:rFonts w:eastAsia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образовательные программы дошкольного образования разработаны не</w:t>
      </w:r>
      <w:r>
        <w:rPr>
          <w:rFonts w:eastAsia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в соо</w:t>
      </w:r>
      <w:r>
        <w:rPr>
          <w:rFonts w:eastAsia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тветствии федеральным государственным образовательным стандартом дошкольного образования и соответствующей федеральной основной общеобразовательной программой дошкольного образования;</w:t>
      </w:r>
      <w:r>
        <w:rPr>
          <w:rFonts w:eastAsia="Times New Roman"/>
          <w:b w:val="0"/>
          <w:bCs w:val="0"/>
          <w:i w:val="0"/>
          <w:sz w:val="28"/>
          <w:szCs w:val="28"/>
          <w:highlight w:val="none"/>
          <w14:ligatures w14:val="none"/>
        </w:rPr>
      </w:r>
      <w:r>
        <w:rPr>
          <w:rFonts w:eastAsia="Times New Roman"/>
          <w:b w:val="0"/>
          <w:bCs w:val="0"/>
          <w:i w:val="0"/>
          <w:sz w:val="28"/>
          <w:szCs w:val="28"/>
          <w:highlight w:val="none"/>
          <w14:ligatures w14:val="none"/>
        </w:rPr>
      </w:r>
    </w:p>
    <w:p>
      <w:pPr>
        <w:pStyle w:val="84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части 6.1</w:t>
      </w:r>
      <w:r>
        <w:rPr>
          <w:b/>
          <w:sz w:val="28"/>
          <w:szCs w:val="28"/>
        </w:rPr>
        <w:t xml:space="preserve"> статьи 12 -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</w:t>
      </w:r>
      <w:r>
        <w:rPr>
          <w:sz w:val="28"/>
          <w:szCs w:val="28"/>
        </w:rPr>
        <w:t xml:space="preserve">не разрабатывают</w:t>
      </w:r>
      <w:r>
        <w:rPr>
          <w:sz w:val="28"/>
          <w:szCs w:val="28"/>
        </w:rPr>
        <w:t xml:space="preserve"> образовательные программы в соответствии с </w:t>
      </w:r>
      <w:r>
        <w:rPr>
          <w:sz w:val="28"/>
          <w:szCs w:val="28"/>
        </w:rPr>
        <w:t xml:space="preserve">действующими (обновленными) </w:t>
      </w:r>
      <w:r>
        <w:rPr>
          <w:sz w:val="28"/>
          <w:szCs w:val="28"/>
        </w:rPr>
        <w:t xml:space="preserve">федеральными государственными образовательными стандартами и соответствующими федеральными основными об</w:t>
      </w:r>
      <w:r>
        <w:rPr>
          <w:sz w:val="28"/>
          <w:szCs w:val="28"/>
        </w:rPr>
        <w:t xml:space="preserve">щеобразовательными программами;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части 6.3 статьи 12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при разработке основной общеобразовательной программы организации, осуществляющие образовательную деятельность по имеющим государственную аккред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итацию образовательным программам начального общего, основного общего, среднего общего образования, не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программ по учебным предметам «Русский язык», «Литературное чтение» и «Окружающий мир»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при реализации обязательной части образовательных программ основного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общего и среднего общего образования федеральных рабочих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 по учебным предметам «Русский язык», «Литература», «История», «Обществознание», «География» 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безопасности жизнедеятельности»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части 2 статьи 12.1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рабочая программа воспитания и календарный план воспитательной работы разработаны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на основе федеральной рабочей программы воспитания и федерального календарного плана воспитательной работы;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части 6.4 статьи 12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 6.2 статьи 47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непосредственном применении федеральных основных общеобразовательных программ, федерального учебного плана и не указанных в части 6.3 статьи 12 федеральных рабочих программ учебных предметов, курсов, дисциплин (модулей) организацией разрабатывает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учебно-методическ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документаци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требуется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ведет 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необоснованно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увеличению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документацио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нной нагрузки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педагогических работников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ункта 10 части 3 статьи 28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– образовательная организация не осуществляет текущий контроль успеваемости и промежуточной аттестации в соответствии с графиком контрольных мероприятий, включенным в основную образовательную программу;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39"/>
        <w:tabs>
          <w:tab w:val="left" w:pos="1134" w:leader="none"/>
        </w:tabs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color w:val="000000" w:themeColor="text1"/>
          <w:sz w:val="28"/>
          <w:szCs w:val="28"/>
        </w:rPr>
        <w:t xml:space="preserve">п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ункта 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1 ч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асти 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6 ст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атьи 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28</w:t>
      </w:r>
      <w:r>
        <w:rPr>
          <w:rFonts w:eastAsia="Times New Roman"/>
          <w:color w:val="000000" w:themeColor="text1"/>
          <w:sz w:val="28"/>
          <w:szCs w:val="28"/>
        </w:rPr>
        <w:t xml:space="preserve"> – </w:t>
      </w:r>
      <w:r>
        <w:rPr>
          <w:rFonts w:eastAsia="Times New Roman"/>
          <w:color w:val="000000" w:themeColor="text1"/>
          <w:sz w:val="28"/>
          <w:szCs w:val="28"/>
        </w:rPr>
        <w:t xml:space="preserve">образоват</w:t>
      </w:r>
      <w:r>
        <w:rPr>
          <w:rFonts w:eastAsia="Times New Roman"/>
          <w:color w:val="000000" w:themeColor="text1"/>
          <w:sz w:val="28"/>
          <w:szCs w:val="28"/>
        </w:rPr>
        <w:t xml:space="preserve">ельная организация не обеспечивает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качеств</w:t>
      </w:r>
      <w:r>
        <w:rPr>
          <w:rFonts w:eastAsia="Times New Roman"/>
          <w:sz w:val="28"/>
          <w:szCs w:val="28"/>
        </w:rPr>
        <w:t xml:space="preserve">о</w:t>
      </w:r>
      <w:r>
        <w:rPr>
          <w:rFonts w:eastAsia="Times New Roman"/>
          <w:sz w:val="28"/>
          <w:szCs w:val="28"/>
        </w:rPr>
        <w:t xml:space="preserve"> подготовки обучающихся установленным требованиям, </w:t>
      </w:r>
      <w:r>
        <w:rPr>
          <w:rFonts w:eastAsia="Times New Roman"/>
          <w:sz w:val="28"/>
          <w:szCs w:val="28"/>
        </w:rPr>
        <w:t xml:space="preserve">применяемые</w:t>
      </w:r>
      <w:r>
        <w:rPr>
          <w:rFonts w:eastAsia="Times New Roman"/>
          <w:sz w:val="28"/>
          <w:szCs w:val="28"/>
        </w:rPr>
        <w:t xml:space="preserve"> средств</w:t>
      </w:r>
      <w:r>
        <w:rPr>
          <w:rFonts w:eastAsia="Times New Roman"/>
          <w:sz w:val="28"/>
          <w:szCs w:val="28"/>
        </w:rPr>
        <w:t xml:space="preserve">а</w:t>
      </w:r>
      <w:r>
        <w:rPr>
          <w:rFonts w:eastAsia="Times New Roman"/>
          <w:sz w:val="28"/>
          <w:szCs w:val="28"/>
        </w:rPr>
        <w:t xml:space="preserve"> обучения и воспитания </w:t>
      </w:r>
      <w:r>
        <w:rPr>
          <w:rFonts w:eastAsia="Times New Roman"/>
          <w:sz w:val="28"/>
          <w:szCs w:val="28"/>
        </w:rPr>
        <w:t xml:space="preserve">не соответствуют</w:t>
      </w:r>
      <w:r>
        <w:rPr>
          <w:rFonts w:eastAsia="Times New Roman"/>
          <w:sz w:val="28"/>
          <w:szCs w:val="28"/>
        </w:rPr>
        <w:t xml:space="preserve"> возрастным, психофизическим особенностям, склонностям, способностям, интер</w:t>
      </w:r>
      <w:r>
        <w:rPr>
          <w:rFonts w:eastAsia="Times New Roman"/>
          <w:sz w:val="28"/>
          <w:szCs w:val="28"/>
        </w:rPr>
        <w:t xml:space="preserve">есам и потребностям обучающихся, </w:t>
      </w:r>
      <w:r>
        <w:rPr>
          <w:rFonts w:eastAsia="Times New Roman"/>
          <w:sz w:val="28"/>
          <w:szCs w:val="28"/>
        </w:rPr>
        <w:t xml:space="preserve">созданные материально-технических условия реализации общеобразовательных программ не обеспечивают возможность достижения обучающимися результатов их освоения, требования к которым, установлены </w:t>
      </w:r>
      <w:r>
        <w:rPr>
          <w:rFonts w:eastAsia="Times New Roman"/>
          <w:sz w:val="28"/>
          <w:szCs w:val="28"/>
        </w:rPr>
        <w:t xml:space="preserve">федеральными государственными образовательными стандартами;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widowControl w:val="o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части 1 статьи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45"/>
          <w:rFonts w:ascii="Times New Roman" w:hAnsi="Times New Roman" w:cs="Times New Roman"/>
          <w:sz w:val="28"/>
          <w:szCs w:val="28"/>
          <w:shd w:val="clear" w:color="auto" w:fill="feffff"/>
        </w:rPr>
        <w:t xml:space="preserve">-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бразовательная организация не сформировала открытые и общедоступные информационные ресурсы, содержащие информацию о ее деятельности, и не обеспечила доступ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</w:t>
      </w:r>
      <w:r>
        <w:rPr>
          <w:rFonts w:ascii="Times New Roman" w:hAnsi="Times New Roman" w:cs="Times New Roman"/>
          <w:sz w:val="28"/>
          <w:szCs w:val="28"/>
        </w:rPr>
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асти 2 статьи 29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бразовательные организации не обеспечивают открытость и доступность: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копий</w:t>
      </w:r>
      <w:r>
        <w:rPr>
          <w:rFonts w:ascii="Times New Roman" w:hAnsi="Times New Roman" w:cs="Times New Roman"/>
          <w:sz w:val="28"/>
          <w:szCs w:val="28"/>
        </w:rPr>
        <w:t xml:space="preserve"> локальных нормативных актов, предусмотренных </w:t>
      </w:r>
      <w:hyperlink w:tooltip="#Par55" w:anchor="Par55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2 статьи 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правил внутреннего распорядка обучающихся, правил внутреннего трудового распорядка, коллективного договора;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части 3 статьи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размещенные на официальном сайте образовательной организации, не обновл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десяти рабочих дней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их создания, получения или внесения в них соответствующих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статьи 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образовательной организацией не приняты локальные нормативные акты, содержащие нормы, регулиру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ющие образовательные отношения,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и осуществления образовательной деятельности, в том числе регламентирующие правила приема обучающихся, режим занятий обучающих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организацией и обучающимися и (или) родителями (законными представителями) несовершеннолетних обучающихся;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статьи 30 -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ри принятии локальных нормативных актов, затрагивающих права обучающихся и работников образовательной организации, включая рабочую программу воспитания и календарный план воспитательной работы, 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не 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учитывается мнение советов обучающихся, советов родителей, предст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авительных органов обучающихся;</w:t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Calibri" w:hAnsi="Calibri" w:eastAsia="Times New Roman" w:cs="Calibri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части 6.2 статьи 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возлагают на педагогических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ников работы, не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частями 6 и 9 настоящей статьи, в том числе связанной с подготовкой документов, не включенных в переч</w:t>
      </w:r>
      <w:r>
        <w:rPr>
          <w:rFonts w:ascii="Times New Roman" w:hAnsi="Times New Roman" w:cs="Times New Roman"/>
          <w:sz w:val="28"/>
          <w:szCs w:val="28"/>
        </w:rPr>
        <w:t xml:space="preserve">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Минпросвещения России от 21 июля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582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части 9 статьи 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организации, осуществляющие образовательную деятельность, не представляют в федеральный орган исполнительной власти, осуществляющий функции по контролю и надзору в сфере образования, сведения о выданных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образовании и (или) о квалификации, документах об обучении путем внесения этих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ФРДО)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2)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Правил размещения на официальном сайте образовательной организации в информационно-телекоммуникационной сети «Интернет»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и обновления информации об образовательной организации,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 утвержденных 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b/>
          <w:i/>
          <w:spacing w:val="-4"/>
          <w:sz w:val="28"/>
          <w:szCs w:val="28"/>
        </w:rPr>
        <w:t xml:space="preserve">остановлением Правительства Российской Федерации 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от 20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 октября 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2021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 г.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 №</w:t>
      </w:r>
      <w:r>
        <w:rPr>
          <w:rFonts w:ascii="Times New Roman" w:hAnsi="Times New Roman" w:eastAsia="Calibri" w:cs="Times New Roman"/>
          <w:b/>
          <w:i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1802</w:t>
      </w:r>
      <w:r>
        <w:rPr>
          <w:rFonts w:ascii="Times New Roman" w:hAnsi="Times New Roman" w:eastAsia="Calibri" w:cs="Times New Roman"/>
          <w:b/>
          <w:i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b/>
          <w:i/>
          <w:sz w:val="24"/>
          <w:szCs w:val="24"/>
        </w:rPr>
      </w:r>
      <w:r>
        <w:rPr>
          <w:rFonts w:ascii="Times New Roman" w:hAnsi="Times New Roman" w:eastAsia="Calibri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пункта 3 -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бразовательная организация не размещает на официальном сайте информацию и копии документов, указанные в </w:t>
      </w:r>
      <w:hyperlink r:id="rId10" w:tooltip="https://login.consultant.ru/link/?req=doc&amp;base=LAW&amp;n=451871&amp;dst=10041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части 2 статьи 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8"/>
        <w:jc w:val="both"/>
      </w:pPr>
      <w:r>
        <w:rPr>
          <w:rFonts w:ascii="Times New Roman" w:hAnsi="Times New Roman" w:eastAsia="Calibri" w:cs="Times New Roman"/>
          <w:b/>
          <w:sz w:val="28"/>
          <w:szCs w:val="28"/>
          <w:highlight w:val="none"/>
        </w:rPr>
        <w:t xml:space="preserve">пункта 11 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образовательная организация не размещает необходимую информацию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персональном составе педагогических работников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пункта 16</w:t>
      </w:r>
      <w:r>
        <w:rPr>
          <w:rFonts w:ascii="Times New Roman" w:hAnsi="Times New Roman" w:cs="Times New Roman"/>
          <w:sz w:val="28"/>
          <w:szCs w:val="28"/>
        </w:rPr>
        <w:t xml:space="preserve"> - образовательная организация не обновляет сведения  не позднее 10 рабочих дней со дня их создания, получения или внесения в них соответствующих изменений;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пункта 18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образовательная организация не размещает на официальном сайте информацию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</w:r>
      <w:hyperlink r:id="rId11" w:tooltip="consultantplus://offline/ref=58BDAE3A13D1E49FCAB86E23918B2A578D72CE1558C70CD96F22440298C7E4BEAC36DF0765067B3953BE146799d9R0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электронной подписи»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3)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Требований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 августа 202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0 г. № 831 (утратил силу с 1 сентября 2024 года)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пункта 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информация специального раздела «Сведения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бразовательной организации» официального сайта организации не представлена в виде набора страниц и (или) иерархического списка, механизм навигации не представлен на каждой странице специального раздела;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подпункт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3.3 пункта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главной странице подраздела «Документы»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специального раздела «Сведения об образовательной организации» официального сайта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размещены документы в виде копий и электронных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разрабатываемых и утверждаемых образовательной организацией;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подпункта 3.4 пункта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подраздел «Образование»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специального раздела «Сведения об образовательной организации» официального сайта организации не содержит информацию: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реализуемых образовательных программах,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описании образовательной программы с приложением образовательной программы в форме электронного документа, в том числе: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документа.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4)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Требований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4 августа 202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3 г. № 1493 (вступил в силу с 1 сентября 2024 года)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подпункта «в» пункта 10 –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подразделе «Документы» не размещены   правила внутреннего трудового распорядка,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подпункта «д» пункта 10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-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подразделе «Документы» не размещены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локальные акты по основным вопросам организации и осуществления образовательной деятельности, предусмотренные частью 2 статьи 30 Федерального закона «Об образовании»;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пункта 12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подразделе «Педагогический состав»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отсутствует информация, установленная: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подпунктом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«г»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об уровне (уровнях)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подпунктом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«ж»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 повышении квалификации (за последние 3 года) педагогическими работниками;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подпунктом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«и»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40" w:lineRule="auto"/>
        <w:ind w:left="0"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подпунктом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 «к»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– информация 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наименовании общеобразовательной программы (общеобразовательных программ),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реализации которых участвует педагогический работник;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подпунктом 3 пункта 19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– подраздел «Организация питания в образовательной организации» не содержит информацию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Правил формирования и ведения федеральной информационной системы «Федеральный реестр сведений 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документах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 образовании и (или) о квалификации, документах об обучении», утвержденных постановлением Правительства Российской Федерации от 31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2021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№ 825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пункта 4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не представляет оператору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ФИС ФРДО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едения о выданных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документах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 образовании и/или квалификации;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не представлены оператору информационной системы (путем внесения в информационную систему) сведения о выданных в установленном порядке документах об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и (или) о квалификации в части сроков внесения сведений в информационную систему;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5) 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еречня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документации, подготовка которой осуществляется педагогическими работниками при реализации основных общеобразо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вательных программ, утвержденного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приказом Минпросвещения России от 21.07.2022 № 582: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84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Общеобразовательной организацией не соблюдается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6) Т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ребований Федерального государственного образовательного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стандарт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основного обще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го образования, утвержденного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приказом Минпросвещ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ения России от 31 мая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2021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г.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№ 287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пункта 31.2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основной образовательной программе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основного общего образования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определены личностные результаты освоения программы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пункт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33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основную образовательную программу основного общего образования 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включены характеристики условий реализации программы;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подпункт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1 пункта 36.2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описа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нные в основной образовательной программе материально-технические условия реализации программы основного общего образования не в полной мере обеспечивают возможность достижения обучающимися результатов освоения программы основного общего образования, требо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вания к которым установлены федеральным государственным образовательным стандартом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пункта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38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основного общего образования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соответствует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сихолого-педагогически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условия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реализации програм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мы основного общего образования;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пункта 39.2 –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у педагогических работников не получено дополнител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ьное профессиональное образование по программам повышения квалификации;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7) Т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ребований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Федерального государственного образовательного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стандарт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основного общего образования, утвержденн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ый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прика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зом Минобрнауки России от 17 декабря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2010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г.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№ 1897: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пункт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18.3.1 -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учебном плане основной образовательной программы основного общего образования отсутствуют обязательные учебные предметы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8) Т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ребований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Федерального государственного образовательного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среднего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общего образования, утвержденного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зом Минобрнауки России от 17 мая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2012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№ 413: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подпункт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1 пункта 24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описанные в основной образовательной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атериально-технические условия реализации основной образовательной программы не в полной мере обеспечивают возможность достиже</w:t>
      </w:r>
      <w:r>
        <w:rPr>
          <w:rFonts w:ascii="Times New Roman" w:hAnsi="Times New Roman" w:cs="Times New Roman"/>
          <w:sz w:val="28"/>
          <w:szCs w:val="28"/>
        </w:rPr>
        <w:t xml:space="preserve">ния обучающимися установленных с</w:t>
      </w:r>
      <w:r>
        <w:rPr>
          <w:rFonts w:ascii="Times New Roman" w:hAnsi="Times New Roman" w:cs="Times New Roman"/>
          <w:sz w:val="28"/>
          <w:szCs w:val="28"/>
        </w:rPr>
        <w:t xml:space="preserve">тандартом требований к предметным, </w:t>
      </w:r>
      <w:r>
        <w:rPr>
          <w:rFonts w:ascii="Times New Roman" w:hAnsi="Times New Roman" w:cs="Times New Roman"/>
          <w:sz w:val="28"/>
          <w:szCs w:val="28"/>
        </w:rPr>
        <w:t xml:space="preserve">метапредметным</w:t>
      </w:r>
      <w:r>
        <w:rPr>
          <w:rFonts w:ascii="Times New Roman" w:hAnsi="Times New Roman" w:cs="Times New Roman"/>
          <w:sz w:val="28"/>
          <w:szCs w:val="28"/>
        </w:rPr>
        <w:t xml:space="preserve"> и личностным результатам освоения основной образовательной программы среднего общего образования.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9) Требований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Федерального закона от 24.06.1999 № 120-ФЗ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"Об основах системы профилактики безнадзорности и правонарушений несовершеннолетних"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подпункта 1 пункта 2 статьи 14 –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осуществляющие образовательную деятельность, не оказывают социально-психологическую</w:t>
      </w:r>
      <w:r>
        <w:rPr>
          <w:rFonts w:ascii="Times New Roman" w:hAnsi="Times New Roman" w:cs="Times New Roman"/>
          <w:sz w:val="28"/>
          <w:szCs w:val="28"/>
        </w:rPr>
        <w:t xml:space="preserve">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подпункта 2 пункта 2 статьи 14 -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осуществляющие образовательную деятельность, не </w:t>
      </w:r>
      <w:r>
        <w:rPr>
          <w:rFonts w:ascii="Times New Roman" w:hAnsi="Times New Roman" w:cs="Times New Roman"/>
          <w:sz w:val="28"/>
          <w:szCs w:val="28"/>
        </w:rPr>
        <w:t xml:space="preserve">принимают меры по воспитанию и получению общего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обучающимися, </w:t>
      </w:r>
      <w:r>
        <w:rPr>
          <w:rFonts w:ascii="Times New Roman" w:hAnsi="Times New Roman" w:cs="Times New Roman"/>
          <w:sz w:val="28"/>
          <w:szCs w:val="28"/>
        </w:rPr>
        <w:t xml:space="preserve">не посещающих или систематически пропускающих по неуважительным причинам занятия в образовательных организациях</w:t>
      </w:r>
      <w:r>
        <w:rPr>
          <w:rFonts w:ascii="Times New Roman" w:hAnsi="Times New Roman" w:eastAsia="Times New Roman" w:cs="Times New Roman"/>
          <w:sz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10)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Требований Положения о лицензировании образовательной деятельности,</w:t>
      </w:r>
      <w:r>
        <w:rPr>
          <w:b/>
          <w:bCs/>
          <w:i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утвержденного постановлением Правительства Российской Федерации, от 18.09.2020 № 1490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подпункта «г» пункта 7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наличие педагогический работников, не соответствующих квалификационным характеристикам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должностей работников образования;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8"/>
        <w:jc w:val="both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11)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Требований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утвержденного приказом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Минобрнауки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России от 09.11.2015 № 1309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8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пункта 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образовательной организации не обеспечила возможность беспрепятственного входа в объекты и выходы из них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подпункта «а» пункта 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входе в здание отсутствует вывеска с названием организации, графиком работы,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планом здания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организации, выполненн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рельефно-точечным шрифтом Брайля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контрастном фоне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2024 год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контролируемых лиц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поступило 2 возражения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объявленных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предостережений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Возражения были рассмотрены в установленный Положением срок и отказано в удовлетворении указанных возражений в отношении предостережений.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осудебного обжалования решений контрольн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(надзорн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) орган</w:t>
      </w:r>
      <w:r>
        <w:rPr>
          <w:rFonts w:ascii="Times New Roman" w:hAnsi="Times New Roman" w:cs="Times New Roman"/>
          <w:sz w:val="28"/>
          <w:szCs w:val="28"/>
        </w:rPr>
        <w:t xml:space="preserve">а, действий (бездействий) его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не было.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предупреждения нарушений обязательных требований, устранение причин и факторов, способных привести к нарушениям обязательных требований и (или) причинения вреда (ущерба) охраняемым законом ценностям приказом Министерства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декабря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 г.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2386 утверждена Программа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профилактике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 в сфере образования на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профилактики планировались и реализовывались следующие виды профилактических мероприятий: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информирование,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обобщение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правоприменительной практики, объявление предостережения, консультирование,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профилактический визит, оценка добросовестности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контролируемых лиц (меры стимулирования добросовестности).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 проведено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372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консультирования,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профилактических визитов, 1 обобщение правоприменительн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 практики по итогам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 года,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оценок добросовестности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контролируемых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осуществлено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информировани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посредством размещения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сайте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обязательной информации, предусмотренной 46 статьей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«О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 xml:space="preserve">онтроле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 также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иных формах.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Всего проведено 1667 профилактических мероприятий в отношении 1022 контролируемых лиц.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Вместе с тем</w:t>
      </w:r>
      <w: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предлагаем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целях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совершенствовани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осуществления федерального государственного контроля (надзора) в сфере образования: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дополнить пункт 17 Положения возможностью проведения консультирования в виде устных разъяснений по телефону, руководствуясь частью 2 статьи 50 Федерального закона «О государственном контроле (надзоре) и муниципальном контроле в Российской Федерации»;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</w:rPr>
      </w:r>
    </w:p>
    <w:p>
      <w:pP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пункт 14 Положения после слов «информационных системах» дополнить словами «и в иных формах»,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руководствуясь частью 2 статьи 46 Федерального закона «О государственном контроле (надзоре) и муниципальном контроле в Российской Федерации»;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</w:rPr>
      </w:r>
    </w:p>
    <w:p>
      <w:pP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highlight w:val="none"/>
          <w:u w:val="none"/>
        </w:rPr>
        <w:t xml:space="preserve">в пункте 25(1) Положения изменить критерии добросовестности: включить критерии по каждо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highlight w:val="none"/>
          <w:u w:val="none"/>
        </w:rPr>
        <w:t xml:space="preserve">му типу образовательных организаций, т.к. настоящие критерии не дают возможность участвовать в оценке добросовестности контролируемым лицам, которые не попадают под действие частей 2 и 9 статьи 98 Федерального закона «Об образовании в Российской Федерации;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r>
    </w:p>
    <w:p>
      <w:pP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  <w:lang w:eastAsia="ru-RU"/>
        </w:rPr>
        <w:t xml:space="preserve">дополнить статью 11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«О порядке рассмотрения обращений граждан Российской Федерации»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положениями, регламентирующими порядок рассмотрения обращений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  <w:lang w:eastAsia="ru-RU"/>
        </w:rPr>
        <w:t xml:space="preserve">контрольными надзорными органами с учетом норм, регулирующих государственный контроль (надзор) и муниципальный контроль в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Федеральным законом «О государственном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контроле (надзоре) и муниципальном контроле в Российской Федерации» и Положением предусмотреть возможность привлечения экспертов для контрольного (надзорного) мероприятия в виде наблюдения за соблюдением обязательных требований (мониторинга безопасности);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</w:rPr>
      </w:r>
    </w:p>
    <w:p>
      <w:pP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в части 2 статьи 52.2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Федерального закона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предусмотреть возможность подавать заявление о проведении профилактического визита иными путями, в том числе включая электронной почтой и почтовым отправлением;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r>
    </w:p>
    <w:p>
      <w:pP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highlight w:val="none"/>
          <w:u w:val="none"/>
        </w:rPr>
        <w:t xml:space="preserve">предусмотреть статьей 53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Федерального закона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highlight w:val="none"/>
          <w:u w:val="none"/>
        </w:rPr>
        <w:t xml:space="preserve"> возможность использования проверочных листов при проведении обязательных профилактических визитов;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r>
    </w:p>
    <w:p>
      <w:pP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  <w:t xml:space="preserve">изменить следующие индикаторы риска нарушения обязательных требований используемых при осуществлении федерального государственного контроля (надзора) в сфере образования, утвержденные приказом Рособрнадзора от 04.10.2021 № 1336: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r>
    </w:p>
    <w:p>
      <w:pPr>
        <w:pStyle w:val="839"/>
        <w:numPr>
          <w:numId w:val="10"/>
          <w:ilvl w:val="0"/>
        </w:numPr>
        <w:spacing w:before="6" w:beforeAutospacing="0" w:after="0" w:afterAutospacing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  <w:t xml:space="preserve">изложить пункт 14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highlight w:val="none"/>
          <w:u w:val="none"/>
          <w14:ligatures w14:val="none"/>
        </w:rPr>
        <w:t xml:space="preserve">«14. Наличие в организации, осуществляющей образовательную деятельность, в течение календарного года 20% и более выпускников, получивших неудовлетворительный результат ("незачет") по итоговому собеседованию по русскому языку (без учета повторного прохождения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highlight w:val="none"/>
          <w:u w:val="none"/>
          <w14:ligatures w14:val="none"/>
        </w:rPr>
        <w:t xml:space="preserve"> итогового собеседования по русскому языку), от общего количества выпускник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highlight w:val="none"/>
          <w:u w:val="none"/>
          <w14:ligatures w14:val="none"/>
        </w:rPr>
        <w:t xml:space="preserve">ов.»;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highlight w:val="none"/>
          <w:u w:val="none"/>
          <w14:ligatures w14:val="none"/>
        </w:rPr>
      </w:r>
    </w:p>
    <w:p>
      <w:pPr>
        <w:pStyle w:val="839"/>
        <w:numPr>
          <w:numId w:val="8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highlight w:val="none"/>
          <w:u w:val="none"/>
          <w14:ligatures w14:val="none"/>
        </w:rPr>
        <w:t xml:space="preserve">изложить пункт 16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highlight w:val="none"/>
          <w:u w:val="none"/>
          <w14:ligatures w14:val="none"/>
        </w:rPr>
        <w:t xml:space="preserve">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highlight w:val="none"/>
          <w:u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highlight w:val="none"/>
          <w:u w:val="none"/>
          <w14:ligatures w14:val="none"/>
        </w:rPr>
        <w:t xml:space="preserve">«16.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highlight w:val="none"/>
          <w:u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highlight w:val="none"/>
          <w:u w:val="none"/>
          <w14:ligatures w14:val="none"/>
        </w:rPr>
        <w:t xml:space="preserve">Наличие в организации, осуществляющей образовательную деятельность, в течение календарного года 20% и более выпускников, получивших неудовлетворительный результат ("незачет") по итоговому сочинению (изложению) (без учета повторного написания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highlight w:val="none"/>
          <w:u w:val="none"/>
          <w14:ligatures w14:val="none"/>
        </w:rPr>
        <w:t xml:space="preserve">итогового сочинения (изложения)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highlight w:val="none"/>
          <w:u w:val="none"/>
          <w14:ligatures w14:val="none"/>
        </w:rPr>
        <w:t xml:space="preserve">, от общего количества выпускников.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»;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обязательны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нормативных правовых актов в сфере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  <w:lang w:eastAsia="ru-RU"/>
        </w:rPr>
        <w:t xml:space="preserve">распространять действия статьи 29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Федерального закона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«Об образовании в Российской Федерации»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;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Правил размещения на официально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м сайте образовательной организации в информационно-телекоммуникационной сети «Интернет» и обновления информации об образовательной организации,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утвержденных постановлением Правительства Российской Федерации от 20 октября 2021 г. № 1802;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Требований к структуре официального сайта образовательной организации в информационно-телекоммуникаци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онной сети «Интернет»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и формату представления информации,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утвержденных приказом Федеральной службы по надзору в сфере образования и науки от 14 августа 2020 г. № 831, зарегистрированным в Минюсте России 12 ноября 2020 г., рег.           № 60867,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на организации, осуществляющие обучение 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индивидуальные предприниматели, осуществляющие образовательную деятельность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с привлечением педагогических работников;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включить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Перечень нормативных правовых актов (их отдельных положений)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и взрослых, содержащих обязательные требования, оценка соблюдения которых осуществляется органами государственной власти субъектов Российской Федерации, осуществляющими переданные полномочия Российской Федерации в сфере образования, в рамках федерального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государственного контроля (надзора) в сфере образова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ния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(утв. Минпросвещения России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17.07.2023)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(далее – Перечень) следующие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структурные единицы нормативных правовых актов: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часть 2 статьи 21;  часть 6 статьи 66;  часть 3.2 статьи 84, части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1, 2 статьи 97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Федерального закона от 29.12.2012  № 273-ФЗ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«Об образовании в Российской Федерации»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пункт 21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Порядка заполнения, учета и выдачи аттестатов об 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сновном общем и среднем общем образовании и их дубликатов, утвержденного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приказом  Минпросвещения России от 05.10.2020 № 546;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- пункты 2-14, 18, 19, 21, 23, 25, 28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Порядка приема на обучение по дополнительным образовательным программам спортивной подготовки, утвержденного 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риказом Минспорта России от 27.01.2023 № 57;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- пункт 5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Особенностей организации и осуществления образовательной деятельности по дополнительным образовательным программам спортивной подготовки, утвержденных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приказом Минспорта России от 03.08.2022 № 634;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- пункты 2, 3, 4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Порядка выдачи свидетельств об освоении дополнительных предпрофессиональных программ в области искусств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утвержденного приказом Минкультуры России от 12.03.2024 № 435;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- пункты 4-6, 9, 12, 13, 15, 18-20, 23, 24, 27, 29, 30, 38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, утвержденных приказом Минкультуры России от 09.02.2012 № 86.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- все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нормативные положения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федеральных государственных образовательных  стандартов и федеральных основных общеобразовательных программ начального общего, основного общего и среднего общего образования, в том числе для детей с ограниченными возможностями здоровья: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   приказ Минпросвещения России от 18.05.2023 № 372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«Об утверждении федеральной образовательной программы начального общего образования», з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арегистрированный в Минюсте России 12.07.2023 № 74229;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приказ Минпросвещения России от 18.05.2023 № 370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«Об утверждении федеральной образовательной программы основного общего образования»,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зарегистрированный в Минюсте России 12.07.2023 № 74223;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приказ Минпросвещения России от 18.05.2023 № 371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«Об утверждении федеральной образовательной программы среднего общего образования»,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зарегистрированный в Минюсте России 12.07.2023 № 74228;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приказ Минпросвещения России от 24.11.2022 № 1023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зарегистрированный в Минюсте России 21.03.2023 № 72654;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приказ Минпросвещения России от 24.11.2022 № 1025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зарегистрированный в Минюсте России 21.03.2023 № 72653;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приказ Минпросвещения России от 24.11.2022 № 1026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зарегистрированный в Минюсте России 30.12.2022 № 71930;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 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приказ Минпросвещения России от 31.05.2021 № 286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«Об утверждении федерального государственного образовательного стандарта начального общего образования»,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зарегистрированный в Минюсте России 05.07.2021 № 64100;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приказ Минпросвещения России от 31.05.2021 № 287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«Об утверждении федерального государственного образовательного стандарта основного общего образования»,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зарегистрированный в Минюсте России 05.07.2021 № 64101;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приказ Минобрнауки России от 17.05.2012 № 413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«Об утверждении федерального государственного образовательного стандарта среднего общего образования»,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зарегистрированный в Минюсте России 07.06.2012 № 24480;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приказ Минобрнауки России от 19.12.2014 № 1598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зарегистрированный в Минюсте России 03.02.2015 № 35847;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 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приказ Минобрнауки России от 19.12.2014 № 1599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  <w:t xml:space="preserve">зарегистрированный в Минюсте России 03.02.2015 № 35850.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  <w:lang w:eastAsia="ru-RU"/>
        </w:rPr>
      </w:r>
    </w:p>
    <w:p>
      <w:pP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</w:p>
    <w:p>
      <w:pPr>
        <w:spacing w:before="6" w:beforeAutospacing="0" w:after="0" w:afterAutospacing="0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000000"/>
          <w:sz w:val="28"/>
          <w:szCs w:val="28"/>
          <w:u w:val="none"/>
          <w14:ligatures w14:val="none"/>
        </w:rPr>
      </w:r>
    </w:p>
    <w:sectPr>
      <w:footnotePr/>
      <w:endnotePr/>
      <w:type w:val="nextPage"/>
      <w:pgSz w:w="11906" w:h="16838" w:orient="portrait"/>
      <w:pgMar w:top="993" w:right="567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spacing w:after="57"/>
      <w:ind w:left="0" w:right="0" w:firstLine="0"/>
    </w:pPr>
  </w:style>
  <w:style w:type="paragraph" w:styleId="824">
    <w:name w:val="toc 2"/>
    <w:basedOn w:val="834"/>
    <w:next w:val="834"/>
    <w:uiPriority w:val="39"/>
    <w:unhideWhenUsed/>
    <w:pPr>
      <w:spacing w:after="57"/>
      <w:ind w:left="283" w:right="0" w:firstLine="0"/>
    </w:pPr>
  </w:style>
  <w:style w:type="paragraph" w:styleId="825">
    <w:name w:val="toc 3"/>
    <w:basedOn w:val="834"/>
    <w:next w:val="834"/>
    <w:uiPriority w:val="39"/>
    <w:unhideWhenUsed/>
    <w:pPr>
      <w:spacing w:after="57"/>
      <w:ind w:left="567" w:right="0" w:firstLine="0"/>
    </w:pPr>
  </w:style>
  <w:style w:type="paragraph" w:styleId="826">
    <w:name w:val="toc 4"/>
    <w:basedOn w:val="834"/>
    <w:next w:val="834"/>
    <w:uiPriority w:val="39"/>
    <w:unhideWhenUsed/>
    <w:pPr>
      <w:spacing w:after="57"/>
      <w:ind w:left="850" w:right="0" w:firstLine="0"/>
    </w:pPr>
  </w:style>
  <w:style w:type="paragraph" w:styleId="827">
    <w:name w:val="toc 5"/>
    <w:basedOn w:val="834"/>
    <w:next w:val="834"/>
    <w:uiPriority w:val="39"/>
    <w:unhideWhenUsed/>
    <w:pPr>
      <w:spacing w:after="57"/>
      <w:ind w:left="1134" w:right="0" w:firstLine="0"/>
    </w:pPr>
  </w:style>
  <w:style w:type="paragraph" w:styleId="828">
    <w:name w:val="toc 6"/>
    <w:basedOn w:val="834"/>
    <w:next w:val="834"/>
    <w:uiPriority w:val="39"/>
    <w:unhideWhenUsed/>
    <w:pPr>
      <w:spacing w:after="57"/>
      <w:ind w:left="1417" w:right="0" w:firstLine="0"/>
    </w:pPr>
  </w:style>
  <w:style w:type="paragraph" w:styleId="829">
    <w:name w:val="toc 7"/>
    <w:basedOn w:val="834"/>
    <w:next w:val="834"/>
    <w:uiPriority w:val="39"/>
    <w:unhideWhenUsed/>
    <w:pPr>
      <w:spacing w:after="57"/>
      <w:ind w:left="1701" w:right="0" w:firstLine="0"/>
    </w:pPr>
  </w:style>
  <w:style w:type="paragraph" w:styleId="830">
    <w:name w:val="toc 8"/>
    <w:basedOn w:val="834"/>
    <w:next w:val="834"/>
    <w:uiPriority w:val="39"/>
    <w:unhideWhenUsed/>
    <w:pPr>
      <w:spacing w:after="57"/>
      <w:ind w:left="1984" w:right="0" w:firstLine="0"/>
    </w:pPr>
  </w:style>
  <w:style w:type="paragraph" w:styleId="831">
    <w:name w:val="toc 9"/>
    <w:basedOn w:val="834"/>
    <w:next w:val="834"/>
    <w:uiPriority w:val="39"/>
    <w:unhideWhenUsed/>
    <w:pPr>
      <w:spacing w:after="57"/>
      <w:ind w:left="2268" w:right="0" w:firstLine="0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table" w:styleId="838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9">
    <w:name w:val="List Paragraph"/>
    <w:basedOn w:val="834"/>
    <w:link w:val="840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0" w:customStyle="1">
    <w:name w:val="Абзац списка Знак"/>
    <w:link w:val="839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1">
    <w:name w:val="Normal (Web)"/>
    <w:basedOn w:val="83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2">
    <w:name w:val="Balloon Text"/>
    <w:basedOn w:val="834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5"/>
    <w:link w:val="842"/>
    <w:uiPriority w:val="99"/>
    <w:semiHidden/>
    <w:rPr>
      <w:rFonts w:ascii="Tahoma" w:hAnsi="Tahoma" w:cs="Tahoma"/>
      <w:sz w:val="16"/>
      <w:szCs w:val="16"/>
    </w:rPr>
  </w:style>
  <w:style w:type="paragraph" w:styleId="844" w:customStyle="1">
    <w:name w:val="ConsPlusTitle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45" w:customStyle="1">
    <w:name w:val="Нет"/>
  </w:style>
  <w:style w:type="paragraph" w:styleId="846" w:customStyle="1">
    <w:name w:val="ConsPlusNormal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51871&amp;dst=100413" TargetMode="External"/><Relationship Id="rId11" Type="http://schemas.openxmlformats.org/officeDocument/2006/relationships/hyperlink" Target="consultantplus://offline/ref=58BDAE3A13D1E49FCAB86E23918B2A578D72CE1558C70CD96F22440298C7E4BEAC36DF0765067B3953BE146799d9R0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2B99-2BB1-49B2-B47C-D30340E1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Иосифовна Савчук</dc:creator>
  <cp:revision>24</cp:revision>
  <dcterms:created xsi:type="dcterms:W3CDTF">2023-04-17T13:43:00Z</dcterms:created>
  <dcterms:modified xsi:type="dcterms:W3CDTF">2025-02-14T11:45:13Z</dcterms:modified>
</cp:coreProperties>
</file>