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8588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13.02.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157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8588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13.02.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157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00586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00586A">
      <w:pPr>
        <w:spacing w:line="240" w:lineRule="auto"/>
        <w:ind w:firstLine="0"/>
        <w:rPr>
          <w:kern w:val="2"/>
          <w:sz w:val="16"/>
          <w:szCs w:val="16"/>
        </w:rPr>
      </w:pPr>
    </w:p>
    <w:p w:rsidR="009572AA" w:rsidRPr="0000586A" w:rsidRDefault="009572AA" w:rsidP="009572AA">
      <w:pPr>
        <w:suppressAutoHyphens w:val="0"/>
        <w:autoSpaceDE w:val="0"/>
        <w:autoSpaceDN w:val="0"/>
        <w:adjustRightInd w:val="0"/>
        <w:spacing w:line="240" w:lineRule="auto"/>
        <w:ind w:right="4818" w:firstLine="0"/>
        <w:rPr>
          <w:kern w:val="0"/>
          <w:sz w:val="28"/>
          <w:szCs w:val="28"/>
          <w:lang w:eastAsia="ru-RU"/>
        </w:rPr>
      </w:pPr>
      <w:r w:rsidRPr="0000586A">
        <w:rPr>
          <w:bCs/>
          <w:kern w:val="0"/>
          <w:sz w:val="28"/>
          <w:szCs w:val="28"/>
          <w:lang w:eastAsia="ru-RU"/>
        </w:rPr>
        <w:t xml:space="preserve">О внесении изменений в постановление </w:t>
      </w:r>
      <w:bookmarkStart w:id="0" w:name="_GoBack"/>
      <w:bookmarkEnd w:id="0"/>
      <w:r w:rsidRPr="0000586A">
        <w:rPr>
          <w:bCs/>
          <w:kern w:val="0"/>
          <w:sz w:val="28"/>
          <w:szCs w:val="28"/>
          <w:lang w:eastAsia="ru-RU"/>
        </w:rPr>
        <w:t xml:space="preserve">администрации Янтиковского муниципального округа от 15.05.2023 № 415 «Об утверждении </w:t>
      </w:r>
      <w:r w:rsidRPr="0000586A">
        <w:rPr>
          <w:kern w:val="0"/>
          <w:sz w:val="28"/>
          <w:szCs w:val="28"/>
          <w:lang w:eastAsia="ru-RU"/>
        </w:rPr>
        <w:t xml:space="preserve">муниципальной программы Янтиковского муниципального округа Чувашской Республики «Развитие потенциала природно-сырьевых ресурсов и обеспечение экологической безопасности» </w:t>
      </w:r>
    </w:p>
    <w:p w:rsidR="0000586A" w:rsidRPr="0000586A" w:rsidRDefault="0000586A" w:rsidP="0000586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</w:p>
    <w:p w:rsidR="0000586A" w:rsidRPr="0000586A" w:rsidRDefault="0000586A" w:rsidP="0000586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16"/>
          <w:szCs w:val="16"/>
          <w:lang w:eastAsia="en-US"/>
        </w:rPr>
      </w:pPr>
    </w:p>
    <w:p w:rsidR="0000586A" w:rsidRPr="0000586A" w:rsidRDefault="0000586A" w:rsidP="0000586A">
      <w:pPr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en-US"/>
        </w:rPr>
      </w:pPr>
      <w:r w:rsidRPr="0000586A">
        <w:rPr>
          <w:kern w:val="0"/>
          <w:sz w:val="28"/>
          <w:szCs w:val="28"/>
          <w:lang w:eastAsia="en-US"/>
        </w:rPr>
        <w:t xml:space="preserve">Администрация Янтиковского муниципального Чувашской Республики </w:t>
      </w:r>
      <w:r>
        <w:rPr>
          <w:kern w:val="0"/>
          <w:sz w:val="28"/>
          <w:szCs w:val="28"/>
          <w:lang w:eastAsia="en-US"/>
        </w:rPr>
        <w:t xml:space="preserve">             </w:t>
      </w:r>
      <w:proofErr w:type="gramStart"/>
      <w:r w:rsidRPr="0000586A">
        <w:rPr>
          <w:b/>
          <w:kern w:val="0"/>
          <w:sz w:val="28"/>
          <w:szCs w:val="28"/>
          <w:lang w:eastAsia="en-US"/>
        </w:rPr>
        <w:t>п</w:t>
      </w:r>
      <w:proofErr w:type="gramEnd"/>
      <w:r w:rsidRPr="0000586A">
        <w:rPr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00586A" w:rsidRPr="0000586A" w:rsidRDefault="0000586A" w:rsidP="0000586A">
      <w:pPr>
        <w:numPr>
          <w:ilvl w:val="0"/>
          <w:numId w:val="18"/>
        </w:numPr>
        <w:tabs>
          <w:tab w:val="left" w:pos="1134"/>
        </w:tabs>
        <w:suppressAutoHyphens w:val="0"/>
        <w:snapToGrid w:val="0"/>
        <w:spacing w:line="360" w:lineRule="auto"/>
        <w:ind w:left="0" w:firstLine="720"/>
        <w:rPr>
          <w:kern w:val="0"/>
          <w:sz w:val="28"/>
          <w:szCs w:val="28"/>
        </w:rPr>
      </w:pPr>
      <w:r w:rsidRPr="0000586A">
        <w:rPr>
          <w:kern w:val="0"/>
          <w:sz w:val="28"/>
          <w:szCs w:val="28"/>
        </w:rPr>
        <w:t>Внести в муниципальную программу Янтиковского муниципального округа Чувашской Республики «Развитие потенциала природно-сырьевых ресурсов и обеспечение экологической безопасности», утвержденную постановлением администрации Янтиковского муниципального округа от 15.05.2023 № 415 (далее – Программа) следующие изменения:</w:t>
      </w:r>
    </w:p>
    <w:p w:rsidR="0000586A" w:rsidRPr="0000586A" w:rsidRDefault="0000586A" w:rsidP="00624E5C">
      <w:pPr>
        <w:keepNext/>
        <w:widowControl w:val="0"/>
        <w:numPr>
          <w:ilvl w:val="0"/>
          <w:numId w:val="17"/>
        </w:numPr>
        <w:tabs>
          <w:tab w:val="left" w:pos="1276"/>
        </w:tabs>
        <w:suppressAutoHyphens w:val="0"/>
        <w:autoSpaceDE w:val="0"/>
        <w:autoSpaceDN w:val="0"/>
        <w:spacing w:line="360" w:lineRule="auto"/>
        <w:ind w:left="0" w:firstLine="709"/>
        <w:contextualSpacing/>
        <w:rPr>
          <w:rFonts w:asciiTheme="minorHAnsi" w:hAnsiTheme="minorHAnsi"/>
          <w:kern w:val="0"/>
          <w:sz w:val="28"/>
          <w:szCs w:val="28"/>
          <w:lang w:eastAsia="ru-RU"/>
        </w:rPr>
      </w:pPr>
      <w:r w:rsidRPr="0000586A">
        <w:rPr>
          <w:rFonts w:eastAsiaTheme="minorHAnsi" w:cstheme="minorBidi"/>
          <w:kern w:val="0"/>
          <w:sz w:val="28"/>
          <w:szCs w:val="28"/>
          <w:lang w:eastAsia="en-US"/>
        </w:rPr>
        <w:t xml:space="preserve">в паспорте Программы </w:t>
      </w:r>
      <w:r w:rsidRPr="0000586A">
        <w:rPr>
          <w:rFonts w:eastAsiaTheme="minorHAnsi"/>
          <w:kern w:val="0"/>
          <w:sz w:val="28"/>
          <w:szCs w:val="28"/>
          <w:lang w:eastAsia="en-US"/>
        </w:rPr>
        <w:t xml:space="preserve">добавить подпрограмму </w:t>
      </w:r>
      <w:r w:rsidRPr="0000586A">
        <w:rPr>
          <w:kern w:val="0"/>
          <w:sz w:val="28"/>
          <w:szCs w:val="28"/>
          <w:lang w:eastAsia="ru-RU"/>
        </w:rPr>
        <w:t>«Использование и охрана земель Янтиковского муниципального округа Чувашской Республики»;</w:t>
      </w:r>
    </w:p>
    <w:p w:rsidR="0000586A" w:rsidRPr="0000586A" w:rsidRDefault="0000586A" w:rsidP="00624E5C">
      <w:pPr>
        <w:keepNext/>
        <w:widowControl w:val="0"/>
        <w:numPr>
          <w:ilvl w:val="0"/>
          <w:numId w:val="17"/>
        </w:numPr>
        <w:tabs>
          <w:tab w:val="left" w:pos="1276"/>
        </w:tabs>
        <w:suppressAutoHyphens w:val="0"/>
        <w:autoSpaceDE w:val="0"/>
        <w:autoSpaceDN w:val="0"/>
        <w:spacing w:after="200"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00586A">
        <w:rPr>
          <w:kern w:val="0"/>
          <w:sz w:val="28"/>
          <w:szCs w:val="28"/>
          <w:lang w:eastAsia="ru-RU"/>
        </w:rPr>
        <w:t>дополнить приложением № 6 к программе, согласно приложению</w:t>
      </w:r>
      <w:r w:rsidR="00624E5C">
        <w:rPr>
          <w:kern w:val="0"/>
          <w:sz w:val="28"/>
          <w:szCs w:val="28"/>
          <w:lang w:eastAsia="ru-RU"/>
        </w:rPr>
        <w:t xml:space="preserve">          </w:t>
      </w:r>
      <w:r w:rsidRPr="0000586A">
        <w:rPr>
          <w:kern w:val="0"/>
          <w:sz w:val="28"/>
          <w:szCs w:val="28"/>
          <w:lang w:eastAsia="ru-RU"/>
        </w:rPr>
        <w:t xml:space="preserve"> №</w:t>
      </w:r>
      <w:r>
        <w:rPr>
          <w:kern w:val="0"/>
          <w:sz w:val="28"/>
          <w:szCs w:val="28"/>
          <w:lang w:eastAsia="ru-RU"/>
        </w:rPr>
        <w:t xml:space="preserve"> </w:t>
      </w:r>
      <w:r w:rsidRPr="0000586A">
        <w:rPr>
          <w:kern w:val="0"/>
          <w:sz w:val="28"/>
          <w:szCs w:val="28"/>
          <w:lang w:eastAsia="ru-RU"/>
        </w:rPr>
        <w:t>1 к настоящему постановлению</w:t>
      </w:r>
      <w:r w:rsidRPr="0000586A">
        <w:rPr>
          <w:rFonts w:eastAsiaTheme="minorHAnsi" w:cstheme="minorBidi"/>
          <w:kern w:val="0"/>
          <w:sz w:val="28"/>
          <w:szCs w:val="28"/>
          <w:lang w:eastAsia="en-US"/>
        </w:rPr>
        <w:t>;</w:t>
      </w:r>
    </w:p>
    <w:p w:rsidR="0000586A" w:rsidRPr="0000586A" w:rsidRDefault="00624E5C" w:rsidP="00624E5C">
      <w:pPr>
        <w:keepNext/>
        <w:widowControl w:val="0"/>
        <w:tabs>
          <w:tab w:val="left" w:pos="5670"/>
        </w:tabs>
        <w:suppressAutoHyphens w:val="0"/>
        <w:autoSpaceDE w:val="0"/>
        <w:autoSpaceDN w:val="0"/>
        <w:spacing w:after="200" w:line="360" w:lineRule="auto"/>
        <w:contextualSpacing/>
        <w:rPr>
          <w:kern w:val="0"/>
          <w:sz w:val="28"/>
          <w:szCs w:val="28"/>
          <w:lang w:eastAsia="ru-RU"/>
        </w:rPr>
      </w:pPr>
      <w:r>
        <w:rPr>
          <w:rFonts w:eastAsiaTheme="minorHAnsi" w:cstheme="minorBidi"/>
          <w:kern w:val="0"/>
          <w:sz w:val="28"/>
          <w:szCs w:val="28"/>
          <w:lang w:eastAsia="en-US"/>
        </w:rPr>
        <w:t xml:space="preserve">3) </w:t>
      </w:r>
      <w:r w:rsidR="0000586A" w:rsidRPr="0000586A">
        <w:rPr>
          <w:rFonts w:eastAsiaTheme="minorHAnsi" w:cstheme="minorBidi"/>
          <w:kern w:val="0"/>
          <w:sz w:val="28"/>
          <w:szCs w:val="28"/>
          <w:lang w:eastAsia="en-US"/>
        </w:rPr>
        <w:t xml:space="preserve">подпрограмму </w:t>
      </w:r>
      <w:r w:rsidR="0000586A" w:rsidRPr="0000586A">
        <w:rPr>
          <w:kern w:val="0"/>
          <w:sz w:val="28"/>
          <w:szCs w:val="28"/>
          <w:lang w:eastAsia="ru-RU"/>
        </w:rPr>
        <w:t xml:space="preserve">«Использование и охрана земель Янтиковского муниципального округа Чувашской Республики» дополнить приложением, </w:t>
      </w:r>
      <w:r w:rsidR="0000586A" w:rsidRPr="0000586A">
        <w:rPr>
          <w:kern w:val="0"/>
          <w:sz w:val="28"/>
          <w:szCs w:val="28"/>
          <w:lang w:eastAsia="ru-RU"/>
        </w:rPr>
        <w:lastRenderedPageBreak/>
        <w:t>согласно приложению № 2 к настоящему постановлению.</w:t>
      </w:r>
    </w:p>
    <w:p w:rsidR="0000586A" w:rsidRPr="0000586A" w:rsidRDefault="0000586A" w:rsidP="0000586A">
      <w:pPr>
        <w:keepNext/>
        <w:widowControl w:val="0"/>
        <w:numPr>
          <w:ilvl w:val="0"/>
          <w:numId w:val="18"/>
        </w:numPr>
        <w:tabs>
          <w:tab w:val="left" w:pos="1134"/>
        </w:tabs>
        <w:suppressAutoHyphens w:val="0"/>
        <w:autoSpaceDE w:val="0"/>
        <w:autoSpaceDN w:val="0"/>
        <w:spacing w:after="200" w:line="360" w:lineRule="auto"/>
        <w:ind w:left="0" w:firstLine="709"/>
        <w:contextualSpacing/>
        <w:rPr>
          <w:rFonts w:asciiTheme="minorHAnsi" w:hAnsiTheme="minorHAnsi"/>
          <w:kern w:val="0"/>
          <w:sz w:val="28"/>
          <w:szCs w:val="28"/>
          <w:lang w:eastAsia="ru-RU"/>
        </w:rPr>
      </w:pPr>
      <w:r w:rsidRPr="0000586A">
        <w:rPr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0586A" w:rsidRDefault="0000586A" w:rsidP="0000586A">
      <w:pPr>
        <w:keepNext/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0586A" w:rsidRPr="0000586A" w:rsidRDefault="0000586A" w:rsidP="0000586A">
      <w:pPr>
        <w:keepNext/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0586A" w:rsidRPr="0000586A" w:rsidRDefault="0000586A" w:rsidP="0000586A">
      <w:pPr>
        <w:suppressAutoHyphens w:val="0"/>
        <w:spacing w:after="200" w:line="240" w:lineRule="auto"/>
        <w:ind w:firstLine="0"/>
        <w:contextualSpacing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00586A">
        <w:rPr>
          <w:rFonts w:eastAsiaTheme="minorHAnsi"/>
          <w:kern w:val="0"/>
          <w:sz w:val="28"/>
          <w:szCs w:val="28"/>
          <w:lang w:eastAsia="en-US"/>
        </w:rPr>
        <w:t xml:space="preserve">Глава Янтиковского </w:t>
      </w:r>
    </w:p>
    <w:p w:rsidR="0000586A" w:rsidRPr="0000586A" w:rsidRDefault="0000586A" w:rsidP="0000586A">
      <w:pPr>
        <w:suppressAutoHyphens w:val="0"/>
        <w:spacing w:after="200" w:line="240" w:lineRule="auto"/>
        <w:ind w:firstLine="0"/>
        <w:contextualSpacing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00586A">
        <w:rPr>
          <w:rFonts w:eastAsiaTheme="minorHAnsi"/>
          <w:kern w:val="0"/>
          <w:sz w:val="28"/>
          <w:szCs w:val="28"/>
          <w:lang w:eastAsia="en-US"/>
        </w:rPr>
        <w:t>муниципального округ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а                    </w:t>
      </w:r>
      <w:r w:rsidRPr="0000586A">
        <w:rPr>
          <w:rFonts w:eastAsiaTheme="minorHAnsi"/>
          <w:kern w:val="0"/>
          <w:sz w:val="28"/>
          <w:szCs w:val="28"/>
          <w:lang w:eastAsia="en-US"/>
        </w:rPr>
        <w:t xml:space="preserve">                                                О.А. Ломоносов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contextualSpacing/>
        <w:jc w:val="left"/>
        <w:rPr>
          <w:kern w:val="0"/>
          <w:sz w:val="28"/>
          <w:szCs w:val="28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contextualSpacing/>
        <w:jc w:val="left"/>
        <w:rPr>
          <w:kern w:val="0"/>
          <w:sz w:val="28"/>
          <w:szCs w:val="28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contextualSpacing/>
        <w:jc w:val="left"/>
        <w:rPr>
          <w:kern w:val="0"/>
          <w:sz w:val="28"/>
          <w:szCs w:val="28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contextualSpacing/>
        <w:jc w:val="right"/>
        <w:rPr>
          <w:kern w:val="0"/>
          <w:lang w:eastAsia="ru-RU"/>
        </w:rPr>
        <w:sectPr w:rsidR="0000586A" w:rsidRPr="0000586A" w:rsidSect="00870CB0">
          <w:headerReference w:type="even" r:id="rId10"/>
          <w:headerReference w:type="default" r:id="rId11"/>
          <w:footerReference w:type="default" r:id="rId12"/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left="5670" w:firstLine="0"/>
        <w:contextualSpacing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lastRenderedPageBreak/>
        <w:t xml:space="preserve">Приложение № 1 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left="5670" w:firstLine="0"/>
        <w:contextualSpacing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t xml:space="preserve">к постановлению администрации Янтиковского муниципального округа </w:t>
      </w:r>
      <w:r w:rsidR="00C8588A">
        <w:rPr>
          <w:kern w:val="0"/>
          <w:lang w:eastAsia="ru-RU"/>
        </w:rPr>
        <w:t>от 13.02..2024 № 157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left="5670" w:firstLine="0"/>
        <w:contextualSpacing/>
        <w:jc w:val="left"/>
        <w:rPr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left="5670" w:firstLine="0"/>
        <w:contextualSpacing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t>Приложение № 6</w:t>
      </w:r>
    </w:p>
    <w:p w:rsid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left="5670" w:firstLine="0"/>
        <w:contextualSpacing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t>к муниципальной программе Янтиковского муниципального округа Чувашской Республики «Развитие потенциала природно-сырьевых ресурсов и повышение экологической безопасности» на 2023-2035 годы</w:t>
      </w:r>
    </w:p>
    <w:p w:rsid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left="5670" w:firstLine="0"/>
        <w:contextualSpacing/>
        <w:jc w:val="left"/>
        <w:rPr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left="5670" w:firstLine="0"/>
        <w:contextualSpacing/>
        <w:jc w:val="left"/>
        <w:rPr>
          <w:kern w:val="0"/>
          <w:lang w:eastAsia="ru-RU"/>
        </w:rPr>
      </w:pPr>
    </w:p>
    <w:p w:rsidR="0000586A" w:rsidRPr="0000586A" w:rsidRDefault="0000586A" w:rsidP="0000586A">
      <w:pPr>
        <w:keepNext/>
        <w:widowControl w:val="0"/>
        <w:suppressAutoHyphens w:val="0"/>
        <w:autoSpaceDE w:val="0"/>
        <w:autoSpaceDN w:val="0"/>
        <w:spacing w:before="360" w:line="230" w:lineRule="auto"/>
        <w:ind w:right="-190" w:firstLine="0"/>
        <w:jc w:val="center"/>
        <w:rPr>
          <w:b/>
          <w:spacing w:val="40"/>
          <w:kern w:val="0"/>
          <w:lang w:eastAsia="ru-RU"/>
        </w:rPr>
      </w:pPr>
      <w:r w:rsidRPr="0000586A">
        <w:rPr>
          <w:b/>
          <w:spacing w:val="40"/>
          <w:kern w:val="0"/>
          <w:lang w:eastAsia="ru-RU"/>
        </w:rPr>
        <w:t>ПОДПРОГРАММА</w:t>
      </w:r>
    </w:p>
    <w:p w:rsidR="0000586A" w:rsidRPr="0000586A" w:rsidRDefault="0000586A" w:rsidP="0000586A">
      <w:pPr>
        <w:keepNext/>
        <w:widowControl w:val="0"/>
        <w:suppressAutoHyphens w:val="0"/>
        <w:autoSpaceDE w:val="0"/>
        <w:autoSpaceDN w:val="0"/>
        <w:spacing w:line="230" w:lineRule="auto"/>
        <w:ind w:firstLine="0"/>
        <w:jc w:val="center"/>
        <w:rPr>
          <w:b/>
          <w:kern w:val="0"/>
          <w:lang w:eastAsia="ru-RU"/>
        </w:rPr>
      </w:pPr>
      <w:r w:rsidRPr="0000586A">
        <w:rPr>
          <w:b/>
          <w:kern w:val="0"/>
          <w:lang w:eastAsia="ru-RU"/>
        </w:rPr>
        <w:t xml:space="preserve"> «Использование и охрана земель</w:t>
      </w:r>
      <w:r w:rsidRPr="0000586A">
        <w:rPr>
          <w:kern w:val="0"/>
          <w:lang w:eastAsia="ru-RU"/>
        </w:rPr>
        <w:t xml:space="preserve"> </w:t>
      </w:r>
      <w:r w:rsidRPr="0000586A">
        <w:rPr>
          <w:b/>
          <w:kern w:val="0"/>
          <w:lang w:eastAsia="ru-RU"/>
        </w:rPr>
        <w:t>Янтиковского муниципального округа Чувашской Республики»   муниципальной программе Янтиковского муниципального округа Чувашской Республики «Развитие потенциала природно-сырьевых ресурсов и повышение экологической безопасности»</w:t>
      </w:r>
      <w:r w:rsidRPr="0000586A">
        <w:rPr>
          <w:rFonts w:ascii="Calibri" w:hAnsi="Calibri" w:cs="Calibri"/>
          <w:kern w:val="0"/>
          <w:sz w:val="22"/>
          <w:szCs w:val="22"/>
          <w:lang w:eastAsia="ru-RU"/>
        </w:rPr>
        <w:t xml:space="preserve"> </w:t>
      </w:r>
      <w:r w:rsidRPr="0000586A">
        <w:rPr>
          <w:b/>
          <w:kern w:val="0"/>
          <w:sz w:val="22"/>
          <w:szCs w:val="22"/>
          <w:lang w:eastAsia="ru-RU"/>
        </w:rPr>
        <w:t>на 2023-2035 годы</w:t>
      </w:r>
    </w:p>
    <w:tbl>
      <w:tblPr>
        <w:tblW w:w="9701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244"/>
        <w:gridCol w:w="6181"/>
      </w:tblGrid>
      <w:tr w:rsidR="0000586A" w:rsidRPr="0000586A" w:rsidTr="00AC0432">
        <w:trPr>
          <w:trHeight w:val="2"/>
        </w:trPr>
        <w:tc>
          <w:tcPr>
            <w:tcW w:w="9701" w:type="dxa"/>
            <w:gridSpan w:val="3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before="120" w:after="120" w:line="230" w:lineRule="auto"/>
              <w:ind w:firstLine="0"/>
              <w:jc w:val="left"/>
              <w:rPr>
                <w:caps/>
                <w:kern w:val="0"/>
                <w:lang w:eastAsia="ru-RU"/>
              </w:rPr>
            </w:pPr>
          </w:p>
        </w:tc>
      </w:tr>
      <w:tr w:rsidR="0000586A" w:rsidRPr="0000586A" w:rsidTr="00AC0432">
        <w:trPr>
          <w:trHeight w:val="2"/>
        </w:trPr>
        <w:tc>
          <w:tcPr>
            <w:tcW w:w="0" w:type="auto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Batang"/>
                <w:kern w:val="0"/>
                <w:lang w:eastAsia="ru-RU"/>
              </w:rPr>
            </w:pPr>
            <w:r w:rsidRPr="0000586A">
              <w:rPr>
                <w:rFonts w:eastAsia="Batang"/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outlineLvl w:val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–</w:t>
            </w:r>
          </w:p>
        </w:tc>
        <w:tc>
          <w:tcPr>
            <w:tcW w:w="6181" w:type="dxa"/>
          </w:tcPr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>Отдел экономики, земельных и имущественных отношений администрации Янтиковского  муниципального округа Чувашской Республики</w:t>
            </w:r>
          </w:p>
        </w:tc>
      </w:tr>
      <w:tr w:rsidR="0000586A" w:rsidRPr="0000586A" w:rsidTr="00AC0432">
        <w:trPr>
          <w:trHeight w:val="2"/>
        </w:trPr>
        <w:tc>
          <w:tcPr>
            <w:tcW w:w="0" w:type="auto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Batang"/>
                <w:kern w:val="0"/>
                <w:lang w:eastAsia="ru-RU"/>
              </w:rPr>
            </w:pPr>
            <w:r w:rsidRPr="0000586A">
              <w:rPr>
                <w:rFonts w:eastAsia="Batang"/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</w:tcPr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>–</w:t>
            </w:r>
          </w:p>
        </w:tc>
        <w:tc>
          <w:tcPr>
            <w:tcW w:w="6181" w:type="dxa"/>
          </w:tcPr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 xml:space="preserve">Отдел сельского хозяйства и экологии администрации Янтиковского муниципального округа Чувашской Республики, </w:t>
            </w:r>
          </w:p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>о</w:t>
            </w:r>
            <w:r w:rsidRPr="0000586A">
              <w:rPr>
                <w:color w:val="000000"/>
                <w:kern w:val="0"/>
                <w:lang w:eastAsia="en-US"/>
              </w:rPr>
              <w:t>тдел строительства, дорожного хозяйства и ЖКХ</w:t>
            </w:r>
            <w:r w:rsidRPr="0000586A">
              <w:rPr>
                <w:kern w:val="0"/>
                <w:lang w:eastAsia="en-US"/>
              </w:rPr>
              <w:t xml:space="preserve">, территориальные отделы Управления по благоустройству и развитию территорий администрации Янтиковского муниципального округа </w:t>
            </w:r>
            <w:r w:rsidRPr="0000586A">
              <w:rPr>
                <w:color w:val="000000"/>
                <w:kern w:val="0"/>
                <w:lang w:eastAsia="en-US"/>
              </w:rPr>
              <w:t>Чувашской Республики;</w:t>
            </w:r>
          </w:p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en-US"/>
              </w:rPr>
            </w:pPr>
            <w:r w:rsidRPr="0000586A">
              <w:rPr>
                <w:color w:val="000000"/>
                <w:kern w:val="0"/>
                <w:lang w:eastAsia="en-US"/>
              </w:rPr>
              <w:t xml:space="preserve"> учреждения, организации, предприятия АПК, промышленные предприятия, расположенные на территории Янтиковского муниципального округа Чувашской Республики (по согласованию)</w:t>
            </w:r>
          </w:p>
        </w:tc>
      </w:tr>
      <w:tr w:rsidR="0000586A" w:rsidRPr="0000586A" w:rsidTr="00AC0432">
        <w:trPr>
          <w:trHeight w:val="2"/>
        </w:trPr>
        <w:tc>
          <w:tcPr>
            <w:tcW w:w="0" w:type="auto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Batang"/>
                <w:kern w:val="0"/>
                <w:lang w:eastAsia="ru-RU"/>
              </w:rPr>
            </w:pPr>
            <w:r w:rsidRPr="0000586A">
              <w:rPr>
                <w:rFonts w:eastAsia="Batang"/>
                <w:kern w:val="0"/>
                <w:lang w:eastAsia="ru-RU"/>
              </w:rPr>
              <w:t>Участники подпрограммы</w:t>
            </w:r>
          </w:p>
        </w:tc>
        <w:tc>
          <w:tcPr>
            <w:tcW w:w="0" w:type="auto"/>
          </w:tcPr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>-</w:t>
            </w:r>
          </w:p>
        </w:tc>
        <w:tc>
          <w:tcPr>
            <w:tcW w:w="6181" w:type="dxa"/>
          </w:tcPr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 xml:space="preserve">финансовый отдел администрации Янтиковского муниципального округа Чувашской Республики, </w:t>
            </w:r>
          </w:p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 xml:space="preserve">отдел строительства, ЖКХ и дорожного хозяйства Управления по благоустройству и развитию территорий администрации Янтиковского муниципального округа Чувашской Республики, </w:t>
            </w:r>
          </w:p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00586A" w:rsidRPr="0000586A" w:rsidTr="00AC0432">
        <w:trPr>
          <w:trHeight w:val="2"/>
        </w:trPr>
        <w:tc>
          <w:tcPr>
            <w:tcW w:w="0" w:type="auto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Batang"/>
                <w:kern w:val="0"/>
                <w:lang w:eastAsia="ru-RU"/>
              </w:rPr>
            </w:pPr>
            <w:r w:rsidRPr="0000586A">
              <w:rPr>
                <w:rFonts w:eastAsia="Batang"/>
                <w:kern w:val="0"/>
                <w:lang w:eastAsia="ru-RU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>–</w:t>
            </w:r>
          </w:p>
        </w:tc>
        <w:tc>
          <w:tcPr>
            <w:tcW w:w="6181" w:type="dxa"/>
          </w:tcPr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</w:t>
            </w:r>
            <w:r w:rsidRPr="0000586A">
              <w:rPr>
                <w:kern w:val="0"/>
                <w:lang w:eastAsia="en-US"/>
              </w:rPr>
              <w:lastRenderedPageBreak/>
              <w:t>улучшения земель</w:t>
            </w:r>
          </w:p>
        </w:tc>
      </w:tr>
      <w:tr w:rsidR="0000586A" w:rsidRPr="0000586A" w:rsidTr="00AC0432">
        <w:trPr>
          <w:trHeight w:val="2"/>
        </w:trPr>
        <w:tc>
          <w:tcPr>
            <w:tcW w:w="0" w:type="auto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Batang"/>
                <w:kern w:val="0"/>
                <w:lang w:eastAsia="ru-RU"/>
              </w:rPr>
            </w:pPr>
            <w:r w:rsidRPr="0000586A">
              <w:rPr>
                <w:rFonts w:eastAsia="Batang"/>
                <w:kern w:val="0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0" w:type="auto"/>
          </w:tcPr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>–</w:t>
            </w:r>
          </w:p>
        </w:tc>
        <w:tc>
          <w:tcPr>
            <w:tcW w:w="6181" w:type="dxa"/>
          </w:tcPr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Batang"/>
                <w:kern w:val="0"/>
                <w:lang w:eastAsia="ru-RU"/>
              </w:rPr>
            </w:pPr>
            <w:r w:rsidRPr="0000586A">
              <w:rPr>
                <w:rFonts w:eastAsia="Batang"/>
                <w:kern w:val="0"/>
                <w:lang w:eastAsia="ru-RU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00586A" w:rsidRPr="0000586A" w:rsidTr="00AC0432">
        <w:trPr>
          <w:trHeight w:val="2"/>
        </w:trPr>
        <w:tc>
          <w:tcPr>
            <w:tcW w:w="0" w:type="auto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Batang"/>
                <w:kern w:val="0"/>
                <w:lang w:eastAsia="ru-RU"/>
              </w:rPr>
            </w:pPr>
            <w:r w:rsidRPr="0000586A">
              <w:rPr>
                <w:rFonts w:eastAsia="Batang"/>
                <w:kern w:val="0"/>
                <w:lang w:eastAsia="ru-RU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kern w:val="0"/>
                <w:lang w:eastAsia="en-US"/>
              </w:rPr>
            </w:pPr>
          </w:p>
        </w:tc>
        <w:tc>
          <w:tcPr>
            <w:tcW w:w="6181" w:type="dxa"/>
          </w:tcPr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>к 2036 году предусматривается достижение следующих показателей:</w:t>
            </w:r>
          </w:p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>количество проведенных мероприятий по вопросам охраны земель;</w:t>
            </w:r>
          </w:p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>эффективное использование земель;</w:t>
            </w:r>
          </w:p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>площадь убранной территории к общей площади населенного пункта;</w:t>
            </w:r>
          </w:p>
          <w:p w:rsidR="0000586A" w:rsidRPr="0000586A" w:rsidRDefault="0000586A" w:rsidP="000058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455" w:firstLine="0"/>
              <w:rPr>
                <w:color w:val="FF0000"/>
                <w:kern w:val="0"/>
                <w:lang w:eastAsia="en-US"/>
              </w:rPr>
            </w:pPr>
            <w:r w:rsidRPr="0000586A">
              <w:rPr>
                <w:kern w:val="0"/>
                <w:lang w:eastAsia="en-US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</w:tr>
      <w:tr w:rsidR="0000586A" w:rsidRPr="0000586A" w:rsidTr="00AC0432">
        <w:trPr>
          <w:trHeight w:val="19"/>
        </w:trPr>
        <w:tc>
          <w:tcPr>
            <w:tcW w:w="0" w:type="auto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Batang"/>
                <w:kern w:val="0"/>
                <w:lang w:eastAsia="ru-RU"/>
              </w:rPr>
            </w:pPr>
            <w:r w:rsidRPr="0000586A">
              <w:rPr>
                <w:rFonts w:eastAsia="Batang"/>
                <w:kern w:val="0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–</w:t>
            </w:r>
          </w:p>
        </w:tc>
        <w:tc>
          <w:tcPr>
            <w:tcW w:w="6181" w:type="dxa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2023–2035 годы, в том числе: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 xml:space="preserve">1 этап – 2023–2025 годы; 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2 этап – 2026–2030 годы;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3 этап – 2031–2035 годы</w:t>
            </w:r>
          </w:p>
        </w:tc>
      </w:tr>
      <w:tr w:rsidR="0000586A" w:rsidRPr="0000586A" w:rsidTr="00AC0432">
        <w:trPr>
          <w:trHeight w:val="167"/>
        </w:trPr>
        <w:tc>
          <w:tcPr>
            <w:tcW w:w="0" w:type="auto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  <w:r w:rsidRPr="0000586A">
              <w:rPr>
                <w:rFonts w:eastAsia="Batang"/>
                <w:kern w:val="0"/>
                <w:lang w:eastAsia="ru-RU"/>
              </w:rPr>
              <w:t>Объемы финансирования подпрограммы с разбивкой по годам реализации</w:t>
            </w:r>
            <w:r w:rsidRPr="0000586A">
              <w:rPr>
                <w:kern w:val="0"/>
                <w:lang w:eastAsia="ru-RU"/>
              </w:rPr>
              <w:t xml:space="preserve"> </w:t>
            </w:r>
            <w:r w:rsidRPr="0000586A">
              <w:rPr>
                <w:rFonts w:eastAsia="Batang"/>
                <w:kern w:val="0"/>
                <w:lang w:eastAsia="ru-RU"/>
              </w:rPr>
              <w:t xml:space="preserve"> подпрограммы программы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  <w:r w:rsidRPr="0000586A">
              <w:rPr>
                <w:rFonts w:eastAsia="Batang"/>
                <w:kern w:val="0"/>
                <w:lang w:eastAsia="ru-RU"/>
              </w:rPr>
              <w:t xml:space="preserve">Ожидаемые результаты 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  <w:r w:rsidRPr="0000586A">
              <w:rPr>
                <w:rFonts w:eastAsia="Batang"/>
                <w:kern w:val="0"/>
                <w:lang w:eastAsia="ru-RU"/>
              </w:rPr>
              <w:t>реализации подпрограммы -</w:t>
            </w:r>
          </w:p>
        </w:tc>
        <w:tc>
          <w:tcPr>
            <w:tcW w:w="0" w:type="auto"/>
          </w:tcPr>
          <w:p w:rsidR="0000586A" w:rsidRDefault="0000586A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–</w:t>
            </w: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453231" w:rsidRPr="0000586A" w:rsidRDefault="00453231" w:rsidP="00453231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181" w:type="dxa"/>
          </w:tcPr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общий объем финансирования подпрограммы составляет 0,0 тыс. рублей, в том числе: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1 этап – 0,0 тыс. рублей, в том числе: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в 2023 году – 0,0 рублей;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в 2024 году – 0,0 рублей;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в 2025 году – 0,0 рублей;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2 этап – 0,0 рублей;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3 этап – 0,0 рублей;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из них: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средства федерального бюджета – 0,0 рублей;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средства республиканского бюджета Чувашской Республики – 0,0 рублей;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средства бюджета Янтиковского муниципального округа Чувашской Республики – 0,0 рублей;</w:t>
            </w: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средства внебюджетных источников – 0,0 рублей.</w:t>
            </w:r>
          </w:p>
          <w:p w:rsid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Объемы бюджетных ассигнований уточняются ежегодно при формировании бюджета Янтиковского муниципального округа Чувашской Республики на очередной финансовый год и плановый период.</w:t>
            </w:r>
          </w:p>
          <w:p w:rsidR="00453231" w:rsidRPr="0000586A" w:rsidRDefault="00453231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  <w:p w:rsidR="0000586A" w:rsidRPr="0000586A" w:rsidRDefault="0000586A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  <w:r w:rsidRPr="0000586A">
              <w:rPr>
                <w:kern w:val="0"/>
                <w:lang w:eastAsia="ru-RU"/>
              </w:rPr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жизни.</w:t>
            </w:r>
          </w:p>
        </w:tc>
      </w:tr>
      <w:tr w:rsidR="00453231" w:rsidRPr="0000586A" w:rsidTr="00AC0432">
        <w:trPr>
          <w:trHeight w:val="167"/>
        </w:trPr>
        <w:tc>
          <w:tcPr>
            <w:tcW w:w="0" w:type="auto"/>
          </w:tcPr>
          <w:p w:rsidR="00453231" w:rsidRPr="0000586A" w:rsidRDefault="00453231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rFonts w:eastAsia="Batang"/>
                <w:kern w:val="0"/>
                <w:lang w:eastAsia="ru-RU"/>
              </w:rPr>
            </w:pPr>
          </w:p>
        </w:tc>
        <w:tc>
          <w:tcPr>
            <w:tcW w:w="0" w:type="auto"/>
          </w:tcPr>
          <w:p w:rsidR="00453231" w:rsidRPr="0000586A" w:rsidRDefault="00453231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6181" w:type="dxa"/>
          </w:tcPr>
          <w:p w:rsidR="00453231" w:rsidRPr="0000586A" w:rsidRDefault="00453231" w:rsidP="0000586A">
            <w:pPr>
              <w:widowControl w:val="0"/>
              <w:suppressAutoHyphens w:val="0"/>
              <w:autoSpaceDE w:val="0"/>
              <w:autoSpaceDN w:val="0"/>
              <w:spacing w:line="247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00586A" w:rsidRPr="0000586A" w:rsidRDefault="0000586A" w:rsidP="0000586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00586A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Р</w:t>
      </w:r>
      <w:r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аздел I. </w:t>
      </w:r>
      <w:r w:rsidRPr="0000586A">
        <w:rPr>
          <w:rFonts w:ascii="Times New Roman CYR" w:hAnsi="Times New Roman CYR" w:cs="Times New Roman CYR"/>
          <w:b/>
          <w:bCs/>
          <w:kern w:val="0"/>
          <w:lang w:eastAsia="ru-RU"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Янтиковского муниципального округа Чувашской Республики в реализации подпрограммы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00586A">
        <w:rPr>
          <w:rFonts w:ascii="Times New Roman CYR" w:hAnsi="Times New Roman CYR" w:cs="Times New Roman CYR"/>
          <w:kern w:val="0"/>
          <w:lang w:eastAsia="ru-RU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00586A">
        <w:rPr>
          <w:rFonts w:ascii="Times New Roman CYR" w:hAnsi="Times New Roman CYR" w:cs="Times New Roman CYR"/>
          <w:kern w:val="0"/>
          <w:lang w:eastAsia="ru-RU"/>
        </w:rPr>
        <w:t>Муниципальная подпрограмма по использованию и охране земель на территории  Янтиковского муниципального округа (далее - Подпрограмма)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00586A">
        <w:rPr>
          <w:rFonts w:ascii="Times New Roman CYR" w:hAnsi="Times New Roman CYR" w:cs="Times New Roman CYR"/>
          <w:kern w:val="0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 экосистемы.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00586A">
        <w:rPr>
          <w:rFonts w:ascii="Times New Roman CYR" w:hAnsi="Times New Roman CYR" w:cs="Times New Roman CYR"/>
          <w:kern w:val="0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00586A">
        <w:rPr>
          <w:rFonts w:ascii="Times New Roman CYR" w:hAnsi="Times New Roman CYR" w:cs="Times New Roman CYR"/>
          <w:kern w:val="0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00586A">
        <w:rPr>
          <w:rFonts w:ascii="Times New Roman CYR" w:hAnsi="Times New Roman CYR" w:cs="Times New Roman CYR"/>
          <w:kern w:val="0"/>
          <w:lang w:eastAsia="ru-RU"/>
        </w:rPr>
        <w:t>Проблемы устойчивого социально-экономического развития и экологически безопасной жизнедеятельности его жителей на современном этапе тесно связаны с решением вопросов охраны и использования земель.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00586A">
        <w:rPr>
          <w:rFonts w:ascii="Times New Roman CYR" w:hAnsi="Times New Roman CYR" w:cs="Times New Roman CYR"/>
          <w:kern w:val="0"/>
          <w:lang w:eastAsia="ru-RU"/>
        </w:rPr>
        <w:t xml:space="preserve">Экологическое состояние земель в среднем хорошее, но стихийное произрастание сорных растений, кустарников и мелколесья, </w:t>
      </w:r>
      <w:proofErr w:type="gramStart"/>
      <w:r w:rsidRPr="0000586A">
        <w:rPr>
          <w:rFonts w:ascii="Times New Roman CYR" w:hAnsi="Times New Roman CYR" w:cs="Times New Roman CYR"/>
          <w:kern w:val="0"/>
          <w:lang w:eastAsia="ru-RU"/>
        </w:rPr>
        <w:t>оказывают отрицательное влияние на окружающую среду и усугубляют</w:t>
      </w:r>
      <w:proofErr w:type="gramEnd"/>
      <w:r w:rsidRPr="0000586A">
        <w:rPr>
          <w:rFonts w:ascii="Times New Roman CYR" w:hAnsi="Times New Roman CYR" w:cs="Times New Roman CYR"/>
          <w:kern w:val="0"/>
          <w:lang w:eastAsia="ru-RU"/>
        </w:rPr>
        <w:t xml:space="preserve"> экологическую обстановку.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b/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00586A">
        <w:rPr>
          <w:rFonts w:ascii="Times New Roman CYR" w:hAnsi="Times New Roman CYR" w:cs="Times New Roman CYR"/>
          <w:b/>
          <w:kern w:val="0"/>
          <w:lang w:eastAsia="ru-RU"/>
        </w:rPr>
        <w:t xml:space="preserve">Раздел </w:t>
      </w:r>
      <w:r w:rsidRPr="0000586A">
        <w:rPr>
          <w:rFonts w:ascii="Times New Roman CYR" w:hAnsi="Times New Roman CYR" w:cs="Times New Roman CYR"/>
          <w:b/>
          <w:kern w:val="0"/>
          <w:lang w:val="en-US" w:eastAsia="ru-RU"/>
        </w:rPr>
        <w:t>II</w:t>
      </w:r>
      <w:r w:rsidRPr="0000586A">
        <w:rPr>
          <w:rFonts w:ascii="Times New Roman CYR" w:hAnsi="Times New Roman CYR" w:cs="Times New Roman CYR"/>
          <w:b/>
          <w:kern w:val="0"/>
          <w:lang w:eastAsia="ru-RU"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00586A">
        <w:rPr>
          <w:rFonts w:ascii="Times New Roman CYR" w:hAnsi="Times New Roman CYR" w:cs="Times New Roman CYR"/>
          <w:kern w:val="0"/>
          <w:lang w:eastAsia="ru-RU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деятельности, подотчетность и подконтрольность, эффективность.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00586A">
        <w:rPr>
          <w:rFonts w:ascii="Times New Roman CYR" w:hAnsi="Times New Roman CYR" w:cs="Times New Roman CYR"/>
          <w:kern w:val="0"/>
          <w:lang w:eastAsia="ru-RU"/>
        </w:rPr>
        <w:t>Целью муниципальной подпрограммы является предотвращение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поселения и улучшения земель.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00586A">
        <w:rPr>
          <w:rFonts w:ascii="Times New Roman CYR" w:hAnsi="Times New Roman CYR" w:cs="Times New Roman CYR"/>
          <w:kern w:val="0"/>
          <w:lang w:eastAsia="ru-RU"/>
        </w:rPr>
        <w:t>Для достижения поставленной цели предполагается решение задач: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00586A">
        <w:rPr>
          <w:rFonts w:ascii="Times New Roman CYR" w:hAnsi="Times New Roman CYR" w:cs="Times New Roman CYR"/>
          <w:kern w:val="0"/>
          <w:lang w:eastAsia="ru-RU"/>
        </w:rPr>
        <w:t>- повышение эффективности использования и охраны земель, обеспечение организации рационального использования и охраны земель.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00586A">
        <w:rPr>
          <w:rFonts w:ascii="Times New Roman CYR" w:hAnsi="Times New Roman CYR" w:cs="Times New Roman CYR"/>
          <w:kern w:val="0"/>
          <w:lang w:eastAsia="ru-RU"/>
        </w:rPr>
        <w:t xml:space="preserve">Данные задачи достигаются для предотвращения деградации, загрязнения, захламления, нарушения земель, других негативных (вредных) воздействий хозяйственной </w:t>
      </w:r>
      <w:r w:rsidRPr="0000586A">
        <w:rPr>
          <w:rFonts w:ascii="Times New Roman CYR" w:hAnsi="Times New Roman CYR" w:cs="Times New Roman CYR"/>
          <w:kern w:val="0"/>
          <w:lang w:eastAsia="ru-RU"/>
        </w:rPr>
        <w:lastRenderedPageBreak/>
        <w:t>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00586A">
        <w:rPr>
          <w:rFonts w:ascii="Times New Roman CYR" w:hAnsi="Times New Roman CYR" w:cs="Times New Roman CYR"/>
          <w:b/>
          <w:kern w:val="0"/>
          <w:lang w:eastAsia="ru-RU"/>
        </w:rPr>
        <w:t xml:space="preserve">Раздел </w:t>
      </w:r>
      <w:r w:rsidRPr="0000586A">
        <w:rPr>
          <w:rFonts w:ascii="Times New Roman CYR" w:hAnsi="Times New Roman CYR" w:cs="Times New Roman CYR"/>
          <w:b/>
          <w:kern w:val="0"/>
          <w:lang w:val="en-US" w:eastAsia="ru-RU"/>
        </w:rPr>
        <w:t>III</w:t>
      </w:r>
      <w:r w:rsidRPr="0000586A">
        <w:rPr>
          <w:rFonts w:ascii="Times New Roman CYR" w:hAnsi="Times New Roman CYR" w:cs="Times New Roman CYR"/>
          <w:b/>
          <w:kern w:val="0"/>
          <w:lang w:eastAsia="ru-RU"/>
        </w:rPr>
        <w:t>. Характеристики основных мероприятий, мероприятий подпрограммы с указанием сроков и этапов их реализации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contextualSpacing/>
        <w:rPr>
          <w:kern w:val="0"/>
          <w:lang w:eastAsia="ru-RU"/>
        </w:rPr>
      </w:pPr>
      <w:r w:rsidRPr="0000586A">
        <w:rPr>
          <w:kern w:val="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Основное мероприятие подпрограммы является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улучшения земель, реализация которых позволит обеспечить достижение целевых индикаторов и показателей эффективности подпрограммы.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contextualSpacing/>
        <w:rPr>
          <w:kern w:val="0"/>
          <w:lang w:eastAsia="ru-RU"/>
        </w:rPr>
      </w:pPr>
      <w:r w:rsidRPr="0000586A">
        <w:rPr>
          <w:kern w:val="0"/>
          <w:lang w:eastAsia="ru-RU"/>
        </w:rPr>
        <w:t>Подпрограмма реализуется в период с 2023 по 2035 год в три этапа: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contextualSpacing/>
        <w:rPr>
          <w:kern w:val="0"/>
          <w:lang w:eastAsia="ru-RU"/>
        </w:rPr>
      </w:pPr>
      <w:r w:rsidRPr="0000586A">
        <w:rPr>
          <w:kern w:val="0"/>
          <w:lang w:eastAsia="ru-RU"/>
        </w:rPr>
        <w:t>1 этап – 2023 – 2025 годы;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contextualSpacing/>
        <w:rPr>
          <w:kern w:val="0"/>
          <w:lang w:eastAsia="ru-RU"/>
        </w:rPr>
      </w:pPr>
      <w:r w:rsidRPr="0000586A">
        <w:rPr>
          <w:kern w:val="0"/>
          <w:lang w:eastAsia="ru-RU"/>
        </w:rPr>
        <w:t>2 этап – 2026 – 2030 годы;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contextualSpacing/>
        <w:rPr>
          <w:kern w:val="0"/>
          <w:lang w:eastAsia="ru-RU"/>
        </w:rPr>
      </w:pPr>
      <w:r w:rsidRPr="0000586A">
        <w:rPr>
          <w:kern w:val="0"/>
          <w:lang w:eastAsia="ru-RU"/>
        </w:rPr>
        <w:t>3 этап – 2031 – 2035 годы</w:t>
      </w:r>
    </w:p>
    <w:p w:rsidR="0000586A" w:rsidRPr="0000586A" w:rsidRDefault="0000586A" w:rsidP="0000586A">
      <w:pPr>
        <w:keepNext/>
        <w:widowControl w:val="0"/>
        <w:suppressAutoHyphens w:val="0"/>
        <w:autoSpaceDE w:val="0"/>
        <w:autoSpaceDN w:val="0"/>
        <w:spacing w:before="360" w:line="230" w:lineRule="auto"/>
        <w:jc w:val="center"/>
        <w:rPr>
          <w:b/>
          <w:kern w:val="0"/>
          <w:lang w:eastAsia="ru-RU"/>
        </w:rPr>
      </w:pPr>
      <w:r w:rsidRPr="0000586A">
        <w:rPr>
          <w:b/>
          <w:kern w:val="0"/>
          <w:lang w:eastAsia="ru-RU"/>
        </w:rPr>
        <w:t xml:space="preserve">Раздел </w:t>
      </w:r>
      <w:r w:rsidRPr="0000586A">
        <w:rPr>
          <w:b/>
          <w:kern w:val="0"/>
          <w:lang w:val="en-US" w:eastAsia="ru-RU"/>
        </w:rPr>
        <w:t>IV</w:t>
      </w:r>
      <w:r w:rsidRPr="0000586A">
        <w:rPr>
          <w:b/>
          <w:kern w:val="0"/>
          <w:lang w:eastAsia="ru-RU"/>
        </w:rPr>
        <w:t>.</w:t>
      </w:r>
      <w:r w:rsidRPr="0000586A">
        <w:rPr>
          <w:kern w:val="0"/>
          <w:lang w:eastAsia="ru-RU"/>
        </w:rPr>
        <w:t xml:space="preserve"> </w:t>
      </w:r>
      <w:r w:rsidRPr="0000586A">
        <w:rPr>
          <w:b/>
          <w:kern w:val="0"/>
          <w:lang w:eastAsia="ru-RU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00586A" w:rsidRPr="0000586A" w:rsidRDefault="0000586A" w:rsidP="0000586A">
      <w:pPr>
        <w:keepNext/>
        <w:widowControl w:val="0"/>
        <w:suppressAutoHyphens w:val="0"/>
        <w:autoSpaceDE w:val="0"/>
        <w:autoSpaceDN w:val="0"/>
        <w:spacing w:before="360" w:line="230" w:lineRule="auto"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t>Общий объем финансирования подпрограммы в 2023–2035 годах составляет 0,0 рублей, в том числе: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30" w:lineRule="auto"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t>1 этап – 0,0 тыс. рублей, в том числе: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30" w:lineRule="auto"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t xml:space="preserve">в 2023 году </w:t>
      </w:r>
      <w:r w:rsidRPr="0000586A">
        <w:rPr>
          <w:color w:val="1F497D"/>
          <w:kern w:val="0"/>
          <w:lang w:eastAsia="ru-RU"/>
        </w:rPr>
        <w:t xml:space="preserve">– </w:t>
      </w:r>
      <w:r w:rsidRPr="0000586A">
        <w:rPr>
          <w:kern w:val="0"/>
          <w:lang w:eastAsia="ru-RU"/>
        </w:rPr>
        <w:t>0,0 рублей;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30" w:lineRule="auto"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t>в 2024 году – 0,0 рублей;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30" w:lineRule="auto"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t xml:space="preserve">в 2025 году </w:t>
      </w:r>
      <w:r w:rsidRPr="0000586A">
        <w:rPr>
          <w:color w:val="1F497D"/>
          <w:kern w:val="0"/>
          <w:lang w:eastAsia="ru-RU"/>
        </w:rPr>
        <w:t xml:space="preserve">– </w:t>
      </w:r>
      <w:r w:rsidRPr="0000586A">
        <w:rPr>
          <w:kern w:val="0"/>
          <w:lang w:eastAsia="ru-RU"/>
        </w:rPr>
        <w:t>0,0 рублей;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30" w:lineRule="auto"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t>2 этап – 0,0 рублей;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30" w:lineRule="auto"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t>3 этап – 0,0 рублей;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30" w:lineRule="auto"/>
        <w:rPr>
          <w:kern w:val="0"/>
          <w:lang w:eastAsia="ru-RU"/>
        </w:rPr>
      </w:pPr>
      <w:r w:rsidRPr="0000586A">
        <w:rPr>
          <w:kern w:val="0"/>
          <w:lang w:eastAsia="ru-RU"/>
        </w:rPr>
        <w:t>из них: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30" w:lineRule="auto"/>
        <w:rPr>
          <w:kern w:val="0"/>
          <w:lang w:eastAsia="ru-RU"/>
        </w:rPr>
      </w:pPr>
      <w:r w:rsidRPr="0000586A">
        <w:rPr>
          <w:kern w:val="0"/>
          <w:lang w:eastAsia="ru-RU"/>
        </w:rPr>
        <w:t>средства федерального бюджета – 0,0 рублей,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30" w:lineRule="auto"/>
        <w:rPr>
          <w:kern w:val="0"/>
          <w:lang w:eastAsia="ru-RU"/>
        </w:rPr>
      </w:pPr>
      <w:r w:rsidRPr="0000586A">
        <w:rPr>
          <w:kern w:val="0"/>
          <w:lang w:eastAsia="ru-RU"/>
        </w:rPr>
        <w:t xml:space="preserve">средства республиканского бюджета Чувашской Республики – </w:t>
      </w:r>
      <w:r w:rsidRPr="0000586A">
        <w:rPr>
          <w:kern w:val="0"/>
          <w:lang w:eastAsia="ru-RU"/>
        </w:rPr>
        <w:br/>
        <w:t>0,0 рублей.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35" w:lineRule="auto"/>
        <w:rPr>
          <w:kern w:val="0"/>
          <w:lang w:eastAsia="ru-RU"/>
        </w:rPr>
      </w:pPr>
      <w:r w:rsidRPr="0000586A">
        <w:rPr>
          <w:kern w:val="0"/>
          <w:lang w:eastAsia="ru-RU"/>
        </w:rPr>
        <w:t xml:space="preserve"> средства бюджета Янтиковского муниципального округа Чувашской Республики – 0,0 тыс. рублей, 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30" w:lineRule="auto"/>
        <w:rPr>
          <w:kern w:val="0"/>
          <w:lang w:eastAsia="ru-RU"/>
        </w:rPr>
      </w:pPr>
      <w:r w:rsidRPr="0000586A">
        <w:rPr>
          <w:kern w:val="0"/>
          <w:lang w:eastAsia="ru-RU"/>
        </w:rPr>
        <w:t>средства внебюджетных источников – 0,0 рублей.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contextualSpacing/>
        <w:rPr>
          <w:kern w:val="0"/>
          <w:lang w:eastAsia="ru-RU"/>
        </w:rPr>
      </w:pPr>
      <w:r w:rsidRPr="0000586A">
        <w:rPr>
          <w:kern w:val="0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00586A" w:rsidRPr="0000586A" w:rsidRDefault="0000586A" w:rsidP="0000586A">
      <w:pPr>
        <w:suppressAutoHyphens w:val="0"/>
        <w:autoSpaceDE w:val="0"/>
        <w:autoSpaceDN w:val="0"/>
        <w:adjustRightInd w:val="0"/>
        <w:spacing w:line="240" w:lineRule="auto"/>
        <w:contextualSpacing/>
        <w:rPr>
          <w:kern w:val="0"/>
          <w:lang w:eastAsia="en-US"/>
        </w:rPr>
      </w:pPr>
      <w:r w:rsidRPr="0000586A">
        <w:rPr>
          <w:kern w:val="0"/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Янтиковского муниципального округа Чувашской Республики.</w:t>
      </w: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outlineLvl w:val="1"/>
        <w:rPr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outlineLvl w:val="1"/>
        <w:rPr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outlineLvl w:val="1"/>
        <w:rPr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outlineLvl w:val="1"/>
        <w:rPr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outlineLvl w:val="1"/>
        <w:rPr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outlineLvl w:val="1"/>
        <w:rPr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outlineLvl w:val="1"/>
        <w:rPr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outlineLvl w:val="1"/>
        <w:rPr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lang w:eastAsia="ru-RU"/>
        </w:rPr>
      </w:pPr>
    </w:p>
    <w:p w:rsidR="0000586A" w:rsidRPr="0000586A" w:rsidRDefault="0000586A" w:rsidP="0000586A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lang w:eastAsia="ru-RU"/>
        </w:rPr>
        <w:sectPr w:rsidR="0000586A" w:rsidRPr="0000586A" w:rsidSect="00870CB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0586A" w:rsidRDefault="0000586A" w:rsidP="0000586A">
      <w:pPr>
        <w:keepNext/>
        <w:suppressAutoHyphens w:val="0"/>
        <w:spacing w:line="240" w:lineRule="auto"/>
        <w:ind w:left="9639" w:firstLine="0"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lastRenderedPageBreak/>
        <w:t>Приложение № 2</w:t>
      </w:r>
    </w:p>
    <w:p w:rsidR="0000586A" w:rsidRDefault="0000586A" w:rsidP="0000586A">
      <w:pPr>
        <w:keepNext/>
        <w:suppressAutoHyphens w:val="0"/>
        <w:spacing w:line="240" w:lineRule="auto"/>
        <w:ind w:left="9639" w:firstLine="0"/>
        <w:jc w:val="left"/>
        <w:rPr>
          <w:kern w:val="0"/>
          <w:lang w:eastAsia="ru-RU"/>
        </w:rPr>
      </w:pPr>
      <w:r w:rsidRPr="0000586A">
        <w:rPr>
          <w:kern w:val="0"/>
          <w:lang w:eastAsia="ru-RU"/>
        </w:rPr>
        <w:t>к постановлению администра</w:t>
      </w:r>
      <w:r>
        <w:rPr>
          <w:kern w:val="0"/>
          <w:lang w:eastAsia="ru-RU"/>
        </w:rPr>
        <w:t xml:space="preserve">ции </w:t>
      </w:r>
    </w:p>
    <w:p w:rsidR="0000586A" w:rsidRDefault="0000586A" w:rsidP="0000586A">
      <w:pPr>
        <w:keepNext/>
        <w:suppressAutoHyphens w:val="0"/>
        <w:spacing w:line="240" w:lineRule="auto"/>
        <w:ind w:left="9639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 xml:space="preserve">Янтиковского муниципального </w:t>
      </w:r>
      <w:r w:rsidRPr="0000586A">
        <w:rPr>
          <w:kern w:val="0"/>
          <w:lang w:eastAsia="ru-RU"/>
        </w:rPr>
        <w:t xml:space="preserve">округа </w:t>
      </w:r>
    </w:p>
    <w:p w:rsidR="0000586A" w:rsidRPr="0000586A" w:rsidRDefault="00C8588A" w:rsidP="0000586A">
      <w:pPr>
        <w:keepNext/>
        <w:suppressAutoHyphens w:val="0"/>
        <w:spacing w:line="240" w:lineRule="auto"/>
        <w:ind w:left="9639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13.02.2024 № 157</w:t>
      </w:r>
    </w:p>
    <w:p w:rsidR="0000586A" w:rsidRDefault="0000586A" w:rsidP="0000586A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suppressAutoHyphens w:val="0"/>
        <w:spacing w:line="240" w:lineRule="auto"/>
        <w:ind w:left="9639" w:firstLine="0"/>
        <w:jc w:val="left"/>
        <w:rPr>
          <w:kern w:val="0"/>
          <w:lang w:eastAsia="ru-RU"/>
        </w:rPr>
      </w:pPr>
    </w:p>
    <w:p w:rsidR="00453231" w:rsidRPr="0000586A" w:rsidRDefault="00453231" w:rsidP="0000586A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suppressAutoHyphens w:val="0"/>
        <w:spacing w:line="240" w:lineRule="auto"/>
        <w:ind w:left="9639" w:firstLine="0"/>
        <w:jc w:val="left"/>
        <w:rPr>
          <w:kern w:val="0"/>
          <w:lang w:eastAsia="ru-RU"/>
        </w:rPr>
      </w:pPr>
    </w:p>
    <w:p w:rsidR="0000586A" w:rsidRPr="0000586A" w:rsidRDefault="0000586A" w:rsidP="0000586A">
      <w:pPr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suppressAutoHyphens w:val="0"/>
        <w:spacing w:line="240" w:lineRule="auto"/>
        <w:ind w:left="9639" w:firstLine="0"/>
        <w:rPr>
          <w:kern w:val="0"/>
          <w:lang w:eastAsia="ru-RU"/>
        </w:rPr>
      </w:pPr>
      <w:r w:rsidRPr="0000586A">
        <w:rPr>
          <w:kern w:val="0"/>
          <w:lang w:eastAsia="ru-RU"/>
        </w:rPr>
        <w:t>Приложение к подпрограмме «Использование и охрана земель Янтиковского муниципального округа Чувашской Республики» муниципальной программы Янтиковского муниципального округа Чувашской Республики «Развитие потенциала природно-сырьевых ресурсов и повышение экологической безопасности» на 2023-2035 годы</w:t>
      </w:r>
    </w:p>
    <w:p w:rsidR="0000586A" w:rsidRDefault="0000586A" w:rsidP="0000586A">
      <w:pPr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suppressAutoHyphens w:val="0"/>
        <w:spacing w:line="240" w:lineRule="auto"/>
        <w:ind w:left="9639" w:firstLine="0"/>
        <w:jc w:val="left"/>
        <w:rPr>
          <w:kern w:val="0"/>
          <w:lang w:eastAsia="ru-RU"/>
        </w:rPr>
      </w:pPr>
    </w:p>
    <w:p w:rsidR="00870CB0" w:rsidRDefault="00870CB0" w:rsidP="0000586A">
      <w:pPr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suppressAutoHyphens w:val="0"/>
        <w:spacing w:line="240" w:lineRule="auto"/>
        <w:ind w:left="9639" w:firstLine="0"/>
        <w:jc w:val="left"/>
        <w:rPr>
          <w:kern w:val="0"/>
          <w:lang w:eastAsia="ru-RU"/>
        </w:rPr>
      </w:pPr>
    </w:p>
    <w:p w:rsidR="00870CB0" w:rsidRPr="0000586A" w:rsidRDefault="00870CB0" w:rsidP="00870CB0">
      <w:pPr>
        <w:keepNext/>
        <w:suppressAutoHyphens w:val="0"/>
        <w:spacing w:before="360" w:line="240" w:lineRule="auto"/>
        <w:ind w:firstLine="0"/>
        <w:jc w:val="center"/>
        <w:rPr>
          <w:b/>
          <w:bCs/>
          <w:kern w:val="0"/>
          <w:lang w:eastAsia="ru-RU"/>
        </w:rPr>
      </w:pPr>
      <w:r w:rsidRPr="0000586A">
        <w:rPr>
          <w:b/>
          <w:bCs/>
          <w:caps/>
          <w:kern w:val="0"/>
          <w:lang w:eastAsia="ru-RU"/>
        </w:rPr>
        <w:t>Ресурсное обеспечение</w:t>
      </w:r>
    </w:p>
    <w:p w:rsidR="00870CB0" w:rsidRDefault="00870CB0" w:rsidP="00870CB0">
      <w:pPr>
        <w:keepNext/>
        <w:suppressAutoHyphens w:val="0"/>
        <w:spacing w:line="240" w:lineRule="auto"/>
        <w:ind w:firstLine="0"/>
        <w:jc w:val="center"/>
        <w:rPr>
          <w:b/>
          <w:bCs/>
          <w:color w:val="000000"/>
          <w:kern w:val="0"/>
          <w:lang w:eastAsia="ru-RU"/>
        </w:rPr>
      </w:pPr>
      <w:r w:rsidRPr="0000586A">
        <w:rPr>
          <w:b/>
          <w:bCs/>
          <w:kern w:val="0"/>
          <w:lang w:eastAsia="ru-RU"/>
        </w:rPr>
        <w:t xml:space="preserve">реализации подпрограммы «Использование и охрана земель Янтиковского муниципального округа Чувашской Республики» муниципальной программы Янтиковского муниципального округа Чувашской Республики «Развитие потенциала природно-сырьевых ресурсов и повышение экологической безопасности» </w:t>
      </w:r>
      <w:r w:rsidRPr="0000586A">
        <w:rPr>
          <w:b/>
          <w:bCs/>
          <w:color w:val="000000"/>
          <w:kern w:val="0"/>
          <w:lang w:eastAsia="ru-RU"/>
        </w:rPr>
        <w:t>за счет всех источников финансирования</w:t>
      </w:r>
      <w:r w:rsidRPr="0000586A">
        <w:rPr>
          <w:kern w:val="0"/>
          <w:lang w:eastAsia="ru-RU"/>
        </w:rPr>
        <w:t xml:space="preserve"> </w:t>
      </w:r>
      <w:r w:rsidRPr="0000586A">
        <w:rPr>
          <w:b/>
          <w:bCs/>
          <w:color w:val="000000"/>
          <w:kern w:val="0"/>
          <w:lang w:eastAsia="ru-RU"/>
        </w:rPr>
        <w:t>на 2023-2035 годы</w:t>
      </w:r>
    </w:p>
    <w:p w:rsidR="00870CB0" w:rsidRPr="0000586A" w:rsidRDefault="00870CB0" w:rsidP="00870CB0">
      <w:pPr>
        <w:keepNext/>
        <w:suppressAutoHyphens w:val="0"/>
        <w:spacing w:line="240" w:lineRule="auto"/>
        <w:ind w:firstLine="0"/>
        <w:jc w:val="center"/>
        <w:rPr>
          <w:b/>
          <w:bCs/>
          <w:color w:val="000000"/>
          <w:kern w:val="0"/>
          <w:lang w:eastAsia="ru-RU"/>
        </w:rPr>
      </w:pPr>
    </w:p>
    <w:p w:rsidR="00870CB0" w:rsidRDefault="00870CB0" w:rsidP="0000586A">
      <w:pPr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suppressAutoHyphens w:val="0"/>
        <w:spacing w:line="240" w:lineRule="auto"/>
        <w:ind w:left="9639" w:firstLine="0"/>
        <w:jc w:val="left"/>
        <w:rPr>
          <w:kern w:val="0"/>
          <w:lang w:eastAsia="ru-RU"/>
        </w:rPr>
      </w:pPr>
    </w:p>
    <w:p w:rsidR="00870CB0" w:rsidRPr="0000586A" w:rsidRDefault="00870CB0" w:rsidP="00870CB0">
      <w:pPr>
        <w:keepNext/>
        <w:suppressAutoHyphens w:val="0"/>
        <w:spacing w:line="240" w:lineRule="auto"/>
        <w:ind w:firstLine="0"/>
        <w:rPr>
          <w:bCs/>
          <w:kern w:val="0"/>
          <w:sz w:val="20"/>
          <w:szCs w:val="20"/>
          <w:lang w:eastAsia="ru-RU"/>
        </w:rPr>
      </w:pPr>
    </w:p>
    <w:tbl>
      <w:tblPr>
        <w:tblStyle w:val="34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985"/>
        <w:gridCol w:w="708"/>
        <w:gridCol w:w="567"/>
        <w:gridCol w:w="567"/>
        <w:gridCol w:w="567"/>
        <w:gridCol w:w="1701"/>
        <w:gridCol w:w="851"/>
        <w:gridCol w:w="850"/>
        <w:gridCol w:w="709"/>
        <w:gridCol w:w="709"/>
        <w:gridCol w:w="850"/>
      </w:tblGrid>
      <w:tr w:rsidR="00870CB0" w:rsidRPr="0000586A" w:rsidTr="00870CB0">
        <w:tc>
          <w:tcPr>
            <w:tcW w:w="1384" w:type="dxa"/>
            <w:vMerge w:val="restart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Наименование подпрограммы муниципальной программы Янтиковского</w:t>
            </w:r>
            <w:r w:rsidRPr="0000586A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муниципального округа</w:t>
            </w:r>
            <w:r w:rsidRPr="0000586A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Чувашской Республики   (основного мероприятия, мероприятия)</w:t>
            </w:r>
          </w:p>
        </w:tc>
        <w:tc>
          <w:tcPr>
            <w:tcW w:w="1701" w:type="dxa"/>
            <w:vMerge w:val="restart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Задача подпрограммы муниципальной программы Янтиковского муниципального округа </w:t>
            </w:r>
            <w:r w:rsidRPr="0000586A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1985" w:type="dxa"/>
            <w:vMerge w:val="restart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57" w:right="-57" w:firstLine="0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1701" w:type="dxa"/>
            <w:vMerge w:val="restart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28" w:right="-28" w:firstLine="0"/>
              <w:jc w:val="center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Источники</w:t>
            </w:r>
          </w:p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3969" w:type="dxa"/>
            <w:gridSpan w:val="5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870CB0" w:rsidRPr="0000586A" w:rsidTr="00870CB0">
        <w:trPr>
          <w:cantSplit/>
          <w:trHeight w:val="1134"/>
        </w:trPr>
        <w:tc>
          <w:tcPr>
            <w:tcW w:w="1384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57" w:right="-57"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textDirection w:val="btLr"/>
            <w:vAlign w:val="center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57" w:right="-57"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567" w:type="dxa"/>
            <w:textDirection w:val="btLr"/>
            <w:vAlign w:val="center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57" w:right="-57"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extDirection w:val="btLr"/>
            <w:vAlign w:val="center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57" w:right="-57"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701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57" w:right="-57"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extDirection w:val="btLr"/>
            <w:vAlign w:val="center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57" w:right="-57"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extDirection w:val="btLr"/>
            <w:vAlign w:val="center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57" w:right="-57"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extDirection w:val="btLr"/>
            <w:vAlign w:val="center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57" w:right="-57"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850" w:type="dxa"/>
            <w:textDirection w:val="btLr"/>
            <w:vAlign w:val="center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57" w:right="-57"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2031–2035</w:t>
            </w:r>
          </w:p>
        </w:tc>
      </w:tr>
      <w:tr w:rsidR="00870CB0" w:rsidRPr="0000586A" w:rsidTr="00870CB0">
        <w:tc>
          <w:tcPr>
            <w:tcW w:w="1384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28" w:right="-28"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14</w:t>
            </w:r>
          </w:p>
        </w:tc>
      </w:tr>
      <w:tr w:rsidR="00870CB0" w:rsidRPr="0000586A" w:rsidTr="00870CB0">
        <w:trPr>
          <w:trHeight w:val="979"/>
        </w:trPr>
        <w:tc>
          <w:tcPr>
            <w:tcW w:w="1384" w:type="dxa"/>
            <w:vMerge w:val="restart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left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left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Исп</w:t>
            </w:r>
            <w:r w:rsidRPr="00870CB0">
              <w:rPr>
                <w:bCs/>
                <w:kern w:val="0"/>
                <w:sz w:val="20"/>
                <w:szCs w:val="20"/>
                <w:lang w:eastAsia="ru-RU"/>
              </w:rPr>
              <w:t>ользование и охрана земель Янтиковского муници</w:t>
            </w: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пального округа Чувашской Республики</w:t>
            </w:r>
          </w:p>
        </w:tc>
        <w:tc>
          <w:tcPr>
            <w:tcW w:w="1701" w:type="dxa"/>
            <w:vMerge w:val="restart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left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  <w:tc>
          <w:tcPr>
            <w:tcW w:w="1985" w:type="dxa"/>
            <w:vMerge w:val="restart"/>
            <w:vAlign w:val="center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28" w:right="-28"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ответственный исполнитель – администрация Янтиковского муниципального округа Чувашской Республики; </w:t>
            </w:r>
          </w:p>
          <w:p w:rsidR="00870CB0" w:rsidRPr="0000586A" w:rsidRDefault="00870CB0" w:rsidP="00AC0432">
            <w:pPr>
              <w:suppressAutoHyphens w:val="0"/>
              <w:spacing w:line="240" w:lineRule="auto"/>
              <w:ind w:right="-28"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соисполнители:</w:t>
            </w:r>
          </w:p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left"/>
              <w:rPr>
                <w:bCs/>
                <w:kern w:val="0"/>
                <w:sz w:val="20"/>
                <w:szCs w:val="20"/>
                <w:lang w:eastAsia="ru-RU"/>
              </w:rPr>
            </w:pPr>
            <w:proofErr w:type="gramStart"/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финансовый</w:t>
            </w:r>
            <w:proofErr w:type="gramEnd"/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отдел администрации </w:t>
            </w:r>
            <w:r w:rsidRPr="00870CB0">
              <w:rPr>
                <w:color w:val="000000"/>
                <w:kern w:val="0"/>
                <w:sz w:val="20"/>
                <w:szCs w:val="20"/>
                <w:lang w:eastAsia="ru-RU"/>
              </w:rPr>
              <w:t>Янти</w:t>
            </w: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ковского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Ян</w:t>
            </w:r>
            <w:r w:rsidRPr="00870CB0">
              <w:rPr>
                <w:color w:val="000000"/>
                <w:kern w:val="0"/>
                <w:sz w:val="20"/>
                <w:szCs w:val="20"/>
                <w:lang w:eastAsia="ru-RU"/>
              </w:rPr>
              <w:t>т</w:t>
            </w: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иковского муниципального </w:t>
            </w: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округа Чувашской Республики; 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708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28" w:right="-28"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870CB0" w:rsidRPr="0000586A" w:rsidTr="00870CB0">
        <w:trPr>
          <w:trHeight w:val="770"/>
        </w:trPr>
        <w:tc>
          <w:tcPr>
            <w:tcW w:w="1384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28" w:right="-28"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870CB0" w:rsidRPr="0000586A" w:rsidTr="00870CB0">
        <w:tc>
          <w:tcPr>
            <w:tcW w:w="1384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28" w:right="-28"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870CB0" w:rsidRPr="0000586A" w:rsidTr="00870CB0">
        <w:trPr>
          <w:trHeight w:val="2417"/>
        </w:trPr>
        <w:tc>
          <w:tcPr>
            <w:tcW w:w="1384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28" w:right="-28"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51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870CB0" w:rsidRPr="0000586A" w:rsidTr="00870CB0">
        <w:trPr>
          <w:trHeight w:val="70"/>
        </w:trPr>
        <w:tc>
          <w:tcPr>
            <w:tcW w:w="1384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70CB0" w:rsidRPr="0000586A" w:rsidRDefault="00870CB0" w:rsidP="00AC0432">
            <w:pPr>
              <w:suppressAutoHyphens w:val="0"/>
              <w:spacing w:line="240" w:lineRule="auto"/>
              <w:ind w:left="-28" w:right="-28"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color w:val="000000"/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870CB0" w:rsidRPr="0000586A" w:rsidTr="00870CB0">
        <w:tc>
          <w:tcPr>
            <w:tcW w:w="1384" w:type="dxa"/>
            <w:vMerge w:val="restart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kern w:val="0"/>
                <w:sz w:val="20"/>
                <w:szCs w:val="20"/>
                <w:lang w:eastAsia="ru-RU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9497" w:type="dxa"/>
            <w:gridSpan w:val="8"/>
          </w:tcPr>
          <w:p w:rsidR="00870CB0" w:rsidRPr="0000586A" w:rsidRDefault="00870CB0" w:rsidP="00AC043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586A">
              <w:rPr>
                <w:kern w:val="0"/>
                <w:sz w:val="20"/>
                <w:szCs w:val="20"/>
                <w:lang w:eastAsia="ru-RU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851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870CB0" w:rsidRPr="0000586A" w:rsidTr="00870CB0">
        <w:tc>
          <w:tcPr>
            <w:tcW w:w="1384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8"/>
          </w:tcPr>
          <w:p w:rsidR="00870CB0" w:rsidRPr="0000586A" w:rsidRDefault="00870CB0" w:rsidP="00AC043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586A">
              <w:rPr>
                <w:rFonts w:eastAsia="Calibri"/>
                <w:kern w:val="0"/>
                <w:sz w:val="20"/>
                <w:szCs w:val="20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851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870CB0" w:rsidRPr="0000586A" w:rsidTr="00870CB0">
        <w:tc>
          <w:tcPr>
            <w:tcW w:w="1384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8"/>
          </w:tcPr>
          <w:p w:rsidR="00870CB0" w:rsidRPr="0000586A" w:rsidRDefault="00870CB0" w:rsidP="00AC043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586A">
              <w:rPr>
                <w:kern w:val="0"/>
                <w:sz w:val="20"/>
                <w:szCs w:val="20"/>
                <w:lang w:eastAsia="ru-RU"/>
              </w:rPr>
              <w:t>эффективное использование земель</w:t>
            </w:r>
          </w:p>
        </w:tc>
        <w:tc>
          <w:tcPr>
            <w:tcW w:w="851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870CB0" w:rsidRPr="0000586A" w:rsidTr="00870CB0">
        <w:trPr>
          <w:trHeight w:val="431"/>
        </w:trPr>
        <w:tc>
          <w:tcPr>
            <w:tcW w:w="1384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8"/>
          </w:tcPr>
          <w:p w:rsidR="00870CB0" w:rsidRPr="0000586A" w:rsidRDefault="00870CB0" w:rsidP="00AC043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586A">
              <w:rPr>
                <w:kern w:val="0"/>
                <w:sz w:val="20"/>
                <w:szCs w:val="20"/>
                <w:lang w:eastAsia="ru-RU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851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60</w:t>
            </w:r>
          </w:p>
        </w:tc>
      </w:tr>
      <w:tr w:rsidR="00870CB0" w:rsidRPr="0000586A" w:rsidTr="00870CB0">
        <w:tc>
          <w:tcPr>
            <w:tcW w:w="1384" w:type="dxa"/>
            <w:vMerge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8"/>
          </w:tcPr>
          <w:p w:rsidR="00870CB0" w:rsidRPr="0000586A" w:rsidRDefault="00870CB0" w:rsidP="00AC043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586A">
              <w:rPr>
                <w:kern w:val="0"/>
                <w:sz w:val="20"/>
                <w:szCs w:val="20"/>
                <w:lang w:eastAsia="ru-RU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851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</w:tcPr>
          <w:p w:rsidR="00870CB0" w:rsidRPr="0000586A" w:rsidRDefault="00870CB0" w:rsidP="00AC0432">
            <w:pPr>
              <w:keepNext/>
              <w:suppressAutoHyphens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00586A">
              <w:rPr>
                <w:bCs/>
                <w:kern w:val="0"/>
                <w:sz w:val="20"/>
                <w:szCs w:val="20"/>
                <w:lang w:eastAsia="ru-RU"/>
              </w:rPr>
              <w:t>30</w:t>
            </w:r>
          </w:p>
        </w:tc>
      </w:tr>
    </w:tbl>
    <w:p w:rsidR="00870CB0" w:rsidRDefault="00870CB0" w:rsidP="00870CB0">
      <w:pPr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sectPr w:rsidR="00870CB0" w:rsidSect="00624E5C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6A" w:rsidRPr="00181BD8" w:rsidRDefault="0000586A" w:rsidP="00181BD8">
    <w:pPr>
      <w:pStyle w:val="af3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6A" w:rsidRDefault="0000586A" w:rsidP="00E30F9C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4</w:t>
    </w:r>
    <w:r>
      <w:rPr>
        <w:rStyle w:val="af8"/>
      </w:rPr>
      <w:fldChar w:fldCharType="end"/>
    </w:r>
  </w:p>
  <w:p w:rsidR="0000586A" w:rsidRDefault="0000586A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484745"/>
      <w:docPartObj>
        <w:docPartGallery w:val="Page Numbers (Top of Page)"/>
        <w:docPartUnique/>
      </w:docPartObj>
    </w:sdtPr>
    <w:sdtEndPr/>
    <w:sdtContent>
      <w:p w:rsidR="00870CB0" w:rsidRDefault="00870CB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2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2A217749"/>
    <w:multiLevelType w:val="hybridMultilevel"/>
    <w:tmpl w:val="96E8B26C"/>
    <w:lvl w:ilvl="0" w:tplc="7CF43A8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C96888"/>
    <w:multiLevelType w:val="hybridMultilevel"/>
    <w:tmpl w:val="6D90C082"/>
    <w:lvl w:ilvl="0" w:tplc="AD9EF99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1"/>
  </w:num>
  <w:num w:numId="5">
    <w:abstractNumId w:val="23"/>
  </w:num>
  <w:num w:numId="6">
    <w:abstractNumId w:val="20"/>
  </w:num>
  <w:num w:numId="7">
    <w:abstractNumId w:val="16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7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586A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3231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4E5C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0CB0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572AA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6A7C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88A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00586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00586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CCF4-EAC6-45C1-B313-8622C092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9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2023-03-31T12:17:00Z</cp:lastPrinted>
  <dcterms:created xsi:type="dcterms:W3CDTF">2023-01-09T05:07:00Z</dcterms:created>
  <dcterms:modified xsi:type="dcterms:W3CDTF">2024-02-16T07:20:00Z</dcterms:modified>
</cp:coreProperties>
</file>