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ФАДН России от 23.06.2020 N 76</w:t>
              <w:br/>
              <w:t xml:space="preserve">(ред. от 04.04.2022)</w:t>
              <w:br/>
              <w:t xml:space="preserve">"Об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</w:t>
              <w:br/>
              <w:t xml:space="preserve">(Зарегистрировано в Минюсте России 17.08.2020 N 59287)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августа 2020 г. N 59287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ФЕДЕРАЛЬНОЕ АГЕНТСТВО ПО ДЕЛАМ НАЦИОНАЛЬНОСТЕЙ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23 июня 2020 г. N 76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</w:t>
      </w:r>
    </w:p>
    <w:p>
      <w:pPr>
        <w:pStyle w:val="2"/>
        <w:jc w:val="center"/>
      </w:pPr>
      <w:r>
        <w:rPr>
          <w:sz w:val="20"/>
        </w:rPr>
        <w:t xml:space="preserve">КОНКУРСНОЙ ЗАЯВКИ И МЕТОДИКИ ОЦЕНКИ КОНКУРСНЫХ ЗАЯВОК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ОБРАЗОВАНИЙ, ПРЕДСТАВЛЯЕМЫХ ДЛЯ УЧАСТИЯ ВО</w:t>
      </w:r>
    </w:p>
    <w:p>
      <w:pPr>
        <w:pStyle w:val="2"/>
        <w:jc w:val="center"/>
      </w:pPr>
      <w:r>
        <w:rPr>
          <w:sz w:val="20"/>
        </w:rPr>
        <w:t xml:space="preserve">ВСЕРОССИЙСКОМ КОНКУРСЕ "ЛУЧШАЯ МУНИЦИПАЛЬНАЯ ПРАКТИКА"</w:t>
      </w:r>
    </w:p>
    <w:p>
      <w:pPr>
        <w:pStyle w:val="2"/>
        <w:jc w:val="center"/>
      </w:pPr>
      <w:r>
        <w:rPr>
          <w:sz w:val="20"/>
        </w:rPr>
        <w:t xml:space="preserve">ПО НОМИНАЦИИ "УКРЕПЛЕНИЕ МЕЖНАЦИОНАЛЬНОГО МИРА И СОГЛАСИЯ,</w:t>
      </w:r>
    </w:p>
    <w:p>
      <w:pPr>
        <w:pStyle w:val="2"/>
        <w:jc w:val="center"/>
      </w:pPr>
      <w:r>
        <w:rPr>
          <w:sz w:val="20"/>
        </w:rPr>
        <w:t xml:space="preserve">РЕАЛИЗАЦИЯ ИНЫХ МЕРОПРИЯТИЙ В СФЕРЕ НАЦИОНАЛЬНОЙ ПОЛИТИКИ</w:t>
      </w:r>
    </w:p>
    <w:p>
      <w:pPr>
        <w:pStyle w:val="2"/>
        <w:jc w:val="center"/>
      </w:pPr>
      <w:r>
        <w:rPr>
          <w:sz w:val="20"/>
        </w:rPr>
        <w:t xml:space="preserve">НА МУНИЦИПАЛЬНОМ УРОВНЕ"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ФАДН России от 04.04.2022 N 52 &quot;О внесении изменений в приложения N 1 и N 2 к приказу Федерального агентства по делам национальностей от 23 июня 2020 г. N 76 &quot;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&quot;Лучшая муниципальная практика&quot; по номинации &quot;Укрепление межнационального мира и согласия, реализация иных мероприятий в сфере национальной политики на муниципальном уровне&quot; (Зарегистрировано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ФАДН России от 04.04.2022 N 52)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Постановление Правительства РФ от 18.08.2016 N 815 (ред. от 09.12.2022) &quot;О Всероссийском конкурсе &quot;Лучшая муниципальная практика&quot; (вместе с &quot;Положением о Всероссийском конкурсе &quot;Лучшая муниципальная практика&quot;) {КонсультантПлюс}">
        <w:r>
          <w:rPr>
            <w:sz w:val="20"/>
            <w:color w:val="0000ff"/>
          </w:rPr>
          <w:t xml:space="preserve">подпунктом "г" пункта 9</w:t>
        </w:r>
      </w:hyperlink>
      <w:r>
        <w:rPr>
          <w:sz w:val="20"/>
        </w:rP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 (Собрание законодательства Российской Федерации, 2016, N 35, ст. 5335; 2017, N 49, ст. 7462),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конкурсной заявки муниципального образования, представляемой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</w:t>
      </w:r>
      <w:hyperlink w:history="0" w:anchor="P49" w:tooltip="                             Конкурсная заявка">
        <w:r>
          <w:rPr>
            <w:sz w:val="20"/>
            <w:color w:val="0000ff"/>
          </w:rPr>
          <w:t xml:space="preserve">(приложение N 1)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методику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</w:t>
      </w:r>
      <w:hyperlink w:history="0" w:anchor="P435" w:tooltip="МЕТОДИКА">
        <w:r>
          <w:rPr>
            <w:sz w:val="20"/>
            <w:color w:val="0000ff"/>
          </w:rPr>
          <w:t xml:space="preserve">(приложение N 2)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9" w:tooltip="Приказ ФАДН России от 12.03.2018 N 32 (ред. от 04.04.2019) &quot;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&quot;Лучшая муниципальная практика&quot; по номинации &quot;Укрепление межнационального мира и согласия, реализация иных мероприятий в сфере национальной политики на муниципальном уровне&quot; (Зарегистрировано в Минюсте России 26.03.2018 N 5050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Федерального агентства по делам национальностей от 12 марта 2018 г. N 32 "Об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(зарегистрирован Министерством юстиции Российской Федерации 26 марта 2018 г., регистрационный N 50504);</w:t>
      </w:r>
    </w:p>
    <w:p>
      <w:pPr>
        <w:pStyle w:val="0"/>
        <w:spacing w:before="200" w:line-rule="auto"/>
        <w:ind w:firstLine="540"/>
        <w:jc w:val="both"/>
      </w:pPr>
      <w:hyperlink w:history="0" r:id="rId10" w:tooltip="Приказ ФАДН России от 04.04.2019 N 35 &quot;О внесении изменений в приказ Федерального агентства по делам национальностей от 12 марта 2018 г. N 32 &quot;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&quot;Лучшая муниципальная практика&quot; по номинации &quot;Укрепление межнационального мира и согласия, реализация иных мероприятий в сфере национальной политики на муниципальном уровне&quot; (Зарегистрировано в Минюсте России 07.06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Федерального агентства по делам национальностей от 4 апреля 2019 г. N 35 "О внесении изменений в приказ Федерального агентства по делам национальностей от 12 марта 2018 г. N 32 "Об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(зарегистрирован Министерством юстиции Российской Федерации 7 июня 2019 г., регистрационный N 54867).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И.В.БАРИНОВ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 агентства</w:t>
      </w:r>
    </w:p>
    <w:p>
      <w:pPr>
        <w:pStyle w:val="0"/>
        <w:jc w:val="right"/>
      </w:pPr>
      <w:r>
        <w:rPr>
          <w:sz w:val="20"/>
        </w:rPr>
        <w:t xml:space="preserve">по делам национальностей</w:t>
      </w:r>
    </w:p>
    <w:p>
      <w:pPr>
        <w:pStyle w:val="0"/>
        <w:jc w:val="right"/>
      </w:pPr>
      <w:r>
        <w:rPr>
          <w:sz w:val="20"/>
        </w:rPr>
        <w:t xml:space="preserve">от 23.06.2020 N 76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ФАДН России от 04.04.2022 N 52 &quot;О внесении изменений в приложения N 1 и N 2 к приказу Федерального агентства по делам национальностей от 23 июня 2020 г. N 76 &quot;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&quot;Лучшая муниципальная практика&quot; по номинации &quot;Укрепление межнационального мира и согласия, реализация иных мероприятий в сфере национальной политики на муниципальном уровне&quot; (Зарегистрировано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ФАДН России от 04.04.2022 N 52)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Федеральная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конкурсная комиссия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по организации и проведению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Всероссийского конкурса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"Лучшая муниципальная практика"</w:t>
      </w:r>
    </w:p>
    <w:p>
      <w:pPr>
        <w:pStyle w:val="1"/>
        <w:jc w:val="both"/>
      </w:pPr>
      <w:r>
        <w:rPr>
          <w:sz w:val="20"/>
        </w:rPr>
      </w:r>
    </w:p>
    <w:bookmarkStart w:id="49" w:name="P49"/>
    <w:bookmarkEnd w:id="49"/>
    <w:p>
      <w:pPr>
        <w:pStyle w:val="1"/>
        <w:jc w:val="both"/>
      </w:pPr>
      <w:r>
        <w:rPr>
          <w:sz w:val="20"/>
        </w:rPr>
        <w:t xml:space="preserve">                             Конкурсная заявка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(наименование муниципального образования </w:t>
      </w:r>
      <w:hyperlink w:history="0" w:anchor="P95" w:tooltip="&lt;1&gt; В случае если наименование муниципального образования не включает наименование субъекта Российской Федерации, в строке после наименования муниципального образования в родительном падеже указывается наименование субъекта Российской Федерации, на территории которого расположено муниципальное образование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для участия во Всероссийском конкурсе "Лучшая муниципальная</w:t>
      </w:r>
    </w:p>
    <w:p>
      <w:pPr>
        <w:pStyle w:val="1"/>
        <w:jc w:val="both"/>
      </w:pPr>
      <w:r>
        <w:rPr>
          <w:sz w:val="20"/>
        </w:rPr>
        <w:t xml:space="preserve">         практика" в номинации "Укрепление межнационального мира</w:t>
      </w:r>
    </w:p>
    <w:p>
      <w:pPr>
        <w:pStyle w:val="1"/>
        <w:jc w:val="both"/>
      </w:pPr>
      <w:r>
        <w:rPr>
          <w:sz w:val="20"/>
        </w:rPr>
        <w:t xml:space="preserve">              и согласия, реализация иных мероприятий в сфере</w:t>
      </w:r>
    </w:p>
    <w:p>
      <w:pPr>
        <w:pStyle w:val="1"/>
        <w:jc w:val="both"/>
      </w:pPr>
      <w:r>
        <w:rPr>
          <w:sz w:val="20"/>
        </w:rPr>
        <w:t xml:space="preserve">            национальной политики на муниципальном уровне" </w:t>
      </w:r>
      <w:hyperlink w:history="0" w:anchor="P96" w:tooltip="&lt;2&gt; Далее - конкурсная заявка.">
        <w:r>
          <w:rPr>
            <w:sz w:val="20"/>
            <w:color w:val="0000ff"/>
          </w:rPr>
          <w:t xml:space="preserve">&lt;2&gt;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организовать рассмотрение настоящей конкурсной заявки для участия</w:t>
      </w:r>
    </w:p>
    <w:p>
      <w:pPr>
        <w:pStyle w:val="1"/>
        <w:jc w:val="both"/>
      </w:pPr>
      <w:r>
        <w:rPr>
          <w:sz w:val="20"/>
        </w:rPr>
        <w:t xml:space="preserve">во Всероссийском конкурсе "Лучшая муниципальная практика".</w:t>
      </w:r>
    </w:p>
    <w:p>
      <w:pPr>
        <w:pStyle w:val="1"/>
        <w:jc w:val="both"/>
      </w:pPr>
      <w:r>
        <w:rPr>
          <w:sz w:val="20"/>
        </w:rPr>
        <w:t xml:space="preserve">    С условиями и требованиями конкурсного отбора ознакомлен и согласен.</w:t>
      </w:r>
    </w:p>
    <w:p>
      <w:pPr>
        <w:pStyle w:val="1"/>
        <w:jc w:val="both"/>
      </w:pPr>
      <w:r>
        <w:rPr>
          <w:sz w:val="20"/>
        </w:rPr>
        <w:t xml:space="preserve">    С   размещением   презентационных   материалов   на  официальном  сайте</w:t>
      </w:r>
    </w:p>
    <w:p>
      <w:pPr>
        <w:pStyle w:val="1"/>
        <w:jc w:val="both"/>
      </w:pPr>
      <w:r>
        <w:rPr>
          <w:sz w:val="20"/>
        </w:rPr>
        <w:t xml:space="preserve">Федерального       агентства      по      делам      национальностей      в</w:t>
      </w:r>
    </w:p>
    <w:p>
      <w:pPr>
        <w:pStyle w:val="1"/>
        <w:jc w:val="both"/>
      </w:pPr>
      <w:r>
        <w:rPr>
          <w:sz w:val="20"/>
        </w:rPr>
        <w:t xml:space="preserve">информационно-телекоммуникационной сети "Интернет" согласен.</w:t>
      </w:r>
    </w:p>
    <w:p>
      <w:pPr>
        <w:pStyle w:val="1"/>
        <w:jc w:val="both"/>
      </w:pPr>
      <w:r>
        <w:rPr>
          <w:sz w:val="20"/>
        </w:rPr>
        <w:t xml:space="preserve">    По вопросам участия прошу взаимодействовать с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фамилия,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имя, отчество (при наличии),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должность контактного лица, его номер телефона и адрес электронной почты</w:t>
      </w:r>
    </w:p>
    <w:p>
      <w:pPr>
        <w:pStyle w:val="1"/>
        <w:jc w:val="both"/>
      </w:pPr>
      <w:r>
        <w:rPr>
          <w:sz w:val="20"/>
        </w:rPr>
        <w:t xml:space="preserve">    Достоверность   (действительность)   сведений,  указанных  в  настоящей</w:t>
      </w:r>
    </w:p>
    <w:p>
      <w:pPr>
        <w:pStyle w:val="1"/>
        <w:jc w:val="both"/>
      </w:pPr>
      <w:r>
        <w:rPr>
          <w:sz w:val="20"/>
        </w:rPr>
        <w:t xml:space="preserve">конкурсной заявке, гарантирую.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Приложение: 1. </w:t>
      </w:r>
      <w:hyperlink w:history="0" w:anchor="P117" w:tooltip="                                 Сведения">
        <w:r>
          <w:rPr>
            <w:sz w:val="20"/>
            <w:color w:val="0000ff"/>
          </w:rPr>
          <w:t xml:space="preserve">Сведения</w:t>
        </w:r>
      </w:hyperlink>
      <w:r>
        <w:rPr>
          <w:sz w:val="20"/>
        </w:rPr>
        <w:t xml:space="preserve">  о  значениях показателей для оценки конкурсной</w:t>
      </w:r>
    </w:p>
    <w:p>
      <w:pPr>
        <w:pStyle w:val="1"/>
        <w:jc w:val="both"/>
      </w:pPr>
      <w:r>
        <w:rPr>
          <w:sz w:val="20"/>
        </w:rPr>
        <w:t xml:space="preserve">                заявки </w:t>
      </w:r>
      <w:hyperlink w:history="0" w:anchor="P97" w:tooltip="&lt;3&gt; Сведения о значениях показателей для оценки конкурсной заявки оформляются в соответствии с приложением.">
        <w:r>
          <w:rPr>
            <w:sz w:val="20"/>
            <w:color w:val="0000ff"/>
          </w:rPr>
          <w:t xml:space="preserve">&lt;3&gt;</w:t>
        </w:r>
      </w:hyperlink>
      <w:r>
        <w:rPr>
          <w:sz w:val="20"/>
        </w:rPr>
        <w:t xml:space="preserve"> на ____ л. в 1 экз.</w:t>
      </w:r>
    </w:p>
    <w:p>
      <w:pPr>
        <w:pStyle w:val="1"/>
        <w:jc w:val="both"/>
      </w:pPr>
      <w:r>
        <w:rPr>
          <w:sz w:val="20"/>
        </w:rPr>
        <w:t xml:space="preserve">                2. Презентация конкурсной заявки на ____ л. в 1 экз.</w:t>
      </w:r>
    </w:p>
    <w:p>
      <w:pPr>
        <w:pStyle w:val="1"/>
        <w:jc w:val="both"/>
      </w:pPr>
      <w:r>
        <w:rPr>
          <w:sz w:val="20"/>
        </w:rPr>
        <w:t xml:space="preserve">                3.  Сведения  о  значениях  показателей  для оценки</w:t>
      </w:r>
    </w:p>
    <w:p>
      <w:pPr>
        <w:pStyle w:val="1"/>
        <w:jc w:val="both"/>
      </w:pPr>
      <w:r>
        <w:rPr>
          <w:sz w:val="20"/>
        </w:rPr>
        <w:t xml:space="preserve">                конкурсной заявки и Презентация конкурсной заявки на</w:t>
      </w:r>
    </w:p>
    <w:p>
      <w:pPr>
        <w:pStyle w:val="1"/>
        <w:jc w:val="both"/>
      </w:pPr>
      <w:r>
        <w:rPr>
          <w:sz w:val="20"/>
        </w:rPr>
        <w:t xml:space="preserve">                электронном носителе в 1 экз.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Глава муниципального образования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_____________    ____________________    __________________________________</w:t>
      </w:r>
    </w:p>
    <w:p>
      <w:pPr>
        <w:pStyle w:val="1"/>
        <w:jc w:val="both"/>
      </w:pPr>
      <w:r>
        <w:rPr>
          <w:sz w:val="20"/>
        </w:rPr>
        <w:t xml:space="preserve">   (дата)             (подпись)        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СОГЛАСОВАНО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должности</w:t>
      </w:r>
    </w:p>
    <w:p>
      <w:pPr>
        <w:pStyle w:val="1"/>
        <w:jc w:val="both"/>
      </w:pPr>
      <w:r>
        <w:rPr>
          <w:sz w:val="20"/>
        </w:rPr>
        <w:t xml:space="preserve">визирующего должностного лица)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    ____________________    __________________________________</w:t>
      </w:r>
    </w:p>
    <w:p>
      <w:pPr>
        <w:pStyle w:val="1"/>
        <w:jc w:val="both"/>
      </w:pPr>
      <w:r>
        <w:rPr>
          <w:sz w:val="20"/>
        </w:rPr>
        <w:t xml:space="preserve">   (дата)             (подпись)       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случае если наименование муниципального образования не включает наименование субъекта Российской Федерации, в строке после наименования муниципального образования в родительном падеже указывается наименование субъекта Российской Федерации, на территории которого расположено муниципальное образование.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Далее - конкурсная заявка.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Сведения о значениях показателей для оценки конкурсной заявки оформляются в соответствии с </w:t>
      </w:r>
      <w:hyperlink w:history="0" w:anchor="P117" w:tooltip="                                 Сведения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форме конкурсной заявки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образования,</w:t>
      </w:r>
    </w:p>
    <w:p>
      <w:pPr>
        <w:pStyle w:val="0"/>
        <w:jc w:val="right"/>
      </w:pPr>
      <w:r>
        <w:rPr>
          <w:sz w:val="20"/>
        </w:rPr>
        <w:t xml:space="preserve">представляемой для участия</w:t>
      </w:r>
    </w:p>
    <w:p>
      <w:pPr>
        <w:pStyle w:val="0"/>
        <w:jc w:val="right"/>
      </w:pPr>
      <w:r>
        <w:rPr>
          <w:sz w:val="20"/>
        </w:rPr>
        <w:t xml:space="preserve">во Всероссийском конкурсе</w:t>
      </w:r>
    </w:p>
    <w:p>
      <w:pPr>
        <w:pStyle w:val="0"/>
        <w:jc w:val="right"/>
      </w:pPr>
      <w:r>
        <w:rPr>
          <w:sz w:val="20"/>
        </w:rPr>
        <w:t xml:space="preserve">"Лучшая муниципальная практика"</w:t>
      </w:r>
    </w:p>
    <w:p>
      <w:pPr>
        <w:pStyle w:val="0"/>
        <w:jc w:val="right"/>
      </w:pPr>
      <w:r>
        <w:rPr>
          <w:sz w:val="20"/>
        </w:rPr>
        <w:t xml:space="preserve">по номинации "Укрепление</w:t>
      </w:r>
    </w:p>
    <w:p>
      <w:pPr>
        <w:pStyle w:val="0"/>
        <w:jc w:val="right"/>
      </w:pPr>
      <w:r>
        <w:rPr>
          <w:sz w:val="20"/>
        </w:rPr>
        <w:t xml:space="preserve">межнационального мира и согласия,</w:t>
      </w:r>
    </w:p>
    <w:p>
      <w:pPr>
        <w:pStyle w:val="0"/>
        <w:jc w:val="right"/>
      </w:pPr>
      <w:r>
        <w:rPr>
          <w:sz w:val="20"/>
        </w:rPr>
        <w:t xml:space="preserve">реализация иных мероприятий</w:t>
      </w:r>
    </w:p>
    <w:p>
      <w:pPr>
        <w:pStyle w:val="0"/>
        <w:jc w:val="right"/>
      </w:pPr>
      <w:r>
        <w:rPr>
          <w:sz w:val="20"/>
        </w:rPr>
        <w:t xml:space="preserve">в сфере национальной политики</w:t>
      </w:r>
    </w:p>
    <w:p>
      <w:pPr>
        <w:pStyle w:val="0"/>
        <w:jc w:val="right"/>
      </w:pPr>
      <w:r>
        <w:rPr>
          <w:sz w:val="20"/>
        </w:rPr>
        <w:t xml:space="preserve">на муниципальном уровне"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ФАДН России от 04.04.2022 N 52 &quot;О внесении изменений в приложения N 1 и N 2 к приказу Федерального агентства по делам национальностей от 23 июня 2020 г. N 76 &quot;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&quot;Лучшая муниципальная практика&quot; по номинации &quot;Укрепление межнационального мира и согласия, реализация иных мероприятий в сфере национальной политики на муниципальном уровне&quot; (Зарегистрировано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ФАДН России от 04.04.2022 N 52)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17" w:name="P117"/>
    <w:bookmarkEnd w:id="117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   о значениях показателей для оценки конкурсной заявки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I. Основные сведения по муниципальному образованию 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(полное наименование муниципального образования)</w:t>
      </w:r>
    </w:p>
    <w:p>
      <w:pPr>
        <w:pStyle w:val="1"/>
        <w:jc w:val="both"/>
      </w:pPr>
      <w:r>
        <w:rPr>
          <w:sz w:val="20"/>
        </w:rPr>
        <w:t xml:space="preserve">за _____________ год.</w:t>
      </w:r>
    </w:p>
    <w:p>
      <w:pPr>
        <w:pStyle w:val="1"/>
        <w:jc w:val="both"/>
      </w:pPr>
      <w:r>
        <w:rPr>
          <w:sz w:val="20"/>
        </w:rPr>
        <w:t xml:space="preserve">   (текущий год)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1.1. Тип муниципального образования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30"/>
        <w:gridCol w:w="6009"/>
        <w:gridCol w:w="1530"/>
      </w:tblGrid>
      <w:tr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участника конкурса</w:t>
            </w:r>
          </w:p>
        </w:tc>
        <w:tc>
          <w:tcPr>
            <w:tcW w:w="6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муниципального образования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Отметить нужное</w:t>
            </w:r>
          </w:p>
        </w:tc>
      </w:tr>
      <w:tr>
        <w:tc>
          <w:tcPr>
            <w:tcW w:w="15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60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муниципальный округ</w:t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городской округ (городской округ с внутригородским делением)</w:t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городское поселение</w:t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60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сельское поселение</w:t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1.2. Население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8"/>
        <w:gridCol w:w="1360"/>
        <w:gridCol w:w="2721"/>
      </w:tblGrid>
      <w:tr>
        <w:tc>
          <w:tcPr>
            <w:tcW w:w="49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физических лиц, зарегистрированных по месту жительства (пребывания) в муниципальном образовании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человек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1 января текущего года</w:t>
            </w:r>
          </w:p>
        </w:tc>
      </w:tr>
      <w:tr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1.3. Мигранты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8"/>
        <w:gridCol w:w="1360"/>
        <w:gridCol w:w="2721"/>
      </w:tblGrid>
      <w:tr>
        <w:tc>
          <w:tcPr>
            <w:tcW w:w="49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иностранных граждан, зарегистрированных по месту жительства (пребывания) в муниципальном образовании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1 января текущего года</w:t>
            </w:r>
          </w:p>
        </w:tc>
      </w:tr>
      <w:tr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1.4. Национальный состав (данные на 1 января текущего года) </w:t>
      </w:r>
      <w:hyperlink w:history="0" w:anchor="P422" w:tooltip="&lt;1&gt; Перечислить этнические группы, доля которых в населении превышает 1%, а при наличии в муниципальном образовании представителей коренных малочисленных народов указать их количество.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3911"/>
        <w:gridCol w:w="4081"/>
      </w:tblGrid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Этническая группа</w:t>
            </w:r>
          </w:p>
        </w:tc>
        <w:tc>
          <w:tcPr>
            <w:tcW w:w="40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Доля в населении муниципального образования (%).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коренных малочисленных народов Российской Федерации - количество (чел.).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II. Описание муниципальной практики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полное наименование муниципального образования и субъекта</w:t>
      </w:r>
    </w:p>
    <w:p>
      <w:pPr>
        <w:pStyle w:val="1"/>
        <w:jc w:val="both"/>
      </w:pPr>
      <w:r>
        <w:rPr>
          <w:sz w:val="20"/>
        </w:rPr>
        <w:t xml:space="preserve">                           Российской Федерации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"/>
        <w:gridCol w:w="6066"/>
        <w:gridCol w:w="2211"/>
      </w:tblGrid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0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в баллах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0" w:type="dxa"/>
            <w:tcBorders>
              <w:bottom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 Краткое описание ситуации, обусловившей необходимость реализации практики. Цели и задачи практики (не более 300 слов)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[...] </w:t>
            </w:r>
            <w:hyperlink w:history="0" w:anchor="P423" w:tooltip="&lt;2&gt; Здесь и далее в квадратные скобки включить требуемые описания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Практика реализована в связи с необходимостью решения конкретной острой проблемы в области межнациональных отношений либо иных задач в сфере реализации государственной национальной политики в муниципальном образовании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 </w:t>
            </w:r>
            <w:hyperlink w:history="0" w:anchor="P424" w:tooltip="&lt;3&gt; Здесь и далее вместо обозначения &quot;&lt;...&gt;&quot; указываются соответствующие значения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Практика реализована в целях укрепления межнационального мира и согласия на территории муниципального образования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Практика реализована в целях укрепления межконфессионального диалога на территории муниципального образования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Практика реализована с целью решения проблемы или комплекса проблем, типичных для целого ряда муниципальных образований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обеспечила решение конкретной задачи в сфере этнокультурного развития народов России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обеспечила решение конкретной задачи в сфере патриотического воспитания, способствовала формированию у детей и молодежи общероссийского гражданского самосознания, чувства патриотизма, гражданской ответственности, гордости за историю России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способствовала противодействию пропаганде идей экстремизма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обеспечила решение конкретной задачи в сфере адаптации и интеграции мигрантов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0" w:type="dxa"/>
            <w:tcBorders>
              <w:bottom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2. Краткое описание практики (резюме) и перечень мероприятий, которые были предприняты для того, чтобы реализовать практику ("дорожная карта")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(не более 1 000 слов)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0" w:type="dxa"/>
            <w:vAlign w:val="bottom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 развернутый поэтапный перечень мероприятий, которые были предприняты для того, чтобы реализовать практику ("дорожная карта")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Информация о проведенных в ходе практики мероприятиях размещена в разделе "Календарь событий" Государственной системы мониторинга межнациональных и межконфессиональных отношений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тиражируема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- 25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Презентационные материалы отличаются наглядностью и высоким качеством, использованы схемы, карты, диаграммы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способствовала сохранению и развитию культуры межнациональных (межэтнических) отношений в муниципальном образовании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способствовала повышению интереса к изучению истории и культуры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2.7.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направлена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2.8.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направлена на 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2.9.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содействовала предупреждению попыток фальсификации истории Российской Федерации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2.10.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способствовала этнокультурному развитию народа (народов) Российской Федерации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2.11.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способствовала популяризации и распространению классических и современных произведений литературы и искусства народов Российской Федерации, народного художественного творчества, проведению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2.12.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способствовала развитию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Федерации, расположенные в муниципальном образовании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2.13.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способствовала развитию этнокультурной инфраструктуры: домов дружбы, центров национальной культуры народов Российской Федерации, этнопарков, этнодеревень, иных муниципальных организаций, деятельность которых направлена на решение задач государственной национальной политики Российской Федерации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2.14.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стимулировала развитие народных промыслов и ремесел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2.15.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способствовала развитию национальных видов спорта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2.16.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обеспечила решение конкретной задачи в сфере популяризации русского языка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2.17.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обеспечила решение конкретной задачи в сфере изучения языков народов России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2.18.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обеспечила решение конкретной задачи в сфере адаптации и интеграции иностранных граждан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- 25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2.19.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обеспечила решение конкретной задачи в сфере сохранения традиционного образа жизни, хозяйственной деятельности, культуры коренных малочисленных народов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2.20.</w:t>
            </w:r>
          </w:p>
        </w:tc>
        <w:tc>
          <w:tcPr>
            <w:tcW w:w="606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получила позитивное освещение в средствах массовой информации на местном, региональном или общероссийском уровне (дать ссылки на публикации)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vMerge w:val="continue"/>
          </w:tcPr>
          <w:p/>
        </w:tc>
        <w:tc>
          <w:tcPr>
            <w:tcW w:w="6066" w:type="dxa"/>
            <w:vAlign w:val="bottom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</w:tc>
        <w:tc>
          <w:tcPr>
            <w:vMerge w:val="continue"/>
          </w:tcPr>
          <w:p/>
        </w:tc>
      </w:tr>
      <w:tr>
        <w:tc>
          <w:tcPr>
            <w:tcW w:w="7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2.21.</w:t>
            </w:r>
          </w:p>
        </w:tc>
        <w:tc>
          <w:tcPr>
            <w:tcW w:w="606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Осуществлялось информационное сопровождение практики в социальных сетях и блогах (дать ссылки на публикации, не более 5)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vMerge w:val="continue"/>
          </w:tcPr>
          <w:p/>
        </w:tc>
        <w:tc>
          <w:tcPr>
            <w:tcW w:w="6066" w:type="dxa"/>
            <w:vAlign w:val="bottom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</w:tc>
        <w:tc>
          <w:tcPr>
            <w:vMerge w:val="continue"/>
          </w:tcPr>
          <w:p/>
        </w:tc>
      </w:tr>
      <w:tr>
        <w:tc>
          <w:tcPr>
            <w:tcW w:w="7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2.22.</w:t>
            </w:r>
          </w:p>
        </w:tc>
        <w:tc>
          <w:tcPr>
            <w:tcW w:w="606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ходе реализации практики муниципальное образование принимало участие в региональных и общероссийских мероприятиях (указать, каких)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vMerge w:val="continue"/>
          </w:tcPr>
          <w:p/>
        </w:tc>
        <w:tc>
          <w:tcPr>
            <w:tcW w:w="6066" w:type="dxa"/>
            <w:vAlign w:val="bottom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</w:tc>
        <w:tc>
          <w:tcPr>
            <w:vMerge w:val="continue"/>
          </w:tcPr>
          <w:p/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3. Участники проекта внедрения практики</w:t>
            </w:r>
          </w:p>
        </w:tc>
      </w:tr>
      <w:tr>
        <w:tc>
          <w:tcPr>
            <w:tcW w:w="7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606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Реализованная практика выполнена с привлечением национально-культурных и общественных объединений, религиозных организаций (указать, каких)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vMerge w:val="continue"/>
          </w:tcPr>
          <w:p/>
        </w:tc>
        <w:tc>
          <w:tcPr>
            <w:tcW w:w="6066" w:type="dxa"/>
            <w:vAlign w:val="bottom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</w:tc>
        <w:tc>
          <w:tcPr>
            <w:vMerge w:val="continue"/>
          </w:tcPr>
          <w:p/>
        </w:tc>
      </w:tr>
      <w:tr>
        <w:tc>
          <w:tcPr>
            <w:tcW w:w="7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606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Практика реализована с привлечением образовательных организаций (указать, каких)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vMerge w:val="continue"/>
          </w:tcPr>
          <w:p/>
        </w:tc>
        <w:tc>
          <w:tcPr>
            <w:tcW w:w="6066" w:type="dxa"/>
            <w:vAlign w:val="bottom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</w:tc>
        <w:tc>
          <w:tcPr>
            <w:vMerge w:val="continue"/>
          </w:tcPr>
          <w:p/>
        </w:tc>
      </w:tr>
      <w:tr>
        <w:tc>
          <w:tcPr>
            <w:tcW w:w="7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606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Практика реализована с привлечением спортивных организаций (указать, каких)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vMerge w:val="continue"/>
          </w:tcPr>
          <w:p/>
        </w:tc>
        <w:tc>
          <w:tcPr>
            <w:tcW w:w="6066" w:type="dxa"/>
            <w:vAlign w:val="bottom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</w:tc>
        <w:tc>
          <w:tcPr>
            <w:vMerge w:val="continue"/>
          </w:tcPr>
          <w:p/>
        </w:tc>
      </w:tr>
      <w:tr>
        <w:tc>
          <w:tcPr>
            <w:tcW w:w="7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606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Практика реализована с привлечением учреждений культуры - музеев, библиотек и т.п. (указать, каких)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vMerge w:val="continue"/>
          </w:tcPr>
          <w:p/>
        </w:tc>
        <w:tc>
          <w:tcPr>
            <w:tcW w:w="6066" w:type="dxa"/>
            <w:vAlign w:val="bottom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</w:tc>
        <w:tc>
          <w:tcPr>
            <w:vMerge w:val="continue"/>
          </w:tcPr>
          <w:p/>
        </w:tc>
      </w:tr>
      <w:tr>
        <w:tc>
          <w:tcPr>
            <w:tcW w:w="7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3.5.</w:t>
            </w:r>
          </w:p>
        </w:tc>
        <w:tc>
          <w:tcPr>
            <w:tcW w:w="606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Практика реализована с привлечением общественных объединений, представляющих интересы мигрантов (указать, каких)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vMerge w:val="continue"/>
          </w:tcPr>
          <w:p/>
        </w:tc>
        <w:tc>
          <w:tcPr>
            <w:tcW w:w="6066" w:type="dxa"/>
            <w:vAlign w:val="bottom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</w:tc>
        <w:tc>
          <w:tcPr>
            <w:vMerge w:val="continue"/>
          </w:tcPr>
          <w:p/>
        </w:tc>
      </w:tr>
      <w:tr>
        <w:tc>
          <w:tcPr>
            <w:tcW w:w="7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3.6.</w:t>
            </w:r>
          </w:p>
        </w:tc>
        <w:tc>
          <w:tcPr>
            <w:tcW w:w="606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Укрепление межмуниципального сотрудничества: организованное участие в мероприятиях представителей других муниципальных образований (указать, каких именно и в каких мероприятиях)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vMerge w:val="continue"/>
          </w:tcPr>
          <w:p/>
        </w:tc>
        <w:tc>
          <w:tcPr>
            <w:tcW w:w="6066" w:type="dxa"/>
            <w:vAlign w:val="bottom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</w:tc>
        <w:tc>
          <w:tcPr>
            <w:vMerge w:val="continue"/>
          </w:tcPr>
          <w:p/>
        </w:tc>
      </w:tr>
      <w:tr>
        <w:tc>
          <w:tcPr>
            <w:tcW w:w="7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3.7.</w:t>
            </w:r>
          </w:p>
        </w:tc>
        <w:tc>
          <w:tcPr>
            <w:tcW w:w="606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Укрепление межрегионального сотрудничества: организованное участие в мероприятиях представителей других субъектов Российской Федерации (указать, каких именно и в каких мероприятиях)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vMerge w:val="continue"/>
          </w:tcPr>
          <w:p/>
        </w:tc>
        <w:tc>
          <w:tcPr>
            <w:tcW w:w="6066" w:type="dxa"/>
            <w:vAlign w:val="bottom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</w:tc>
        <w:tc>
          <w:tcPr>
            <w:vMerge w:val="continue"/>
          </w:tcPr>
          <w:p/>
        </w:tc>
      </w:tr>
      <w:tr>
        <w:tc>
          <w:tcPr>
            <w:tcW w:w="7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3.8.</w:t>
            </w:r>
          </w:p>
        </w:tc>
        <w:tc>
          <w:tcPr>
            <w:tcW w:w="606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муниципальных образованиях (указать количество участников и названия мероприятий)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vMerge w:val="continue"/>
          </w:tcPr>
          <w:p/>
        </w:tc>
        <w:tc>
          <w:tcPr>
            <w:tcW w:w="6066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</w:tc>
        <w:tc>
          <w:tcPr>
            <w:vMerge w:val="continue"/>
          </w:tcPr>
          <w:p/>
        </w:tc>
      </w:tr>
      <w:tr>
        <w:tc>
          <w:tcPr>
            <w:tcW w:w="7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3.9.</w:t>
            </w:r>
          </w:p>
        </w:tc>
        <w:tc>
          <w:tcPr>
            <w:tcW w:w="606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субъектах Российской Федерации (указать количество участников и названия мероприятий)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vMerge w:val="continue"/>
          </w:tcPr>
          <w:p/>
        </w:tc>
        <w:tc>
          <w:tcPr>
            <w:tcW w:w="6066" w:type="dxa"/>
            <w:vAlign w:val="bottom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3"/>
            <w:tcW w:w="9070" w:type="dxa"/>
            <w:tcBorders>
              <w:bottom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4. Эффект от реализации практики (краткое описание, не более 300 слов)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0" w:type="dxa"/>
            <w:vAlign w:val="bottom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Отсутствие в отчетном году в муниципальном образовании конфликтных ситуаций на национальной и религиозной почве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- 50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Поставленная задача решена полностью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&lt;...&gt;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 - 20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 - 0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Глава муниципального образования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_____________    ____________________    __________________________________</w:t>
      </w:r>
    </w:p>
    <w:p>
      <w:pPr>
        <w:pStyle w:val="1"/>
        <w:jc w:val="both"/>
      </w:pPr>
      <w:r>
        <w:rPr>
          <w:sz w:val="20"/>
        </w:rPr>
        <w:t xml:space="preserve">   (дата)             (подпись)        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СОГЛАСОВАНО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должности</w:t>
      </w:r>
    </w:p>
    <w:p>
      <w:pPr>
        <w:pStyle w:val="1"/>
        <w:jc w:val="both"/>
      </w:pPr>
      <w:r>
        <w:rPr>
          <w:sz w:val="20"/>
        </w:rPr>
        <w:t xml:space="preserve">визирующего должностного лица)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    ____________________    __________________________________</w:t>
      </w:r>
    </w:p>
    <w:p>
      <w:pPr>
        <w:pStyle w:val="1"/>
        <w:jc w:val="both"/>
      </w:pPr>
      <w:r>
        <w:rPr>
          <w:sz w:val="20"/>
        </w:rPr>
        <w:t xml:space="preserve">   (дата)             (подпись)       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22" w:name="P422"/>
    <w:bookmarkEnd w:id="4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Перечислить этнические группы, доля которых в населении превышает 1%, а при наличии в муниципальном образовании представителей коренных малочисленных народов указать их количество.</w:t>
      </w:r>
    </w:p>
    <w:bookmarkStart w:id="423" w:name="P423"/>
    <w:bookmarkEnd w:id="4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Здесь и далее в квадратные скобки включить требуемые описания.</w:t>
      </w:r>
    </w:p>
    <w:bookmarkStart w:id="424" w:name="P424"/>
    <w:bookmarkEnd w:id="4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Здесь и далее вместо обозначения "&lt;...&gt;" указываются соответствующие значения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 агентства</w:t>
      </w:r>
    </w:p>
    <w:p>
      <w:pPr>
        <w:pStyle w:val="0"/>
        <w:jc w:val="right"/>
      </w:pPr>
      <w:r>
        <w:rPr>
          <w:sz w:val="20"/>
        </w:rPr>
        <w:t xml:space="preserve">по делам национальностей</w:t>
      </w:r>
    </w:p>
    <w:p>
      <w:pPr>
        <w:pStyle w:val="0"/>
        <w:jc w:val="right"/>
      </w:pPr>
      <w:r>
        <w:rPr>
          <w:sz w:val="20"/>
        </w:rPr>
        <w:t xml:space="preserve">от 23.06.2020 N 76</w:t>
      </w:r>
    </w:p>
    <w:p>
      <w:pPr>
        <w:pStyle w:val="0"/>
        <w:jc w:val="both"/>
      </w:pPr>
      <w:r>
        <w:rPr>
          <w:sz w:val="20"/>
        </w:rPr>
      </w:r>
    </w:p>
    <w:bookmarkStart w:id="435" w:name="P435"/>
    <w:bookmarkEnd w:id="435"/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ОЦЕНКИ КОНКУРСНЫХ ЗАЯВОК МУНИЦИПАЛЬНЫХ ОБРАЗОВАНИЙ,</w:t>
      </w:r>
    </w:p>
    <w:p>
      <w:pPr>
        <w:pStyle w:val="2"/>
        <w:jc w:val="center"/>
      </w:pPr>
      <w:r>
        <w:rPr>
          <w:sz w:val="20"/>
        </w:rPr>
        <w:t xml:space="preserve">ПРЕДСТАВЛЯЕМЫХ ДЛЯ УЧАСТИЯ ВО ВСЕРОССИЙСКОМ КОНКУРСЕ</w:t>
      </w:r>
    </w:p>
    <w:p>
      <w:pPr>
        <w:pStyle w:val="2"/>
        <w:jc w:val="center"/>
      </w:pPr>
      <w:r>
        <w:rPr>
          <w:sz w:val="20"/>
        </w:rPr>
        <w:t xml:space="preserve">"ЛУЧШАЯ МУНИЦИПАЛЬНАЯ ПРАКТИКА" ПО НОМИНАЦИИ "УКРЕПЛЕНИЕ</w:t>
      </w:r>
    </w:p>
    <w:p>
      <w:pPr>
        <w:pStyle w:val="2"/>
        <w:jc w:val="center"/>
      </w:pPr>
      <w:r>
        <w:rPr>
          <w:sz w:val="20"/>
        </w:rPr>
        <w:t xml:space="preserve">МЕЖНАЦИОНАЛЬНОГО МИРА И СОГЛАСИЯ, РЕАЛИЗАЦИЯ ИНЫХ</w:t>
      </w:r>
    </w:p>
    <w:p>
      <w:pPr>
        <w:pStyle w:val="2"/>
        <w:jc w:val="center"/>
      </w:pPr>
      <w:r>
        <w:rPr>
          <w:sz w:val="20"/>
        </w:rPr>
        <w:t xml:space="preserve">МЕРОПРИЯТИЙ В СФЕРЕ НАЦИОНАЛЬНОЙ ПОЛИТИКИ</w:t>
      </w:r>
    </w:p>
    <w:p>
      <w:pPr>
        <w:pStyle w:val="2"/>
        <w:jc w:val="center"/>
      </w:pPr>
      <w:r>
        <w:rPr>
          <w:sz w:val="20"/>
        </w:rPr>
        <w:t xml:space="preserve">НА МУНИЦИПАЛЬНОМ УРОВНЕ"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риказ ФАДН России от 04.04.2022 N 52 &quot;О внесении изменений в приложения N 1 и N 2 к приказу Федерального агентства по делам национальностей от 23 июня 2020 г. N 76 &quot;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&quot;Лучшая муниципальная практика&quot; по номинации &quot;Укрепление межнационального мира и согласия, реализация иных мероприятий в сфере национальной политики на муниципальном уровне&quot; (Зарегистрировано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ФАДН России от 04.04.2022 N 52)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Настоящей методикой в соответствии с </w:t>
      </w:r>
      <w:hyperlink w:history="0" r:id="rId14" w:tooltip="Постановление Правительства РФ от 18.08.2016 N 815 (ред. от 09.12.2022) &quot;О Всероссийском конкурсе &quot;Лучшая муниципальная практика&quot; (вместе с &quot;Положением о Всероссийском конкурсе &quot;Лучшая муниципальная практика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5335; 2020, N 23, ст. 3650) определяется процедура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(далее - конкурсные заявки, конкурс, номинация соответственно).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Оценка конкурсных заявок осуществляется по каждой категории участников конкурса, указанных в </w:t>
      </w:r>
      <w:hyperlink w:history="0" r:id="rId15" w:tooltip="Постановление Правительства РФ от 18.08.2016 N 815 (ред. от 09.12.2022) &quot;О Всероссийском конкурсе &quot;Лучшая муниципальная практика&quot; (вместе с &quot;Положением о Всероссийском конкурсе &quot;Лучшая муниципальная практика&quot;) {КонсультантПлюс}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в целях последовательного выявления и отбора примеров лучшей муниципальной практики на региональном и федеральном этапах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 "практикой" понимается одно мероприятие или комплекс мероприятий, предпринятых для решения какой-либо задачи. Указанные мероприятия должны быть проведены в течение двух календарных лет до даты подачи конкурсной заявки.</w:t>
      </w:r>
    </w:p>
    <w:bookmarkStart w:id="448" w:name="P448"/>
    <w:bookmarkEnd w:id="4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Оценка конкурсных заявок на региональном этапе конкурса рассчитывается органом исполнительной власти субъекта Российской Федерации, организационным комитетом или иным коллегиальным органом, образованным для проведения регионального этапа конкурса в соответствующем субъекте Российской Федерации (далее - региональный организатор),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рег</w:t>
      </w:r>
      <w:r>
        <w:rPr>
          <w:sz w:val="20"/>
        </w:rPr>
        <w:t xml:space="preserve"> = П</w:t>
      </w:r>
      <w:r>
        <w:rPr>
          <w:sz w:val="20"/>
          <w:vertAlign w:val="subscript"/>
        </w:rPr>
        <w:t xml:space="preserve">1</w:t>
      </w:r>
      <w:r>
        <w:rPr>
          <w:sz w:val="20"/>
        </w:rPr>
        <w:t xml:space="preserve"> x К</w:t>
      </w:r>
      <w:r>
        <w:rPr>
          <w:sz w:val="20"/>
          <w:vertAlign w:val="subscript"/>
        </w:rPr>
        <w:t xml:space="preserve">1</w:t>
      </w:r>
      <w:r>
        <w:rPr>
          <w:sz w:val="20"/>
        </w:rPr>
        <w:t xml:space="preserve"> + П</w:t>
      </w:r>
      <w:r>
        <w:rPr>
          <w:sz w:val="20"/>
          <w:vertAlign w:val="subscript"/>
        </w:rPr>
        <w:t xml:space="preserve">2</w:t>
      </w:r>
      <w:r>
        <w:rPr>
          <w:sz w:val="20"/>
        </w:rPr>
        <w:t xml:space="preserve"> x К</w:t>
      </w:r>
      <w:r>
        <w:rPr>
          <w:sz w:val="20"/>
          <w:vertAlign w:val="subscript"/>
        </w:rPr>
        <w:t xml:space="preserve">2</w:t>
      </w:r>
      <w:r>
        <w:rPr>
          <w:sz w:val="20"/>
        </w:rPr>
        <w:t xml:space="preserve"> + П</w:t>
      </w:r>
      <w:r>
        <w:rPr>
          <w:sz w:val="20"/>
          <w:vertAlign w:val="subscript"/>
        </w:rPr>
        <w:t xml:space="preserve">3</w:t>
      </w:r>
      <w:r>
        <w:rPr>
          <w:sz w:val="20"/>
        </w:rPr>
        <w:t xml:space="preserve"> x К</w:t>
      </w:r>
      <w:r>
        <w:rPr>
          <w:sz w:val="20"/>
          <w:vertAlign w:val="subscript"/>
        </w:rPr>
        <w:t xml:space="preserve">3</w:t>
      </w:r>
      <w:r>
        <w:rPr>
          <w:sz w:val="20"/>
        </w:rPr>
        <w:t xml:space="preserve"> + П</w:t>
      </w:r>
      <w:r>
        <w:rPr>
          <w:sz w:val="20"/>
          <w:vertAlign w:val="subscript"/>
        </w:rPr>
        <w:t xml:space="preserve">4</w:t>
      </w:r>
      <w:r>
        <w:rPr>
          <w:sz w:val="20"/>
        </w:rPr>
        <w:t xml:space="preserve"> x К</w:t>
      </w:r>
      <w:r>
        <w:rPr>
          <w:sz w:val="20"/>
          <w:vertAlign w:val="subscript"/>
        </w:rPr>
        <w:t xml:space="preserve">4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</w:t>
      </w:r>
      <w:r>
        <w:rPr>
          <w:sz w:val="20"/>
          <w:vertAlign w:val="subscript"/>
        </w:rPr>
        <w:t xml:space="preserve">1</w:t>
      </w:r>
      <w:r>
        <w:rPr>
          <w:sz w:val="20"/>
        </w:rPr>
        <w:t xml:space="preserve">, П</w:t>
      </w:r>
      <w:r>
        <w:rPr>
          <w:sz w:val="20"/>
          <w:vertAlign w:val="subscript"/>
        </w:rPr>
        <w:t xml:space="preserve">2</w:t>
      </w:r>
      <w:r>
        <w:rPr>
          <w:sz w:val="20"/>
        </w:rPr>
        <w:t xml:space="preserve">, П</w:t>
      </w:r>
      <w:r>
        <w:rPr>
          <w:sz w:val="20"/>
          <w:vertAlign w:val="subscript"/>
        </w:rPr>
        <w:t xml:space="preserve">3</w:t>
      </w:r>
      <w:r>
        <w:rPr>
          <w:sz w:val="20"/>
        </w:rPr>
        <w:t xml:space="preserve">, П</w:t>
      </w:r>
      <w:r>
        <w:rPr>
          <w:sz w:val="20"/>
          <w:vertAlign w:val="subscript"/>
        </w:rPr>
        <w:t xml:space="preserve">4</w:t>
      </w:r>
      <w:r>
        <w:rPr>
          <w:sz w:val="20"/>
        </w:rPr>
        <w:t xml:space="preserve"> - значения показателей, предусмотренных соответственно </w:t>
      </w:r>
      <w:hyperlink w:history="0" w:anchor="P512" w:tooltip="1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w:anchor="P564" w:tooltip="4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перечня показателей для оценки конкурсных заявок (далее - перечень показателей), приведенного в приложении к настоящей методике, К</w:t>
      </w:r>
      <w:r>
        <w:rPr>
          <w:sz w:val="20"/>
          <w:vertAlign w:val="subscript"/>
        </w:rPr>
        <w:t xml:space="preserve">1</w:t>
      </w:r>
      <w:r>
        <w:rPr>
          <w:sz w:val="20"/>
        </w:rPr>
        <w:t xml:space="preserve"> - К</w:t>
      </w:r>
      <w:r>
        <w:rPr>
          <w:sz w:val="20"/>
          <w:vertAlign w:val="subscript"/>
        </w:rPr>
        <w:t xml:space="preserve">4</w:t>
      </w:r>
      <w:r>
        <w:rPr>
          <w:sz w:val="20"/>
        </w:rPr>
        <w:t xml:space="preserve"> - коэффициенты соответствующих показателей, предусмотренные </w:t>
      </w:r>
      <w:hyperlink w:history="0" w:anchor="P500" w:tooltip="ПЕРЕЧЕНЬ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настоящей методике. Значение показателей определяется в соответствии с требованиями, предусмотренными </w:t>
      </w:r>
      <w:hyperlink w:history="0" w:anchor="P500" w:tooltip="ПЕРЕЧЕНЬ">
        <w:r>
          <w:rPr>
            <w:sz w:val="20"/>
            <w:color w:val="0000ff"/>
          </w:rPr>
          <w:t xml:space="preserve">приложением к</w:t>
        </w:r>
      </w:hyperlink>
      <w:r>
        <w:rPr>
          <w:sz w:val="20"/>
        </w:rPr>
        <w:t xml:space="preserve"> настоящей методике.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представления в федеральную конкурсную комиссию по организации и проведению Всероссийского конкурса "Лучшая муниципальная практика" (далее - конкурсная комиссия) региональным организатором по каждой категории участников конкурса отбираются конкурсные заявки, набравшие наибольшее количество баллов в соответствии с </w:t>
      </w:r>
      <w:hyperlink w:history="0" w:anchor="P448" w:tooltip="4. Оценка конкурсных заявок на региональном этапе конкурса рассчитывается органом исполнительной власти субъекта Российской Федерации, организационным комитетом или иным коллегиальным органом, образованным для проведения регионального этапа конкурса в соответствующем субъекте Российской Федерации (далее - региональный организатор), по формуле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настоящей методики. При этом по каждой категории участников конкурса отбираются, как правило, не более 3 конкурсных заявок для участия в федеральном этапе конкурса.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риказ ФАДН России от 04.04.2022 N 52 &quot;О внесении изменений в приложения N 1 и N 2 к приказу Федерального агентства по делам национальностей от 23 июня 2020 г. N 76 &quot;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&quot;Лучшая муниципальная практика&quot; по номинации &quot;Укрепление межнационального мира и согласия, реализация иных мероприятий в сфере национальной политики на муниципальном уровне&quot; (Зарегистрировано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ФАДН России от 04.04.2022 N 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Конкурсная заявка подается на каждого победителя регионального этапа и включает два приложения - "Сведения о значениях показателей для оценки конкурсной заявки" и презентацию конкурсной заявки. Презентация готовится в свободной форме. В ней должны быть наиболее полно раскрыты примеры мероприятий в сфере реализации в муниципальном образовании государственной национальной политики Российской Федерации. Необходимо дать описание 1 - 3 мероприятий, в зависимости от типа муниципального образования. Для сельских поселений - 1 мероприятие, для городских поселений с населением до 250 тысяч человек - 2 мероприятия, с населением свыше 250 тысяч человек - 3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Конкурсная заявка, представляемая по результатам регионального этапа конкурса в конкурсную комиссию, и сведения о значениях показателей для оценки конкурсной заявки визируются высшим должностным лицом (руководителем высшего исполнительного органа государственной власти) субъекта Российской Федерации либо его заместителем.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w:history="0" r:id="rId17" w:tooltip="Постановление Правительства РФ от 18.08.2016 N 815 (ред. от 09.12.2022) &quot;О Всероссийском конкурсе &quot;Лучшая муниципальная практика&quot; (вместе с &quot;Положением о Всероссийском конкурсе &quot;Лучшая муниципальная практика&quot;) {КонсультантПлюс}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конкурсная заявка и сведения о значениях показателей для оценки конкурсной заявки визируются должностным лицом указанной некоммерческой организации, уполномоченным действовать от ее имени без доверенности.</w:t>
      </w:r>
    </w:p>
    <w:bookmarkStart w:id="459" w:name="P459"/>
    <w:bookmarkEnd w:id="4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Конкурсные заявки, поступившие в конкурсную комиссию, распределяются по каждой категории участников конкурса с использованием формулы, предусмотренной </w:t>
      </w:r>
      <w:hyperlink w:history="0" w:anchor="P448" w:tooltip="4. Оценка конкурсных заявок на региональном этапе конкурса рассчитывается органом исполнительной власти субъекта Российской Федерации, организационным комитетом или иным коллегиальным органом, образованным для проведения регионального этапа конкурса в соответствующем субъекте Российской Федерации (далее - региональный организатор), по формуле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настоящей методики, по убыванию количества набранных баллов.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ФАДН России от 04.04.2022 N 52 &quot;О внесении изменений в приложения N 1 и N 2 к приказу Федерального агентства по делам национальностей от 23 июня 2020 г. N 76 &quot;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&quot;Лучшая муниципальная практика&quot; по номинации &quot;Укрепление межнационального мира и согласия, реализация иных мероприятий в сфере национальной политики на муниципальном уровне&quot; (Зарегистрировано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ФАДН России от 04.04.2022 N 52)</w:t>
      </w:r>
    </w:p>
    <w:bookmarkStart w:id="461" w:name="P461"/>
    <w:bookmarkEnd w:id="4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Оценка конкурсных заявок на федеральном уровне осуществляется в отношении 10 лучших муниципальных образований в каждой категории участников конкурса, набравших в соответствии с </w:t>
      </w:r>
      <w:hyperlink w:history="0" w:anchor="P448" w:tooltip="4. Оценка конкурсных заявок на региональном этапе конкурса рассчитывается органом исполнительной власти субъекта Российской Федерации, организационным комитетом или иным коллегиальным органом, образованным для проведения регионального этапа конкурса в соответствующем субъекте Российской Федерации (далее - региональный организатор), по формуле: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и </w:t>
      </w:r>
      <w:hyperlink w:history="0" w:anchor="P459" w:tooltip="6. Конкурсные заявки, поступившие в конкурсную комиссию, распределяются по каждой категории участников конкурса с использованием формулы, предусмотренной пунктом 4 настоящей методики, по убыванию количества набранных баллов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настоящей методики наибольшее количество баллов, и рассчитывается по формуле: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ФАДН России от 04.04.2022 N 52 &quot;О внесении изменений в приложения N 1 и N 2 к приказу Федерального агентства по делам национальностей от 23 июня 2020 г. N 76 &quot;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&quot;Лучшая муниципальная практика&quot; по номинации &quot;Укрепление межнационального мира и согласия, реализация иных мероприятий в сфере национальной политики на муниципальном уровне&quot; (Зарегистрировано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ФАДН России от 04.04.2022 N 52)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фед</w:t>
      </w:r>
      <w:r>
        <w:rPr>
          <w:sz w:val="20"/>
        </w:rPr>
        <w:t xml:space="preserve"> = 0,8 x К</w:t>
      </w:r>
      <w:r>
        <w:rPr>
          <w:sz w:val="20"/>
          <w:vertAlign w:val="subscript"/>
        </w:rPr>
        <w:t xml:space="preserve">рег</w:t>
      </w:r>
      <w:r>
        <w:rPr>
          <w:sz w:val="20"/>
        </w:rPr>
        <w:t xml:space="preserve"> + 0,2 x О</w:t>
      </w:r>
      <w:r>
        <w:rPr>
          <w:sz w:val="20"/>
          <w:vertAlign w:val="subscript"/>
        </w:rPr>
        <w:t xml:space="preserve">э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 О</w:t>
      </w:r>
      <w:r>
        <w:rPr>
          <w:sz w:val="20"/>
          <w:vertAlign w:val="subscript"/>
        </w:rPr>
        <w:t xml:space="preserve">э</w:t>
      </w:r>
      <w:r>
        <w:rPr>
          <w:sz w:val="20"/>
        </w:rPr>
        <w:t xml:space="preserve"> - значение экспертной оценки конкурсной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Экспертная оценка осуществляется в соответствии с экспертными мнениями простого большинства членов подкомиссии следующим образом: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7"/>
        </w:rPr>
        <w:drawing>
          <wp:inline distT="0" distB="0" distL="0" distR="0">
            <wp:extent cx="815340" cy="4724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общее число опросных листов, заполненных членами подкомиссии;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P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значение экспертной оценки конкурсной заявки i-м членом подкомиссии (от 1 до 10 баллов), при этом лучшей, по мнению i-го члена подкомиссии, конкурсной заявке присваивается наибольшее количество баллов.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Выставление экспертной оценки осуществляется членами подкомиссии после ознакомления с конкурсной заявкой практики, признанной лучшей в соответствующем субъекте Российской Федерации, и приложениями к 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выставлении экспертной оценки членами подкомиссии учитываются следующие факторы: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уникальные преимущества и сильные стороны практики, выделяющие ее из ряда подобных;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алгоритмы (последовательность) действий по внедрению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ресурсы (материальные и нематериальные средства), которые необходимы для реализации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повторения (тиражирования) практики в других муниципальных образованиях;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риски, которые необходимо принять во внимание при использовании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 каждой категории участников конкурса определяется по 5 победителей конкурса, набравших наибольшее количество баллов в соответствии с </w:t>
      </w:r>
      <w:hyperlink w:history="0" w:anchor="P461" w:tooltip="7. Оценка конкурсных заявок на федеральном уровне осуществляется в отношении 10 лучших муниципальных образований в каждой категории участников конкурса, набравших в соответствии с пунктами 4 и 6 настоящей методики наибольшее количество баллов, и рассчитывается по формуле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настоящей методики, среди которых распределяются первое - пятое места победителей конкурса.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21" w:tooltip="Приказ ФАДН России от 04.04.2022 N 52 &quot;О внесении изменений в приложения N 1 и N 2 к приказу Федерального агентства по делам национальностей от 23 июня 2020 г. N 76 &quot;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&quot;Лучшая муниципальная практика&quot; по номинации &quot;Укрепление межнационального мира и согласия, реализация иных мероприятий в сфере национальной политики на муниципальном уровне&quot; (Зарегистрировано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ФАДН России от 04.04.2022 N 52)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методике оценки конкурсных</w:t>
      </w:r>
    </w:p>
    <w:p>
      <w:pPr>
        <w:pStyle w:val="0"/>
        <w:jc w:val="right"/>
      </w:pPr>
      <w:r>
        <w:rPr>
          <w:sz w:val="20"/>
        </w:rPr>
        <w:t xml:space="preserve">заявок муниципальных образований,</w:t>
      </w:r>
    </w:p>
    <w:p>
      <w:pPr>
        <w:pStyle w:val="0"/>
        <w:jc w:val="right"/>
      </w:pPr>
      <w:r>
        <w:rPr>
          <w:sz w:val="20"/>
        </w:rPr>
        <w:t xml:space="preserve">представляемых для участия</w:t>
      </w:r>
    </w:p>
    <w:p>
      <w:pPr>
        <w:pStyle w:val="0"/>
        <w:jc w:val="right"/>
      </w:pPr>
      <w:r>
        <w:rPr>
          <w:sz w:val="20"/>
        </w:rPr>
        <w:t xml:space="preserve">во Всероссийском конкурсе</w:t>
      </w:r>
    </w:p>
    <w:p>
      <w:pPr>
        <w:pStyle w:val="0"/>
        <w:jc w:val="right"/>
      </w:pPr>
      <w:r>
        <w:rPr>
          <w:sz w:val="20"/>
        </w:rPr>
        <w:t xml:space="preserve">"Лучшая муниципальная практика"</w:t>
      </w:r>
    </w:p>
    <w:p>
      <w:pPr>
        <w:pStyle w:val="0"/>
        <w:jc w:val="right"/>
      </w:pPr>
      <w:r>
        <w:rPr>
          <w:sz w:val="20"/>
        </w:rPr>
        <w:t xml:space="preserve">по номинации "Укрепление</w:t>
      </w:r>
    </w:p>
    <w:p>
      <w:pPr>
        <w:pStyle w:val="0"/>
        <w:jc w:val="right"/>
      </w:pPr>
      <w:r>
        <w:rPr>
          <w:sz w:val="20"/>
        </w:rPr>
        <w:t xml:space="preserve">межнационального мира и согласия,</w:t>
      </w:r>
    </w:p>
    <w:p>
      <w:pPr>
        <w:pStyle w:val="0"/>
        <w:jc w:val="right"/>
      </w:pPr>
      <w:r>
        <w:rPr>
          <w:sz w:val="20"/>
        </w:rPr>
        <w:t xml:space="preserve">реализация иных мероприятий</w:t>
      </w:r>
    </w:p>
    <w:p>
      <w:pPr>
        <w:pStyle w:val="0"/>
        <w:jc w:val="right"/>
      </w:pPr>
      <w:r>
        <w:rPr>
          <w:sz w:val="20"/>
        </w:rPr>
        <w:t xml:space="preserve">в сфере национальной политики</w:t>
      </w:r>
    </w:p>
    <w:p>
      <w:pPr>
        <w:pStyle w:val="0"/>
        <w:jc w:val="right"/>
      </w:pPr>
      <w:r>
        <w:rPr>
          <w:sz w:val="20"/>
        </w:rPr>
        <w:t xml:space="preserve">на муниципальном уровне"</w:t>
      </w:r>
    </w:p>
    <w:p>
      <w:pPr>
        <w:pStyle w:val="0"/>
        <w:jc w:val="both"/>
      </w:pPr>
      <w:r>
        <w:rPr>
          <w:sz w:val="20"/>
        </w:rPr>
      </w:r>
    </w:p>
    <w:bookmarkStart w:id="500" w:name="P500"/>
    <w:bookmarkEnd w:id="50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ПОКАЗАТЕЛЕЙ ДЛЯ ОЦЕНКИ КОНКУРСНЫХ ЗАЯВОК МУНИЦИПАЛЬНЫХ</w:t>
      </w:r>
    </w:p>
    <w:p>
      <w:pPr>
        <w:pStyle w:val="2"/>
        <w:jc w:val="center"/>
      </w:pPr>
      <w:r>
        <w:rPr>
          <w:sz w:val="20"/>
        </w:rPr>
        <w:t xml:space="preserve">ОБРАЗОВАНИЙ, ПРЕДСТАВЛЯЕМЫХ ДЛЯ УЧАСТИЯ ВО ВСЕРОССИЙСКОМ</w:t>
      </w:r>
    </w:p>
    <w:p>
      <w:pPr>
        <w:pStyle w:val="2"/>
        <w:jc w:val="center"/>
      </w:pPr>
      <w:r>
        <w:rPr>
          <w:sz w:val="20"/>
        </w:rPr>
        <w:t xml:space="preserve">КОНКУРСЕ "ЛУЧШАЯ МУНИЦИПАЛЬНАЯ ПРАКТИКА" ПО НОМИНАЦИИ</w:t>
      </w:r>
    </w:p>
    <w:p>
      <w:pPr>
        <w:pStyle w:val="2"/>
        <w:jc w:val="center"/>
      </w:pPr>
      <w:r>
        <w:rPr>
          <w:sz w:val="20"/>
        </w:rPr>
        <w:t xml:space="preserve">"УКРЕПЛЕНИЕ МЕЖНАЦИОНАЛЬНОГО МИРА И СОГЛАСИЯ, РЕАЛИЗАЦИЯ</w:t>
      </w:r>
    </w:p>
    <w:p>
      <w:pPr>
        <w:pStyle w:val="2"/>
        <w:jc w:val="center"/>
      </w:pPr>
      <w:r>
        <w:rPr>
          <w:sz w:val="20"/>
        </w:rPr>
        <w:t xml:space="preserve">ИНЫХ МЕРОПРИЯТИЙ В СФЕРЕ НАЦИОНАЛЬНОЙ ПОЛИТИКИ</w:t>
      </w:r>
    </w:p>
    <w:p>
      <w:pPr>
        <w:pStyle w:val="2"/>
        <w:jc w:val="center"/>
      </w:pPr>
      <w:r>
        <w:rPr>
          <w:sz w:val="20"/>
        </w:rPr>
        <w:t xml:space="preserve">НА МУНИЦИПАЛЬНОМ УРОВНЕ"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077"/>
        <w:gridCol w:w="1190"/>
        <w:gridCol w:w="6349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Коэффициент (К)</w:t>
            </w:r>
          </w:p>
        </w:tc>
        <w:tc>
          <w:tcPr>
            <w:tcW w:w="6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 (П)</w:t>
            </w:r>
          </w:p>
        </w:tc>
      </w:tr>
      <w:tr>
        <w:tc>
          <w:tcPr>
            <w:tcW w:w="454" w:type="dxa"/>
          </w:tcPr>
          <w:bookmarkStart w:id="512" w:name="P512"/>
          <w:bookmarkEnd w:id="512"/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Постановка проблемы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</w:t>
            </w:r>
          </w:p>
        </w:tc>
        <w:tc>
          <w:tcPr>
            <w:tcW w:w="6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= 1.1. + 1.2. + 1.3. + 1.4. + 1.5. + 1.6. + 1.7. + 1.8. = &lt;...&gt; </w:t>
            </w:r>
            <w:hyperlink w:history="0" w:anchor="P572" w:tooltip="&lt;1&gt; Здесь и далее вместо обозначения &quot;&lt;...&gt;&quot; указываются соответствующие значения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, где: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1.1. Практика реализована в связи с необходимостью решения конкретной острой проблемы в области межнациональных отношений либо иных задач в сфере реализации государственной национальной политики в муниципальном образовании (да = 10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1.2. Практика реализована в целях укрепления межнационального мира и согласия на территории муниципального образования (да = 5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1.3. Практика реализована в целях укрепления межконфессионального диалога на территории муниципального образования (да = 5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1.4. Практика реализована с целью решения проблемы или комплекса проблем, типичных для целого ряда муниципальных образований (да = 10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1.5. Реализованная практика обеспечила решение конкретной задачи в сфере этнокультурного развития народов России (да = 5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1.6. Реализованная практика обеспечила решение конкретной задачи в сфере патриотического воспитания, способствовала формированию у детей и молодежи общероссийского гражданского самосознания, чувства патриотизма, гражданской ответственности, гордости за историю России (да = 50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1.7. Реализованная практика способствовала противодействию пропаганде идей экстремизма (да = 5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1.8. Реализованная практика обеспечила решение конкретной задачи в сфере адаптации и интеграции мигрантов (да = 5 баллов, нет = 0 баллов).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 практики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  <w:tc>
          <w:tcPr>
            <w:tcW w:w="6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</w:t>
            </w:r>
            <w:r>
              <w:rPr>
                <w:sz w:val="20"/>
                <w:vertAlign w:val="subscript"/>
              </w:rPr>
              <w:t xml:space="preserve">2</w:t>
            </w:r>
            <w:r>
              <w:rPr>
                <w:sz w:val="20"/>
              </w:rPr>
              <w:t xml:space="preserve"> = 2.1. + 2.2. + 2.3. + 2.4 + 2.5. + 2.6. + 2.7. + 2.8. + 2.9. + 2.10 + 2.11 + 2.12. + 2.13 + 2.14. + 2.15. + 2.16. + 2.17. + 2.18. + 2.19. + 2.20. + 2.21. + 2.22. = &lt;...&gt;,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2.1. Представлен развернутый поэтапный перечень мероприятий, которые были предприняты для того, чтобы реализовать практику ("дорожная карта") (да = 50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2.2. Информация о проведенных в ходе практики мероприятиях размещена в разделе "Календарь событий" Государственной системы мониторинга межнациональных и межконфессиональных отношений (да = 50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2.3. Реализованная практика тиражируема (да = 25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2.4. Презентационные материалы отличаются наглядностью и высоким качеством, использованы схемы, карты, диаграммы (да = 10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2.5. Реализованная практика способствовала сохранению и развитию культуры межнациональных (межэтнических) отношений в муниципальном образовании (да = 10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2.6. Реализованная практика способствовала повышению интереса к изучению истории и культуры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 (да = 10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2.7. Реализованная практика направлена на укрепление российской гражданской идентичности на основе духовно-нравственных и культурных ценностей народов Российской Федерации (да = 10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2.8. Реализованная практика направлена на 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 (да = 10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2.9. Реализованная практика содействовала предупреждению попыток фальсификации истории Российской Федерации (да = 10 баллов, нет = 0 баллов),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2.10. Реализованная практика способствовала этнокультурному развитию народа (народов) Российской Федерации (да = 10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2.11. Реализованная практика способствовала популяризации и распространению классических и современных произведений литературы и искусства народов Российской Федерации, народного художественного творчества, проведению художественных выставок, фестивалей, конкурсов, гастролей творческих коллективов и других форм деятельности в области культуры (да = 10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2.12. Реализованная практика способствовала развитию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Федерации, расположенные в муниципальном образовании (да = 10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2.13. Реализованная практика способствовала развитию этнокультурной инфраструктуры: домов дружбы, центров национальной культуры народов Российской Федерации, этнопарков, этнодеревень, иных муниципальных организаций, деятельность которых направлена на решение задач государственной национальной политики Российской Федерации (да = 10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2.14. Реализованная практика стимулировала развитие народных промыслов и ремесел (да = 10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2.15. Реализованная практика способствовала развитию национальных видов спорта (да = 10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2.16. Реализованная практика обеспечила решение конкретной задачи в сфере популяризации русского языка (да = 10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2.17. Реализованная практика обеспечила решение конкретной задачи в сфере изучения языков народов России (да = 10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2.18. Реализованная практика обеспечила решение конкретной задачи в сфере адаптации и интеграции иностранных граждан (да = 25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2.19. Реализованная практика обеспечила решение конкретной задачи в сфере сохранения традиционного образа жизни, хозяйственной деятельности, культуры коренных малочисленных народов (да = 10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2.20. Реализованная практика получила позитивное освещение в средствах массовой информации на местном, или региональном, или общероссийском уровнях (да = 10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2.21. Осуществлялось информационное сопровождение практики в социальных сетях и блогах (да = 5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2.22. В ходе реализации практики муниципальное образование принимало участие в региональных и общероссийских мероприятиях (да = 5 баллов, нет = 0 баллов).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Участники внедрения практики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</w:t>
            </w:r>
          </w:p>
        </w:tc>
        <w:tc>
          <w:tcPr>
            <w:tcW w:w="6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</w:t>
            </w:r>
            <w:r>
              <w:rPr>
                <w:sz w:val="20"/>
                <w:vertAlign w:val="subscript"/>
              </w:rPr>
              <w:t xml:space="preserve">3</w:t>
            </w:r>
            <w:r>
              <w:rPr>
                <w:sz w:val="20"/>
              </w:rPr>
              <w:t xml:space="preserve"> = 3.1. + 3.2. + 3.3. + 3.4. + 3.5. + 3.6. + 3.7. + 3.8. + 3.9. = &lt;...&gt;, где: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3.1. Реализованная практика выполнена с привлечением национально-культурных и общественных объединений, религиозных организаций (да = 10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3.2. Практика реализована с привлечением образовательных организаций (да = 5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3.3. Практика реализована с привлечением спортивных организаций (да = 5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3.4. Практика реализована с привлечением учреждений культуры (да = 5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3.5. Практика реализована с привлечением общественных объединений, представляющих интересы мигрантов (да = 5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3.6. Укрепление межмуниципального сотрудничества: организованное участие в мероприятиях представителей других муниципальных образований (да = 5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3.7. Укрепление межрегионального сотрудничества: организованное участие в мероприятиях представителей других субъектов Российской Федерации (да = 5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3.8. 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муниципальных образованиях (да = 5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3.9. 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субъектах Российской Федерации (да = 5 баллов, нет = 0 баллов).</w:t>
            </w:r>
          </w:p>
        </w:tc>
      </w:tr>
      <w:tr>
        <w:tc>
          <w:tcPr>
            <w:tcW w:w="454" w:type="dxa"/>
          </w:tcPr>
          <w:bookmarkStart w:id="564" w:name="P564"/>
          <w:bookmarkEnd w:id="564"/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Эффект от реализации практики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  <w:tc>
          <w:tcPr>
            <w:tcW w:w="6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</w:t>
            </w:r>
            <w:r>
              <w:rPr>
                <w:sz w:val="20"/>
                <w:vertAlign w:val="subscript"/>
              </w:rPr>
              <w:t xml:space="preserve">4</w:t>
            </w:r>
            <w:r>
              <w:rPr>
                <w:sz w:val="20"/>
              </w:rPr>
              <w:t xml:space="preserve"> = 4.1. + 4.2 = &lt;...&gt;, где: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4.1. Отсутствие в отчетном году в муниципальном образовании конфликтных ситуаций на национальной и религиозной почве (да = 50 баллов, нет = 0 баллов).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4.2. Поставленная задача решена полностью (да = 20 баллов, нет = 0 баллов).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72" w:name="P572"/>
    <w:bookmarkEnd w:id="5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Здесь и далее вместо обозначения "&lt;...&gt;" указываются соответствующие значения.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ФАДН России от 23.06.2020 N 76</w:t>
            <w:br/>
            <w:t>(ред. от 04.04.2022)</w:t>
            <w:br/>
            <w:t>"Об утверждении формы конкурсной заявки и методики оценки кон...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B7EF6D4D70EAFEC33FACE54231AAD1287F0A52444D631AEDFAE9D3B97B9CC8E88F4EA3485C3DA63D15D6AF55A65796694A6C271F012C0F3g0YBH" TargetMode = "External"/>
	<Relationship Id="rId8" Type="http://schemas.openxmlformats.org/officeDocument/2006/relationships/hyperlink" Target="consultantplus://offline/ref=FB7EF6D4D70EAFEC33FACE54231AAD1287F1A02141D031AEDFAE9D3B97B9CC8E88F4EA378E978B27825B3FA00030707992B8C0g7Y6H" TargetMode = "External"/>
	<Relationship Id="rId9" Type="http://schemas.openxmlformats.org/officeDocument/2006/relationships/hyperlink" Target="consultantplus://offline/ref=FB7EF6D4D70EAFEC33FACE54231AAD1280F0A22749DB31AEDFAE9D3B97B9CC8E9AF4B23884C7C463D3483CA41Cg3Y3H" TargetMode = "External"/>
	<Relationship Id="rId10" Type="http://schemas.openxmlformats.org/officeDocument/2006/relationships/hyperlink" Target="consultantplus://offline/ref=FB7EF6D4D70EAFEC33FACE54231AAD1280F0A22741D531AEDFAE9D3B97B9CC8E9AF4B23884C7C463D3483CA41Cg3Y3H" TargetMode = "External"/>
	<Relationship Id="rId11" Type="http://schemas.openxmlformats.org/officeDocument/2006/relationships/hyperlink" Target="consultantplus://offline/ref=FB7EF6D4D70EAFEC33FACE54231AAD1287F0A52444D631AEDFAE9D3B97B9CC8E88F4EA3485C3DA63D15D6AF55A65796694A6C271F012C0F3g0YBH" TargetMode = "External"/>
	<Relationship Id="rId12" Type="http://schemas.openxmlformats.org/officeDocument/2006/relationships/hyperlink" Target="consultantplus://offline/ref=FB7EF6D4D70EAFEC33FACE54231AAD1287F0A52444D631AEDFAE9D3B97B9CC8E88F4EA3485C3DA62D75D6AF55A65796694A6C271F012C0F3g0YBH" TargetMode = "External"/>
	<Relationship Id="rId13" Type="http://schemas.openxmlformats.org/officeDocument/2006/relationships/hyperlink" Target="consultantplus://offline/ref=FB7EF6D4D70EAFEC33FACE54231AAD1287F0A52444D631AEDFAE9D3B97B9CC8E88F4EA3485C3DA61D55D6AF55A65796694A6C271F012C0F3g0YBH" TargetMode = "External"/>
	<Relationship Id="rId14" Type="http://schemas.openxmlformats.org/officeDocument/2006/relationships/hyperlink" Target="consultantplus://offline/ref=FB7EF6D4D70EAFEC33FACE54231AAD1287F1A02141D031AEDFAE9D3B97B9CC8E88F4EA378E978B27825B3FA00030707992B8C0g7Y6H" TargetMode = "External"/>
	<Relationship Id="rId15" Type="http://schemas.openxmlformats.org/officeDocument/2006/relationships/hyperlink" Target="consultantplus://offline/ref=FB7EF6D4D70EAFEC33FACE54231AAD1287F1A02141D031AEDFAE9D3B97B9CC8E88F4EA3485C3DA61D05D6AF55A65796694A6C271F012C0F3g0YBH" TargetMode = "External"/>
	<Relationship Id="rId16" Type="http://schemas.openxmlformats.org/officeDocument/2006/relationships/hyperlink" Target="consultantplus://offline/ref=FB7EF6D4D70EAFEC33FACE54231AAD1287F0A52444D631AEDFAE9D3B97B9CC8E88F4EA3485C3DA61D45D6AF55A65796694A6C271F012C0F3g0YBH" TargetMode = "External"/>
	<Relationship Id="rId17" Type="http://schemas.openxmlformats.org/officeDocument/2006/relationships/hyperlink" Target="consultantplus://offline/ref=FB7EF6D4D70EAFEC33FACE54231AAD1287F1A02141D031AEDFAE9D3B97B9CC8E88F4EA3485C3DA6BD05D6AF55A65796694A6C271F012C0F3g0YBH" TargetMode = "External"/>
	<Relationship Id="rId18" Type="http://schemas.openxmlformats.org/officeDocument/2006/relationships/hyperlink" Target="consultantplus://offline/ref=FB7EF6D4D70EAFEC33FACE54231AAD1287F0A52444D631AEDFAE9D3B97B9CC8E88F4EA3485C3DA61D35D6AF55A65796694A6C271F012C0F3g0YBH" TargetMode = "External"/>
	<Relationship Id="rId19" Type="http://schemas.openxmlformats.org/officeDocument/2006/relationships/hyperlink" Target="consultantplus://offline/ref=FB7EF6D4D70EAFEC33FACE54231AAD1287F0A52444D631AEDFAE9D3B97B9CC8E88F4EA3485C3DA61D25D6AF55A65796694A6C271F012C0F3g0YBH" TargetMode = "External"/>
	<Relationship Id="rId20" Type="http://schemas.openxmlformats.org/officeDocument/2006/relationships/image" Target="media/image2.wmf"/>
	<Relationship Id="rId21" Type="http://schemas.openxmlformats.org/officeDocument/2006/relationships/hyperlink" Target="consultantplus://offline/ref=FB7EF6D4D70EAFEC33FACE54231AAD1287F0A52444D631AEDFAE9D3B97B9CC8E88F4EA3485C3DA61D15D6AF55A65796694A6C271F012C0F3g0YB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ФАДН России от 23.06.2020 N 76
(ред. от 04.04.2022)
"Об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
(Зарегистрировано в Минюсте России 17.08.2020 N 59287)</dc:title>
  <dcterms:created xsi:type="dcterms:W3CDTF">2023-04-14T07:24:30Z</dcterms:created>
</cp:coreProperties>
</file>