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D9494A">
      <w:pPr>
        <w:tabs>
          <w:tab w:val="left" w:pos="709"/>
        </w:tabs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D3E2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03.05.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380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D3E2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03.05.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380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F97109" w:rsidRPr="00551BA0" w:rsidRDefault="00F97109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293470" w:rsidRPr="00CE676A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818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CE67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О методике </w:t>
      </w:r>
      <w:proofErr w:type="gramStart"/>
      <w:r w:rsidRPr="00CE67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расчета ключевых показателей эффективности функционирования антимонопольного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комплекса</w:t>
      </w:r>
      <w:proofErr w:type="gramEnd"/>
      <w:r w:rsidRPr="00CE67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в администрации Янтиковского муниципального округа Чувашской Республики</w:t>
      </w:r>
    </w:p>
    <w:p w:rsidR="00551BA0" w:rsidRPr="00551BA0" w:rsidRDefault="00551BA0" w:rsidP="00551BA0">
      <w:pPr>
        <w:tabs>
          <w:tab w:val="left" w:pos="709"/>
          <w:tab w:val="left" w:pos="851"/>
        </w:tabs>
        <w:suppressAutoHyphens w:val="0"/>
        <w:autoSpaceDN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CE676A" w:rsidRPr="00CE676A" w:rsidRDefault="00CE676A" w:rsidP="00551BA0">
      <w:pPr>
        <w:tabs>
          <w:tab w:val="left" w:pos="709"/>
          <w:tab w:val="left" w:pos="851"/>
        </w:tabs>
        <w:suppressAutoHyphens w:val="0"/>
        <w:autoSpaceDN w:val="0"/>
        <w:spacing w:line="360" w:lineRule="auto"/>
        <w:contextualSpacing/>
        <w:rPr>
          <w:rFonts w:eastAsia="Calibri"/>
          <w:b/>
          <w:kern w:val="0"/>
          <w:sz w:val="28"/>
          <w:szCs w:val="28"/>
          <w:lang w:eastAsia="en-US"/>
        </w:rPr>
      </w:pPr>
      <w:r w:rsidRPr="00CE676A">
        <w:rPr>
          <w:rFonts w:eastAsia="Calibri"/>
          <w:kern w:val="0"/>
          <w:sz w:val="28"/>
          <w:szCs w:val="28"/>
          <w:lang w:eastAsia="en-US"/>
        </w:rPr>
        <w:t>В соответствии с Федеральным законом от 06.10.2003 № 131-ФЗ</w:t>
      </w:r>
      <w:r w:rsidR="008417E6">
        <w:rPr>
          <w:rFonts w:eastAsia="Calibri"/>
          <w:kern w:val="0"/>
          <w:sz w:val="28"/>
          <w:szCs w:val="28"/>
          <w:lang w:eastAsia="en-US"/>
        </w:rPr>
        <w:t xml:space="preserve">           </w:t>
      </w:r>
      <w:r w:rsidRPr="00CE676A">
        <w:rPr>
          <w:rFonts w:eastAsia="Calibri"/>
          <w:kern w:val="0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постановлением администрации Янтиковского муниципального округа Чувашской Республики от 31.03.2023 № 255 «О системе внутреннего обеспечения соответствия требованиям антимонопольного законодательства в администрации Янтиковского муниципального округа Чувашской Республики» (антимонопольном </w:t>
      </w:r>
      <w:proofErr w:type="spellStart"/>
      <w:r w:rsidRPr="00CE676A">
        <w:rPr>
          <w:rFonts w:eastAsia="Calibri"/>
          <w:kern w:val="0"/>
          <w:sz w:val="28"/>
          <w:szCs w:val="28"/>
          <w:lang w:eastAsia="en-US"/>
        </w:rPr>
        <w:t>комплаенс</w:t>
      </w:r>
      <w:r w:rsidR="008417E6">
        <w:rPr>
          <w:rFonts w:eastAsia="Calibri"/>
          <w:kern w:val="0"/>
          <w:sz w:val="28"/>
          <w:szCs w:val="28"/>
          <w:lang w:eastAsia="en-US"/>
        </w:rPr>
        <w:t>е</w:t>
      </w:r>
      <w:proofErr w:type="spellEnd"/>
      <w:r w:rsidR="008417E6">
        <w:rPr>
          <w:rFonts w:eastAsia="Calibri"/>
          <w:kern w:val="0"/>
          <w:sz w:val="28"/>
          <w:szCs w:val="28"/>
          <w:lang w:eastAsia="en-US"/>
        </w:rPr>
        <w:t xml:space="preserve">) администрация Янтиковского муниципального округа </w:t>
      </w:r>
      <w:proofErr w:type="gramStart"/>
      <w:r w:rsidRPr="00CE676A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CE676A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CE676A" w:rsidRPr="00CE676A" w:rsidRDefault="00CE676A" w:rsidP="00293470">
      <w:pPr>
        <w:tabs>
          <w:tab w:val="left" w:pos="567"/>
          <w:tab w:val="left" w:pos="709"/>
          <w:tab w:val="left" w:pos="851"/>
        </w:tabs>
        <w:suppressAutoHyphens w:val="0"/>
        <w:autoSpaceDN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CE676A">
        <w:rPr>
          <w:rFonts w:eastAsia="Calibri"/>
          <w:kern w:val="0"/>
          <w:sz w:val="28"/>
          <w:szCs w:val="28"/>
          <w:lang w:eastAsia="en-US"/>
        </w:rPr>
        <w:t>1.</w:t>
      </w:r>
      <w:r w:rsidR="00293470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CE676A">
        <w:rPr>
          <w:rFonts w:eastAsia="Calibri"/>
          <w:kern w:val="0"/>
          <w:sz w:val="28"/>
          <w:szCs w:val="28"/>
          <w:lang w:eastAsia="en-US"/>
        </w:rPr>
        <w:t xml:space="preserve">Утвердить прилагаемую Методику расчета ключевых показателей эффективности функционирования антимонопольного </w:t>
      </w:r>
      <w:proofErr w:type="spellStart"/>
      <w:r w:rsidRPr="00CE676A">
        <w:rPr>
          <w:rFonts w:eastAsia="Calibri"/>
          <w:kern w:val="0"/>
          <w:sz w:val="28"/>
          <w:szCs w:val="28"/>
          <w:lang w:eastAsia="en-US"/>
        </w:rPr>
        <w:t>комплаенса</w:t>
      </w:r>
      <w:proofErr w:type="spellEnd"/>
      <w:r w:rsidRPr="00CE676A">
        <w:rPr>
          <w:rFonts w:eastAsia="Calibri"/>
          <w:kern w:val="0"/>
          <w:sz w:val="28"/>
          <w:szCs w:val="28"/>
          <w:lang w:eastAsia="en-US"/>
        </w:rPr>
        <w:t xml:space="preserve"> в администрации Янтиковского муниципального округа Чувашской Республики. </w:t>
      </w:r>
    </w:p>
    <w:p w:rsidR="00CE676A" w:rsidRPr="00CE676A" w:rsidRDefault="00CE676A" w:rsidP="00293470">
      <w:pPr>
        <w:tabs>
          <w:tab w:val="left" w:pos="709"/>
          <w:tab w:val="left" w:pos="851"/>
        </w:tabs>
        <w:suppressAutoHyphens w:val="0"/>
        <w:autoSpaceDN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CE676A">
        <w:rPr>
          <w:rFonts w:eastAsia="Calibri"/>
          <w:kern w:val="0"/>
          <w:sz w:val="28"/>
          <w:szCs w:val="28"/>
          <w:lang w:eastAsia="en-US"/>
        </w:rPr>
        <w:t xml:space="preserve">2. </w:t>
      </w:r>
      <w:proofErr w:type="gramStart"/>
      <w:r w:rsidRPr="00CE676A"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 w:rsidRPr="00CE676A">
        <w:rPr>
          <w:rFonts w:eastAsia="Calibri"/>
          <w:kern w:val="0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CE676A" w:rsidRPr="00CE676A" w:rsidRDefault="00CE676A" w:rsidP="00293470">
      <w:pPr>
        <w:tabs>
          <w:tab w:val="left" w:pos="709"/>
          <w:tab w:val="left" w:pos="851"/>
        </w:tabs>
        <w:suppressAutoHyphens w:val="0"/>
        <w:autoSpaceDN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CE676A">
        <w:rPr>
          <w:rFonts w:eastAsia="Calibri"/>
          <w:kern w:val="0"/>
          <w:sz w:val="28"/>
          <w:szCs w:val="28"/>
          <w:lang w:eastAsia="en-US"/>
        </w:rPr>
        <w:t xml:space="preserve">3. Настоящее постановление вступает в силу со дня его официального опубликования. </w:t>
      </w:r>
    </w:p>
    <w:p w:rsidR="00CE676A" w:rsidRPr="00CE676A" w:rsidRDefault="00CE676A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CE676A" w:rsidRPr="00CE676A" w:rsidRDefault="00CE676A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CE67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Глава Янтиковского</w:t>
      </w:r>
    </w:p>
    <w:p w:rsidR="00CE676A" w:rsidRPr="00CE676A" w:rsidRDefault="00CE676A" w:rsidP="00293470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CE67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муниципального округа                       </w:t>
      </w:r>
      <w:r w:rsidR="008417E6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              </w:t>
      </w:r>
      <w:r w:rsidRPr="00CE67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В.Б. Михайлов</w:t>
      </w:r>
    </w:p>
    <w:p w:rsidR="00551BA0" w:rsidRDefault="00551BA0" w:rsidP="00CE676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sectPr w:rsidR="00551BA0" w:rsidSect="00551BA0">
          <w:pgSz w:w="11906" w:h="16838"/>
          <w:pgMar w:top="964" w:right="567" w:bottom="851" w:left="1701" w:header="709" w:footer="709" w:gutter="0"/>
          <w:cols w:space="708"/>
          <w:titlePg/>
          <w:docGrid w:linePitch="360"/>
        </w:sectPr>
      </w:pPr>
    </w:p>
    <w:p w:rsidR="00551BA0" w:rsidRPr="00551BA0" w:rsidRDefault="00551BA0" w:rsidP="00551BA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lastRenderedPageBreak/>
        <w:t>УТВЕРЖДЕНА</w:t>
      </w:r>
    </w:p>
    <w:p w:rsidR="00293470" w:rsidRDefault="00551BA0" w:rsidP="00551BA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>постановлением администрации</w:t>
      </w:r>
    </w:p>
    <w:p w:rsidR="00551BA0" w:rsidRDefault="00551BA0" w:rsidP="00551BA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>Янтиковского муниципального округа</w:t>
      </w:r>
    </w:p>
    <w:p w:rsidR="00551BA0" w:rsidRDefault="00BD3E2E" w:rsidP="00551BA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>от 03.05.2023 № 380</w:t>
      </w:r>
      <w:bookmarkStart w:id="0" w:name="_GoBack"/>
      <w:bookmarkEnd w:id="0"/>
    </w:p>
    <w:p w:rsidR="00551BA0" w:rsidRDefault="00551BA0" w:rsidP="00551BA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rPr>
          <w:rFonts w:ascii="Times New Roman CYR" w:hAnsi="Times New Roman CYR" w:cs="Times New Roman CYR"/>
          <w:kern w:val="0"/>
          <w:lang w:eastAsia="ru-RU"/>
        </w:rPr>
      </w:pPr>
    </w:p>
    <w:p w:rsidR="00551BA0" w:rsidRPr="00293470" w:rsidRDefault="00551BA0" w:rsidP="00551BA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rPr>
          <w:rFonts w:ascii="Times New Roman CYR" w:hAnsi="Times New Roman CYR" w:cs="Times New Roman CYR"/>
          <w:kern w:val="0"/>
          <w:lang w:eastAsia="ru-RU"/>
        </w:rPr>
      </w:pP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" w:name="sub_1000"/>
      <w:r w:rsidRPr="00293470">
        <w:rPr>
          <w:rFonts w:ascii="Times New Roman CYR" w:hAnsi="Times New Roman CYR" w:cs="Times New Roman CYR"/>
          <w:b/>
          <w:bCs/>
          <w:kern w:val="0"/>
          <w:lang w:eastAsia="ru-RU"/>
        </w:rPr>
        <w:t>Методика</w:t>
      </w:r>
      <w:r w:rsidRPr="00293470">
        <w:rPr>
          <w:rFonts w:ascii="Times New Roman CYR" w:hAnsi="Times New Roman CYR" w:cs="Times New Roman CYR"/>
          <w:b/>
          <w:bCs/>
          <w:kern w:val="0"/>
          <w:lang w:eastAsia="ru-RU"/>
        </w:rPr>
        <w:br/>
        <w:t xml:space="preserve">расчета ключевых показателей эффективности функционирования антимонопольного </w:t>
      </w:r>
      <w:proofErr w:type="spellStart"/>
      <w:r w:rsidRPr="00293470">
        <w:rPr>
          <w:rFonts w:ascii="Times New Roman CYR" w:hAnsi="Times New Roman CYR" w:cs="Times New Roman CYR"/>
          <w:b/>
          <w:bCs/>
          <w:kern w:val="0"/>
          <w:lang w:eastAsia="ru-RU"/>
        </w:rPr>
        <w:t>комплаенса</w:t>
      </w:r>
      <w:proofErr w:type="spellEnd"/>
      <w:r w:rsidRPr="00293470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 в администрации Янтиковского муниципального округа Чувашской Республики</w:t>
      </w:r>
    </w:p>
    <w:bookmarkEnd w:id="1"/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293470" w:rsidRPr="00293470" w:rsidRDefault="00293470" w:rsidP="00551BA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293470">
        <w:rPr>
          <w:rFonts w:ascii="Times New Roman CYR" w:hAnsi="Times New Roman CYR" w:cs="Times New Roman CYR"/>
          <w:b/>
          <w:kern w:val="0"/>
          <w:lang w:val="en-US" w:eastAsia="ru-RU"/>
        </w:rPr>
        <w:t>I</w:t>
      </w:r>
      <w:r w:rsidRPr="00293470">
        <w:rPr>
          <w:rFonts w:ascii="Times New Roman CYR" w:hAnsi="Times New Roman CYR" w:cs="Times New Roman CYR"/>
          <w:b/>
          <w:kern w:val="0"/>
          <w:lang w:eastAsia="ru-RU"/>
        </w:rPr>
        <w:t>. Общие положения</w:t>
      </w: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kern w:val="0"/>
          <w:lang w:eastAsia="ru-RU"/>
        </w:rPr>
      </w:pP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" w:name="sub_11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1.1. </w:t>
      </w:r>
      <w:proofErr w:type="gramStart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Методика расчета ключевых показателей эффективности функционирования в администрации Янтиковского муниципального округа антимонопольного </w:t>
      </w:r>
      <w:proofErr w:type="spellStart"/>
      <w:r w:rsidRPr="00293470">
        <w:rPr>
          <w:rFonts w:ascii="Times New Roman CYR" w:hAnsi="Times New Roman CYR" w:cs="Times New Roman CYR"/>
          <w:kern w:val="0"/>
          <w:lang w:eastAsia="ru-RU"/>
        </w:rPr>
        <w:t>комплаенса</w:t>
      </w:r>
      <w:proofErr w:type="spellEnd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(далее - Методика) разработана с учетом </w:t>
      </w:r>
      <w:hyperlink r:id="rId10" w:history="1">
        <w:r w:rsidRPr="00293470">
          <w:rPr>
            <w:rFonts w:ascii="Times New Roman CYR" w:hAnsi="Times New Roman CYR"/>
            <w:kern w:val="0"/>
            <w:lang w:eastAsia="ru-RU"/>
          </w:rPr>
          <w:t>приказа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ФАС России от 05.02.2019 № 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293470">
        <w:rPr>
          <w:rFonts w:ascii="Times New Roman CYR" w:hAnsi="Times New Roman CYR" w:cs="Times New Roman CYR"/>
          <w:kern w:val="0"/>
          <w:lang w:eastAsia="ru-RU"/>
        </w:rPr>
        <w:t>комплаенса</w:t>
      </w:r>
      <w:proofErr w:type="spellEnd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», </w:t>
      </w:r>
      <w:hyperlink r:id="rId11" w:history="1">
        <w:r w:rsidRPr="00293470">
          <w:rPr>
            <w:rFonts w:ascii="Times New Roman CYR" w:hAnsi="Times New Roman CYR"/>
            <w:kern w:val="0"/>
            <w:lang w:eastAsia="ru-RU"/>
          </w:rPr>
          <w:t>постановления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администрации Янтиковского муниципального округа Чувашской Республики от 31.03.2023 №255 «О системе внутреннего обеспечения соответствия требованиям антимонопольного законодательства в администрации</w:t>
      </w:r>
      <w:proofErr w:type="gramEnd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Янтиковского муниципального округа Чувашской Республики» (антимонопольном </w:t>
      </w:r>
      <w:proofErr w:type="spellStart"/>
      <w:r w:rsidRPr="00293470">
        <w:rPr>
          <w:rFonts w:ascii="Times New Roman CYR" w:hAnsi="Times New Roman CYR" w:cs="Times New Roman CYR"/>
          <w:kern w:val="0"/>
          <w:lang w:eastAsia="ru-RU"/>
        </w:rPr>
        <w:t>комплаенсе</w:t>
      </w:r>
      <w:proofErr w:type="spellEnd"/>
      <w:r w:rsidRPr="00293470">
        <w:rPr>
          <w:rFonts w:ascii="Times New Roman CYR" w:hAnsi="Times New Roman CYR" w:cs="Times New Roman CYR"/>
          <w:kern w:val="0"/>
          <w:lang w:eastAsia="ru-RU"/>
        </w:rPr>
        <w:t>).</w:t>
      </w: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" w:name="sub_12"/>
      <w:bookmarkEnd w:id="2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1.2. В целях оценки эффективности функционирования в администрации Янтиковского муниципального округа (далее - администрация) антимонопольного </w:t>
      </w:r>
      <w:proofErr w:type="spellStart"/>
      <w:r w:rsidRPr="00293470">
        <w:rPr>
          <w:rFonts w:ascii="Times New Roman CYR" w:hAnsi="Times New Roman CYR" w:cs="Times New Roman CYR"/>
          <w:kern w:val="0"/>
          <w:lang w:eastAsia="ru-RU"/>
        </w:rPr>
        <w:t>комплаенса</w:t>
      </w:r>
      <w:proofErr w:type="spellEnd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в соответствии с Методикой рассчитываются ключевые показатели эффективности антимонопольного </w:t>
      </w:r>
      <w:proofErr w:type="spellStart"/>
      <w:r w:rsidRPr="00293470">
        <w:rPr>
          <w:rFonts w:ascii="Times New Roman CYR" w:hAnsi="Times New Roman CYR" w:cs="Times New Roman CYR"/>
          <w:kern w:val="0"/>
          <w:lang w:eastAsia="ru-RU"/>
        </w:rPr>
        <w:t>комплаенса</w:t>
      </w:r>
      <w:proofErr w:type="spellEnd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(далее - КПЭ).</w:t>
      </w:r>
    </w:p>
    <w:bookmarkEnd w:id="3"/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293470" w:rsidRPr="00293470" w:rsidRDefault="00293470" w:rsidP="00551BA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293470">
        <w:rPr>
          <w:rFonts w:ascii="Times New Roman CYR" w:hAnsi="Times New Roman CYR" w:cs="Times New Roman CYR"/>
          <w:b/>
          <w:kern w:val="0"/>
          <w:lang w:val="en-US" w:eastAsia="ru-RU"/>
        </w:rPr>
        <w:t>II</w:t>
      </w:r>
      <w:r w:rsidRPr="00293470">
        <w:rPr>
          <w:rFonts w:ascii="Times New Roman CYR" w:hAnsi="Times New Roman CYR" w:cs="Times New Roman CYR"/>
          <w:b/>
          <w:kern w:val="0"/>
          <w:lang w:eastAsia="ru-RU"/>
        </w:rPr>
        <w:t>. Методика расчета КПЭ</w:t>
      </w: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kern w:val="0"/>
          <w:lang w:eastAsia="ru-RU"/>
        </w:rPr>
      </w:pP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4" w:name="sub_21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2.1. Ключевыми показателями эффективности </w:t>
      </w:r>
      <w:proofErr w:type="gramStart"/>
      <w:r w:rsidRPr="00293470">
        <w:rPr>
          <w:rFonts w:ascii="Times New Roman CYR" w:hAnsi="Times New Roman CYR" w:cs="Times New Roman CYR"/>
          <w:kern w:val="0"/>
          <w:lang w:eastAsia="ru-RU"/>
        </w:rPr>
        <w:t>антимонопольного</w:t>
      </w:r>
      <w:proofErr w:type="gramEnd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</w:t>
      </w:r>
      <w:proofErr w:type="spellStart"/>
      <w:r w:rsidRPr="00293470">
        <w:rPr>
          <w:rFonts w:ascii="Times New Roman CYR" w:hAnsi="Times New Roman CYR" w:cs="Times New Roman CYR"/>
          <w:kern w:val="0"/>
          <w:lang w:eastAsia="ru-RU"/>
        </w:rPr>
        <w:t>комплаенса</w:t>
      </w:r>
      <w:proofErr w:type="spellEnd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являются:</w:t>
      </w: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5" w:name="sub_2101"/>
      <w:bookmarkEnd w:id="4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а) количество нарушений администрацией Янтиковского муниципального округа </w:t>
      </w:r>
      <w:hyperlink r:id="rId12" w:history="1">
        <w:r w:rsidRPr="00293470">
          <w:rPr>
            <w:rFonts w:ascii="Times New Roman CYR" w:hAnsi="Times New Roman CYR"/>
            <w:kern w:val="0"/>
            <w:lang w:eastAsia="ru-RU"/>
          </w:rPr>
          <w:t>антимонопольного законодательства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>;</w:t>
      </w: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6" w:name="sub_2102"/>
      <w:bookmarkEnd w:id="5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б) доля проектов нормативных правовых актов администрации Янтиковского муниципального округа, в которых выявлены риски нарушения </w:t>
      </w:r>
      <w:hyperlink r:id="rId13" w:history="1">
        <w:r w:rsidRPr="00293470">
          <w:rPr>
            <w:rFonts w:ascii="Times New Roman CYR" w:hAnsi="Times New Roman CYR"/>
            <w:kern w:val="0"/>
            <w:lang w:eastAsia="ru-RU"/>
          </w:rPr>
          <w:t>антимонопольного законодательства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>;</w:t>
      </w: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7" w:name="sub_2103"/>
      <w:bookmarkEnd w:id="6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в) доля нормативных правовых актов администрации Янтиковского муниципального округа, в которых выявлены риски нарушения </w:t>
      </w:r>
      <w:hyperlink r:id="rId14" w:history="1">
        <w:r w:rsidRPr="00293470">
          <w:rPr>
            <w:rFonts w:ascii="Times New Roman CYR" w:hAnsi="Times New Roman CYR"/>
            <w:kern w:val="0"/>
            <w:lang w:eastAsia="ru-RU"/>
          </w:rPr>
          <w:t>антимонопольного законодательства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>.</w:t>
      </w: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8" w:name="sub_22"/>
      <w:bookmarkEnd w:id="7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2.2. Доля проектов нормативных правовых актов администрации Янтиковского муниципального округа, в которых выявлены риски нарушения </w:t>
      </w:r>
      <w:hyperlink r:id="rId15" w:history="1">
        <w:proofErr w:type="gramStart"/>
        <w:r w:rsidRPr="00293470">
          <w:rPr>
            <w:rFonts w:ascii="Times New Roman CYR" w:hAnsi="Times New Roman CYR"/>
            <w:kern w:val="0"/>
            <w:lang w:eastAsia="ru-RU"/>
          </w:rPr>
          <w:t>антимонопольного</w:t>
        </w:r>
        <w:proofErr w:type="gramEnd"/>
        <w:r w:rsidRPr="00293470">
          <w:rPr>
            <w:rFonts w:ascii="Times New Roman CYR" w:hAnsi="Times New Roman CYR"/>
            <w:kern w:val="0"/>
            <w:lang w:eastAsia="ru-RU"/>
          </w:rPr>
          <w:t xml:space="preserve"> законодательства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>, рассчитывается по формуле:</w:t>
      </w:r>
    </w:p>
    <w:bookmarkEnd w:id="8"/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293470">
        <w:rPr>
          <w:rFonts w:ascii="Times New Roman CYR" w:hAnsi="Times New Roman CYR" w:cs="Times New Roman CYR"/>
          <w:noProof/>
          <w:kern w:val="0"/>
          <w:lang w:eastAsia="ru-RU"/>
        </w:rPr>
        <w:drawing>
          <wp:inline distT="0" distB="0" distL="0" distR="0" wp14:anchorId="30BBBA01" wp14:editId="2CDB8C82">
            <wp:extent cx="1152525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470">
        <w:rPr>
          <w:rFonts w:ascii="Times New Roman CYR" w:hAnsi="Times New Roman CYR" w:cs="Times New Roman CYR"/>
          <w:kern w:val="0"/>
          <w:lang w:eastAsia="ru-RU"/>
        </w:rPr>
        <w:t>, где</w:t>
      </w: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spellStart"/>
      <w:r w:rsidRPr="00293470">
        <w:rPr>
          <w:rFonts w:ascii="Times New Roman CYR" w:hAnsi="Times New Roman CYR" w:cs="Times New Roman CYR"/>
          <w:kern w:val="0"/>
          <w:lang w:eastAsia="ru-RU"/>
        </w:rPr>
        <w:t>Дпнпа</w:t>
      </w:r>
      <w:proofErr w:type="spellEnd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- доля проектов нормативных правовых актов администрации Янтиковского муниципального округа, в которых выявлены риски нарушения </w:t>
      </w:r>
      <w:hyperlink r:id="rId17" w:history="1">
        <w:r w:rsidRPr="00293470">
          <w:rPr>
            <w:rFonts w:ascii="Times New Roman CYR" w:hAnsi="Times New Roman CYR"/>
            <w:kern w:val="0"/>
            <w:lang w:eastAsia="ru-RU"/>
          </w:rPr>
          <w:t>антимонопольного законодательства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>;</w:t>
      </w: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spellStart"/>
      <w:r w:rsidRPr="00293470">
        <w:rPr>
          <w:rFonts w:ascii="Times New Roman CYR" w:hAnsi="Times New Roman CYR" w:cs="Times New Roman CYR"/>
          <w:kern w:val="0"/>
          <w:lang w:eastAsia="ru-RU"/>
        </w:rPr>
        <w:t>Кпнпа</w:t>
      </w:r>
      <w:proofErr w:type="spellEnd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- количество проектов нормативных правовых актов администрации Янтиковского муниципального округа, в которых данным органом выявлены риски нарушения </w:t>
      </w:r>
      <w:hyperlink r:id="rId18" w:history="1">
        <w:r w:rsidRPr="00293470">
          <w:rPr>
            <w:rFonts w:ascii="Times New Roman CYR" w:hAnsi="Times New Roman CYR"/>
            <w:kern w:val="0"/>
            <w:lang w:eastAsia="ru-RU"/>
          </w:rPr>
          <w:t>антимонопольного законодательства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(в отчетном периоде);</w:t>
      </w: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spellStart"/>
      <w:r w:rsidRPr="00293470">
        <w:rPr>
          <w:rFonts w:ascii="Times New Roman CYR" w:hAnsi="Times New Roman CYR" w:cs="Times New Roman CYR"/>
          <w:kern w:val="0"/>
          <w:lang w:eastAsia="ru-RU"/>
        </w:rPr>
        <w:lastRenderedPageBreak/>
        <w:t>КНоп</w:t>
      </w:r>
      <w:proofErr w:type="spellEnd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- количество нормативных правовых актов администрации Янтиковского муниципального округа, в которых антимонопольным органом выявлены нарушения </w:t>
      </w:r>
      <w:hyperlink r:id="rId19" w:history="1">
        <w:r w:rsidRPr="00293470">
          <w:rPr>
            <w:rFonts w:ascii="Times New Roman CYR" w:hAnsi="Times New Roman CYR"/>
            <w:kern w:val="0"/>
            <w:lang w:eastAsia="ru-RU"/>
          </w:rPr>
          <w:t>антимонопольного законодательства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(в отчетном периоде).</w:t>
      </w: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9" w:name="sub_23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2.3. Доля нормативных правовых актов администрации Янтиковского муниципального округа, в которых выявлены риски нарушения </w:t>
      </w:r>
      <w:hyperlink r:id="rId20" w:history="1">
        <w:r w:rsidRPr="00293470">
          <w:rPr>
            <w:rFonts w:ascii="Times New Roman CYR" w:hAnsi="Times New Roman CYR"/>
            <w:kern w:val="0"/>
            <w:lang w:eastAsia="ru-RU"/>
          </w:rPr>
          <w:t>антимонопольного законодательства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>.</w:t>
      </w:r>
    </w:p>
    <w:bookmarkEnd w:id="9"/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293470">
        <w:rPr>
          <w:rFonts w:ascii="Times New Roman CYR" w:hAnsi="Times New Roman CYR" w:cs="Times New Roman CYR"/>
          <w:noProof/>
          <w:kern w:val="0"/>
          <w:lang w:eastAsia="ru-RU"/>
        </w:rPr>
        <w:drawing>
          <wp:inline distT="0" distB="0" distL="0" distR="0" wp14:anchorId="7DAA3063" wp14:editId="050F4C04">
            <wp:extent cx="1009650" cy="42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470">
        <w:rPr>
          <w:rFonts w:ascii="Times New Roman CYR" w:hAnsi="Times New Roman CYR" w:cs="Times New Roman CYR"/>
          <w:kern w:val="0"/>
          <w:lang w:eastAsia="ru-RU"/>
        </w:rPr>
        <w:t>, где</w:t>
      </w: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spellStart"/>
      <w:r w:rsidRPr="00293470">
        <w:rPr>
          <w:rFonts w:ascii="Times New Roman CYR" w:hAnsi="Times New Roman CYR" w:cs="Times New Roman CYR"/>
          <w:kern w:val="0"/>
          <w:lang w:eastAsia="ru-RU"/>
        </w:rPr>
        <w:t>Днпа</w:t>
      </w:r>
      <w:proofErr w:type="spellEnd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- доля нормативных правовых актов администрации Янтиковского муниципального округа, в которых выявлены риски нарушения </w:t>
      </w:r>
      <w:hyperlink r:id="rId22" w:history="1">
        <w:r w:rsidRPr="00293470">
          <w:rPr>
            <w:rFonts w:ascii="Times New Roman CYR" w:hAnsi="Times New Roman CYR"/>
            <w:kern w:val="0"/>
            <w:lang w:eastAsia="ru-RU"/>
          </w:rPr>
          <w:t>антимонопольного законодательства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>;</w:t>
      </w: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spellStart"/>
      <w:r w:rsidRPr="00293470">
        <w:rPr>
          <w:rFonts w:ascii="Times New Roman CYR" w:hAnsi="Times New Roman CYR" w:cs="Times New Roman CYR"/>
          <w:kern w:val="0"/>
          <w:lang w:eastAsia="ru-RU"/>
        </w:rPr>
        <w:t>Кпнпа</w:t>
      </w:r>
      <w:proofErr w:type="spellEnd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- количество нормативных правовых актов администрации Янтиковского муниципального округа, в которых данным органом выявлены риски нарушения </w:t>
      </w:r>
      <w:hyperlink r:id="rId23" w:history="1">
        <w:r w:rsidRPr="00293470">
          <w:rPr>
            <w:rFonts w:ascii="Times New Roman CYR" w:hAnsi="Times New Roman CYR"/>
            <w:kern w:val="0"/>
            <w:lang w:eastAsia="ru-RU"/>
          </w:rPr>
          <w:t>антимонопольного законодательства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(в отчетном периоде);</w:t>
      </w: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spellStart"/>
      <w:r w:rsidRPr="00293470">
        <w:rPr>
          <w:rFonts w:ascii="Times New Roman CYR" w:hAnsi="Times New Roman CYR" w:cs="Times New Roman CYR"/>
          <w:kern w:val="0"/>
          <w:lang w:eastAsia="ru-RU"/>
        </w:rPr>
        <w:t>КНоп</w:t>
      </w:r>
      <w:proofErr w:type="spellEnd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- количество нормативных правовых актов администрации Янтиковского муниципального округа, в которых антимонопольным органом выявлены нарушения </w:t>
      </w:r>
      <w:hyperlink r:id="rId24" w:history="1">
        <w:r w:rsidRPr="00293470">
          <w:rPr>
            <w:rFonts w:ascii="Times New Roman CYR" w:hAnsi="Times New Roman CYR"/>
            <w:kern w:val="0"/>
            <w:lang w:eastAsia="ru-RU"/>
          </w:rPr>
          <w:t>антимонопольного законодательства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(в отчетном периоде).</w:t>
      </w: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293470" w:rsidRPr="00293470" w:rsidRDefault="00293470" w:rsidP="00551BA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 CYR" w:hAnsi="Times New Roman CYR" w:cs="Times New Roman CYR"/>
          <w:b/>
          <w:kern w:val="0"/>
          <w:lang w:eastAsia="ru-RU"/>
        </w:rPr>
      </w:pPr>
      <w:r w:rsidRPr="00293470">
        <w:rPr>
          <w:rFonts w:ascii="Times New Roman CYR" w:hAnsi="Times New Roman CYR" w:cs="Times New Roman CYR"/>
          <w:b/>
          <w:kern w:val="0"/>
          <w:lang w:val="en-US" w:eastAsia="ru-RU"/>
        </w:rPr>
        <w:t>III</w:t>
      </w:r>
      <w:r w:rsidRPr="00293470">
        <w:rPr>
          <w:rFonts w:ascii="Times New Roman CYR" w:hAnsi="Times New Roman CYR" w:cs="Times New Roman CYR"/>
          <w:b/>
          <w:kern w:val="0"/>
          <w:lang w:eastAsia="ru-RU"/>
        </w:rPr>
        <w:t>. Оценка значений КПЭ</w:t>
      </w: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 CYR" w:hAnsi="Times New Roman CYR" w:cs="Times New Roman CYR"/>
          <w:kern w:val="0"/>
          <w:lang w:eastAsia="ru-RU"/>
        </w:rPr>
      </w:pP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0" w:name="sub_31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3.1. Оценка значений КПЭ «доля проектов нормативных правовых актов администрации Янтиковского муниципального округа, в которых выявлены риски нарушения </w:t>
      </w:r>
      <w:hyperlink r:id="rId25" w:history="1">
        <w:r w:rsidRPr="00293470">
          <w:rPr>
            <w:rFonts w:ascii="Times New Roman CYR" w:hAnsi="Times New Roman CYR"/>
            <w:kern w:val="0"/>
            <w:lang w:eastAsia="ru-RU"/>
          </w:rPr>
          <w:t>антимонопольного законодательства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>» и «доля нормативных правовых актов администрации Янтиковского муниципального округа, в которых выявлены риски нарушения антимонопольного законодательства».</w:t>
      </w:r>
    </w:p>
    <w:bookmarkEnd w:id="10"/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Оценка вышеуказанных значений КПЭ направлена на понимание эффективности мероприятий антимонопольного </w:t>
      </w:r>
      <w:proofErr w:type="spellStart"/>
      <w:r w:rsidRPr="00293470">
        <w:rPr>
          <w:rFonts w:ascii="Times New Roman CYR" w:hAnsi="Times New Roman CYR" w:cs="Times New Roman CYR"/>
          <w:kern w:val="0"/>
          <w:lang w:eastAsia="ru-RU"/>
        </w:rPr>
        <w:t>комплаенса</w:t>
      </w:r>
      <w:proofErr w:type="spellEnd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, предусмотренных </w:t>
      </w:r>
      <w:hyperlink r:id="rId26" w:history="1">
        <w:r w:rsidRPr="00293470">
          <w:rPr>
            <w:rFonts w:ascii="Times New Roman CYR" w:hAnsi="Times New Roman CYR"/>
            <w:kern w:val="0"/>
            <w:lang w:eastAsia="ru-RU"/>
          </w:rPr>
          <w:t>Положением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об организации в администрации Янтиковского муниципального округа Чувашской Республики системы внутреннего обеспечения соответствия требованиям антимонопольного законодательства, утвержденным </w:t>
      </w:r>
      <w:hyperlink r:id="rId27" w:history="1">
        <w:r w:rsidRPr="00293470">
          <w:rPr>
            <w:rFonts w:ascii="Times New Roman CYR" w:hAnsi="Times New Roman CYR"/>
            <w:kern w:val="0"/>
            <w:lang w:eastAsia="ru-RU"/>
          </w:rPr>
          <w:t>постановлением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администрации Янтиковского муниципального округа Чувашской Республики от 31.03.2023 №255.</w:t>
      </w:r>
      <w:proofErr w:type="gramEnd"/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При эффективном проведении мероприятий по анализу нормативных правовых актов администрации и их проектов на предмет выявления заложенных в них рисков нарушения </w:t>
      </w:r>
      <w:hyperlink r:id="rId28" w:history="1">
        <w:r w:rsidRPr="00293470">
          <w:rPr>
            <w:rFonts w:ascii="Times New Roman CYR" w:hAnsi="Times New Roman CYR"/>
            <w:kern w:val="0"/>
            <w:lang w:eastAsia="ru-RU"/>
          </w:rPr>
          <w:t>антимонопольного законодательства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(то есть, при высоком значении числителя) должно наблюдаться уменьшение нормативных правовых актов администрации, в отношении которых антимонопольным органом выявлены нарушения антимонопольного законодательства (то есть, низкое значение знаменателя).</w:t>
      </w:r>
    </w:p>
    <w:p w:rsidR="00293470" w:rsidRPr="00293470" w:rsidRDefault="00293470" w:rsidP="002934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Таким образом, значение КПЭ будет тем выше, чем эффективней данные мероприятия антимонопольного </w:t>
      </w:r>
      <w:proofErr w:type="spellStart"/>
      <w:r w:rsidRPr="00293470">
        <w:rPr>
          <w:rFonts w:ascii="Times New Roman CYR" w:hAnsi="Times New Roman CYR" w:cs="Times New Roman CYR"/>
          <w:kern w:val="0"/>
          <w:lang w:eastAsia="ru-RU"/>
        </w:rPr>
        <w:t>комплаенса</w:t>
      </w:r>
      <w:proofErr w:type="spellEnd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будут осуществляться уполномоченным подразделением. </w:t>
      </w:r>
      <w:proofErr w:type="gramStart"/>
      <w:r w:rsidRPr="00293470">
        <w:rPr>
          <w:rFonts w:ascii="Times New Roman CYR" w:hAnsi="Times New Roman CYR" w:cs="Times New Roman CYR"/>
          <w:kern w:val="0"/>
          <w:lang w:eastAsia="ru-RU"/>
        </w:rPr>
        <w:t>И</w:t>
      </w:r>
      <w:proofErr w:type="gramEnd"/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</w:t>
      </w:r>
      <w:hyperlink r:id="rId29" w:history="1">
        <w:r w:rsidRPr="00293470">
          <w:rPr>
            <w:rFonts w:ascii="Times New Roman CYR" w:hAnsi="Times New Roman CYR"/>
            <w:kern w:val="0"/>
            <w:lang w:eastAsia="ru-RU"/>
          </w:rPr>
          <w:t>антимонопольного законодательства</w:t>
        </w:r>
      </w:hyperlink>
      <w:r w:rsidRPr="00293470">
        <w:rPr>
          <w:rFonts w:ascii="Times New Roman CYR" w:hAnsi="Times New Roman CYR" w:cs="Times New Roman CYR"/>
          <w:kern w:val="0"/>
          <w:lang w:eastAsia="ru-RU"/>
        </w:rPr>
        <w:t xml:space="preserve"> в таких актах (знаменатель), низкие значения КПЭ будут свидетельствовать о низкой эффективности данных мероприятий.</w:t>
      </w:r>
    </w:p>
    <w:p w:rsidR="00351857" w:rsidRDefault="00551BA0" w:rsidP="00551BA0">
      <w:pPr>
        <w:spacing w:line="240" w:lineRule="auto"/>
        <w:ind w:firstLine="0"/>
        <w:jc w:val="center"/>
        <w:rPr>
          <w:sz w:val="16"/>
          <w:szCs w:val="16"/>
        </w:rPr>
      </w:pPr>
      <w:r>
        <w:rPr>
          <w:rFonts w:ascii="Times New Roman CYR" w:hAnsi="Times New Roman CYR" w:cs="Times New Roman CYR"/>
          <w:kern w:val="0"/>
          <w:lang w:eastAsia="ru-RU"/>
        </w:rPr>
        <w:t>___________</w:t>
      </w:r>
    </w:p>
    <w:sectPr w:rsidR="00351857" w:rsidSect="00551BA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93470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13E7"/>
    <w:rsid w:val="00532544"/>
    <w:rsid w:val="005331A1"/>
    <w:rsid w:val="005354A8"/>
    <w:rsid w:val="00541DA5"/>
    <w:rsid w:val="00542776"/>
    <w:rsid w:val="00550EE5"/>
    <w:rsid w:val="00551AD9"/>
    <w:rsid w:val="00551BA0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17E6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3E2E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676A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494A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97109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CE67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CE67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48517/2" TargetMode="External"/><Relationship Id="rId18" Type="http://schemas.openxmlformats.org/officeDocument/2006/relationships/hyperlink" Target="http://internet.garant.ru/document/redirect/12148517/2" TargetMode="External"/><Relationship Id="rId26" Type="http://schemas.openxmlformats.org/officeDocument/2006/relationships/hyperlink" Target="http://internet.garant.ru/document/redirect/48771030/1000" TargetMode="External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48517/2" TargetMode="External"/><Relationship Id="rId17" Type="http://schemas.openxmlformats.org/officeDocument/2006/relationships/hyperlink" Target="http://internet.garant.ru/document/redirect/12148517/2" TargetMode="External"/><Relationship Id="rId25" Type="http://schemas.openxmlformats.org/officeDocument/2006/relationships/hyperlink" Target="http://internet.garant.ru/document/redirect/12148517/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hyperlink" Target="http://internet.garant.ru/document/redirect/12148517/2" TargetMode="External"/><Relationship Id="rId29" Type="http://schemas.openxmlformats.org/officeDocument/2006/relationships/hyperlink" Target="http://internet.garant.ru/document/redirect/12148517/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8771030/0" TargetMode="External"/><Relationship Id="rId24" Type="http://schemas.openxmlformats.org/officeDocument/2006/relationships/hyperlink" Target="http://internet.garant.ru/document/redirect/12148517/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48517/2" TargetMode="External"/><Relationship Id="rId23" Type="http://schemas.openxmlformats.org/officeDocument/2006/relationships/hyperlink" Target="http://internet.garant.ru/document/redirect/12148517/2" TargetMode="External"/><Relationship Id="rId28" Type="http://schemas.openxmlformats.org/officeDocument/2006/relationships/hyperlink" Target="http://internet.garant.ru/document/redirect/12148517/2" TargetMode="External"/><Relationship Id="rId10" Type="http://schemas.openxmlformats.org/officeDocument/2006/relationships/hyperlink" Target="http://internet.garant.ru/document/redirect/72168186/0" TargetMode="External"/><Relationship Id="rId19" Type="http://schemas.openxmlformats.org/officeDocument/2006/relationships/hyperlink" Target="http://internet.garant.ru/document/redirect/12148517/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48517/2" TargetMode="External"/><Relationship Id="rId22" Type="http://schemas.openxmlformats.org/officeDocument/2006/relationships/hyperlink" Target="http://internet.garant.ru/document/redirect/12148517/2" TargetMode="External"/><Relationship Id="rId27" Type="http://schemas.openxmlformats.org/officeDocument/2006/relationships/hyperlink" Target="http://internet.garant.ru/document/redirect/48771030/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088B-5F1E-4712-B16A-DB611943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196</cp:revision>
  <cp:lastPrinted>2023-05-02T10:40:00Z</cp:lastPrinted>
  <dcterms:created xsi:type="dcterms:W3CDTF">2023-01-09T05:07:00Z</dcterms:created>
  <dcterms:modified xsi:type="dcterms:W3CDTF">2023-05-12T11:29:00Z</dcterms:modified>
</cp:coreProperties>
</file>