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0" w:name="undefined"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СВЕДЕНИЙ О РЕАЛИЗАЦИИ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ОСНОВНЫХ ОБРАЗОВАТЕЛЬНЫХ ПРОГРАММ, ЗАЯВЛЕННЫХ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ГОСУДАРСТВЕННОЙ АККРЕДИТАЦИИ ОБРАЗОВАТЕЛЬНОЙ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ДЕЯТЕЛЬНОСТИ, ПРИЛАГАЕМЫХ К ЗАЯВЛЕНИЮ О ГОСУДАРСТВЕННОЙ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АККРЕДИТАЦИИ ОБРАЗОВАТЕЛЬНОЙ ДЕЯТЕЛЬНОСТИ, ЗАЯВЛЕНИЮ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ВНЕСЕНИИ ИЗМЕНЕНИЙ В СВЕДЕНИЯ, СОДЕРЖАЩИЕСЯ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ГОСУДАРСТВЕННОЙ ИНФОРМАЦИОННОЙ СИСТЕМЕ "РЕЕСТР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ОРГАНИЗАЦИЙ, ОСУЩЕСТВЛЯЮЩИХ 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ИМЕЮЩИМ ГОСУДАРСТВЕННУЮ АККРЕДИТАЦИЮ ОБРАЗОВАТЕЛЬНЫМ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ПРОГРАММАМ", В СВЯЗИ С ГОСУДАРСТВЕННОЙ АККРЕДИТАЦИЕЙ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ОБРАЗОВАТЕЛЬНОЙ ДЕЯТЕЛЬНОСТИ В ОТНОШЕНИИ РАНЕЕ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НЕ АККРЕДИТОВАННЫХ ОСНОВНЫХ ОБРАЗОВАТЕЛЬНЫХ ПРОГРАММ,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РЕАЛИЗУЕМЫХ ОРГАНИЗАЦИЕЙ, ОСУЩЕСТВЛЯЮЩЕЙ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ОБРАЗОВАТЕЛЬНУЮ ДЕЯТЕЛЬНОСТЬ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Электронный образ сведений о реализации основных образовательных программ, заявленных для государственной аккредитации образовательной деятель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ности (далее - сведения о реализации программ), полученный в результате сканирования соответствующего документа на бумажном носителе, прикрепляется к заявлению о государственной аккредитации образовательной деятельности (далее - заявление о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аккредитации) либо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 (далее - заявление о внесении изменений в реестр).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Сведения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реализации программ заполняются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заполняются все строки и графы. Недопустимо добавление в форму или исключение из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0" w:name="undefined"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сведений о реализации программ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организация, осуществляющая образовательную деятельность (далее - организация) - полное и сокращенное (при наличии) наименование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случае если заявителем является индивидуальный предприниматель, за исключением индивидуальных предпринимателей, осуществляющих образовательную деятельность непосредственно (далее - индивидуальный предприниматель) - фамилия, имя, отчество (при наличии) инди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видуального предпринимателя, сведения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ть), основной государственный регистрационный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индивидуального предпринимателя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ального предпринимателя с кодом страны и населенного пункта (без пробелов и прочерков), адрес электронной почты (при наличии),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&lt;1&gt;.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0" w:name="undefined"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сведений о реализации программ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формы сведений о реализации программ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сведений о реализации программ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указывается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дата, номер и наименование приказа Министерства обр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азования и науки Российской Федерации или Министерства просвещения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 и номер договора о сетевой форме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ализации образовательных программ, наименование организации - участника договора о сетевой форме реализации образовательных программ &lt;2&gt; в случае реализации образовательной программы с использованием сетевой формы.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Приказ Министерства науки и образования Российской Федерации и Министерства просвещения Российской Федерации от 5 августа 2020 г. N 882/391 "Об организации и осуществлении образов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ательной деятельности при сетевой форме реализации образовательных программ" (зарегистрирован Министерством юстиции Российской Федерации 10 сентября 2020 г., регистрационный N 59764) с изменениями, внесенными приказами Министерства науки и высшего образова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ния Российской Федерации и Министерством просвещения Российской Федерации от 21 февраля 2022 г. N 150/89 (зарегистрирован Министерством юстиции Российской Федерации 20 мая 2022 г., регистрационный N 68528), от 26 июля 2022 г. N 684/612 (зарегистрирован Мин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истерством юстиции Российской Федерации 13 сентября 2022 г., регистрационный N 70051), от 22 февраля 2023 г. N 197/129 (зарегистрирован Министерством юстиции Российской Федерации 31 марта 2023 г., регистрационный N 72827) (действует до 1 сентября 2027 г.).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значение "да", если образовательная программа реализуется с применением исключительно электронного обучения, дистанционных образовательных технологий.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учебных предметов, учебных курсов, в том числе внеурочной деятельности, учебных модулей в соответствии с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 отчество (при наличии) педагогического работника, с которым на дату подачи заявления о государственной аккредит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 либо заявления о внесении изменений в реестр заключен трудовой договор (служебный контракт) или гражданско-правовой договор по каждому учебному предмету, курсу, дисциплине (модулю), практике, иных видов учебной деятельности, предусмотренных учебным пл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аном образовательной программы и планом внеурочной деятельности организации в соответствии с документами, приобщенными к его личному делу, или условиями гражданско-правового договора, заключенного с ним (далее в настоящем пункте - 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должности педагогического работника в соответствии со штатным расписанием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наличии первой или высше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й квалификационной категории, ученой степени и (или) ученого звания (в том числе богословских ученой степени и звания), а также о наличии наград, международных почетных званий или премий, в том числе полученных в иностранном государстве и признанных в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Федерации, и (или) государственных почетных званий в соответствующей профессиональной сфере, и (или) принадлежности к лауреатам государственных премий в соответствующей профессиональной сфере и приравненных к ним членам творческих союзов, лауреатам,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победителям и призерам творческих конкурсов, литературных премий, наличии спортивных званий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Почетных званий "Заслуженный работник физической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ультуры и спорта Российской Федерации", "Заслуженный работник физической культуры и спорта РСФСР", а также принадлежности к лауреатам государственных премий в сфере физической культуры и спорта в соответствии с документами, приобщенными к его личному делу;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повышении квалификации педагогического работника по профилю педагогической деятельности за последние 3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учебные классы в соответствии с учебным планом;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учебных предметов в соответствии с учебным планом;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авторе, названии, мест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 издания, издательстве, годе издания учебной литературы, допущенной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по каждому учебному предмету;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экземпляров учебников и разработанных в комплекте с ними учебных пособий, состоящих на учете в библиотечном фонде, допущенных к использованию при реализации имеющих государств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енную аккредитацию образовательной деятельности образовательных программ начального общего, основного общего, среднего общего образования по каждому учебному предмету из федерального перечня учебников &lt;3&gt; (далее - федеральный перечень учебников), в штуках;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Федеральный перечень учебников, доп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обучающихся в организации по заявленной к государственной аккредитации образовательной деятельности образовательной программе, указываемое в количестве человек;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во экземпляров учебников и разработанных в комплекте с ними учебных пособий, состоящих на учете в библиотечном фонде, допущенных к использованию при реализации имеющих государственную аккредитацию образовательной деятельности образовательной программы нача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льного общего образования, образовательной программы основного общего образования, образовательной программы среднего общего образования, по каждому учебному предмету из федерального перечня учебников в расчете на одного обучающегося, указываемое в штуках.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отсутствия в организации обучающихся сведения, предусмотренные настоящим пунктом, вносятся организацией,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сходя из проектной мощности здания (помещений) организации по численности обучающихся по образовательной программе начального общего образования, образовательной программе основного общего образования, образовательной программе среднего общего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1,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о реализации программ указываются 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ой образовательной среды (далее в настоящем пункте - ссылки), а также логин и пароль, позволяющие осуществить авторизацию по соответствующей ссылке (при необходимости такой авторизации). В случае отсутствия какой-либо информации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указывается код и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указываются дата, номер и наименование приказа Министерства образования и науки Российской Федерации или Министерства просвещения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Федерации, или Министерства науки и высшего образования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значение "да" в случае, если образовательная программа либо ее часть содержат сведения, составляющие государственную тайну. В иных случаях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профессиональных модулей, предусмотренных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отчество (при наличии) педагогического работника, с которым на дату подачи заявления о государственной аккредитации либо заявления о внесении изменений в реестр заключен трудовой договор (служебный контракт) или гражданско-правовой договор, обеспечивающег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освоение обучающимися профессиональных модулей образовательной программы, в соответствии с документами, приобщенными к его личному делу, или условиями гражданско-правового договора, заключенного с ним (далее в настоящем пункте - 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должности педагогического работника в соответствии со штатным расписанием организации;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условия привлечения педагогического работника по основному месту работы либо на условиях внутреннего или внешнего совместительства, либо на условиях гражданско-правового договора;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общей продолжительности трудового стажа работы педагогического работника в организациях, направление деятельности которых соответствует области профессиональной деятельности (в том числе образовательных организациях), указываемые в годах;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часов учебной нагрузки педагогического работника по учебному предмету, дисциплине (модулю), практикам, включая часы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всем видам контактной работы (прием зачетов, экзаменов, консультации, руководство курсовыми работами и другие) в соответствии с учебным планом образовательной программы (далее в настоящем пункте - количество часов учебной нагрузки), указываемое в часах;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доля ставки по каждому учебному предмету, дисциплине (модулю), практикам в соотв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етствии с учебным планом образовательной программы, занимаемая педагогическим работником, рассчитанная как отношение количества часов учебной нагрузки к норме часов учебной (преподавательской) работы за ставку заработной платы, &lt;4&gt; указываемая в процентах.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Подпункт 2.8.2 пункта 2.8 Продолжительности рабочего времени (нормах часов педагогической работы за ставку заработной платы) педагогических работников, утвержденной приказом Министерства образования и науки Российской Федерации от 22 декабря 2014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1601 (зарегистрирован Министерством юстиции Российской Федерации 25 февраля 2015 г., регистрационный N 36204), с изменениями, внесенными приказом Министерства образования и науки Российской Федерации от 29 июня 2016 г. N 755 (зарегистрирован Министерств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юстиции Российской Федерации 15 июля 2016 г., регистрационный N 42884) и приказом Министерства просвещения Российской Федерации от 13 мая 2019 г. N 234 (зарегистрирован Министерством юстиции Российской Федерации 21 мая 2019 г., регистрационный N 54675).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 формы сведен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 о реализации программ указывается общее количество ставок, занимаемых педагогическими работниками, реализующими профессиональные модули образовательной программы, округленное до целого числа по правилам математического округления, указываемое в ставках.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2,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адрес ссылки на локальный нормативный правовой акт о вну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тренней системе оценки качества, размещенный на открытых и общедоступных информационных ресурсах в информационно-телекоммуникационных сетях общего пользования, в том числе в сети "Интернет". В случае отсутствия данной информации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19.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код и наименование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о внесении изменений в реестр, соответственно.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20.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дата, номер и наименование приказа Министерства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или Министерства науки и высшего образования Российской Федерации, утверждающего федеральный государственный образовательный стандарт, в соответствии с которым реализуется образовательная программа соответствующего уровня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дата, номер и наименование локального нормативного акта организации, в соответствии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 которым реализуется образовательная программа соответствующего уровня образования, если образовательная программа реализуется в соответствии с образовательным стандартом, утвержденным организацией самостоятельно.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22.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указываются соответственно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курсов, дисциплин (модулей), практики, иных видов учебной деятельности в соответствии с учебным планом образовательной программы;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фамилия, имя, отчество (при наличии) научно-педагогического работника и лица, привлекаемого к реализации образовательной программы на иных усло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виях,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(служебный контракт) или гражданско-правовой договор, по каждой дисциплине (модулю), практике, ино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му виду учебной деятельности, предусмотренных учебным планом образовательной программы, в соответствии с документами, приобщенными к его личному делу, или условиями гражданско-правового договора, заключенного с ним (далее - научно-педагогический работник);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условия привлечения научно-педагогического работника по основному месту работы либо на условиях внутреннего или внешнего совместительства, либо на условиях гражданско-правового договора;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 наличии ученой степени и (или) ученого звания (в том числе богословских ученой степени и звания), а также о наличии наград, международных почетных званий или премий, в том числе полученных в иностранном государстве и признанных в Росс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ийской Федерации, и (или) государственных почетных званий в соответствующей профессиональной сфере, и (или) принадлежности к лауреатам государственных премий в соответствующей профессиональной сфере и приравненных к ним членам творческих союзов, лауреатам,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победителям и призерам творческих конкурсов, литературных премий, наличии спортивных званий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почетных званий "Заслуженный работник физической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ультуры и спорта Российской Федерации", "Заслуженный работник физической культуры и спорта РСФСР", а также принадлежности к лауреатам государственных премий в сфере физической культуры и спорта в соответствии с документами, приобщенными к его личному делу;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сведения об общей продолжительности трудового стажа работы научно-педагогического работника в организациях, деятельность которых связана с направленностью (профилем) реализуемой образовательной программы (при наличии), указываемые в годах;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количество часов учебной нагрузки научно-педагогического работника по каждой дисциплине (модулю), практикам, включая часы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всем видам контактной работы (прием зачетов, экзаменов, консультации, руководство курсовыми работами и другие), в соответствии с учебным планом по старшему курсу обучения (далее в настоящем пункте - количество часов учебной нагрузки), указываемое в часах;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доля ставки, занимаемая научно-педагогическим работником, рассчитанная как отношение количества часов учебной нагрузки к верхнему пределу учебной нагрузки &lt;5&gt;, указываемая в процентах.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&gt; Пункт 6.1, подпункты 7.1.2 - 7.1.3 пункта 7.1, пункт 7.2 Порядка определения учебной нагрузки педагогических работников, оговариваемой в трудовом договоре, утвержденного приказом Министерства образования и науки Российской Федерации от 22 декабря 2014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N 1601 (зарегистрирован Министерством юстиции Российской Федерации 25 февраля 2015 г., регистрационный N 36204), с изменениями, внесенными приказом Министерства образования и науки Российской Федерации от 29 июня 2016 г. N 755 (зарегистрирован Министерств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ом юстиции Российской Федерации 15 июля 2016 г., регистрационный N 42884) и приказом Министерства просвещения Российской Федерации от 13 мая 2019 г. N 234 (зарегистрирован Министерством юстиции Российской Федерации 21 мая 2019 г., регистрационный N 54675).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таблицы N 3 формы сведений о реализации программ указывается общее количество ставок, занимаемых лицами, участвующими в реализации образовательной программы, округленное до целого числа по правилам математического округления, указываемое в ставках.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0" w:name="undefined"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24.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Таблицы N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сведений о реализации программ заполняются в отношении каждой основной образовательной программы, заявленной для государственной аккредитации образовательной деятельности, в соответствии со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строками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государственной аккредитации либо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строкой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о внесении изменений в реестр. В ином случае соответствующая таблица из формы сведений о реализации программ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2024-06-10T07:18:02Z</dcterms:modified>
</cp:coreProperties>
</file>