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3A" w:rsidRDefault="005119FD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F4C">
        <w:rPr>
          <w:rFonts w:ascii="Times New Roman" w:hAnsi="Times New Roman" w:cs="Times New Roman"/>
          <w:b/>
          <w:sz w:val="32"/>
          <w:szCs w:val="32"/>
        </w:rPr>
        <w:t xml:space="preserve">Основные направления бюджетной и налоговой </w:t>
      </w:r>
      <w:proofErr w:type="gramStart"/>
      <w:r w:rsidRPr="00253F4C">
        <w:rPr>
          <w:rFonts w:ascii="Times New Roman" w:hAnsi="Times New Roman" w:cs="Times New Roman"/>
          <w:b/>
          <w:sz w:val="32"/>
          <w:szCs w:val="32"/>
        </w:rPr>
        <w:t>политики  Мариинско</w:t>
      </w:r>
      <w:proofErr w:type="gramEnd"/>
      <w:r w:rsidRPr="00253F4C">
        <w:rPr>
          <w:rFonts w:ascii="Times New Roman" w:hAnsi="Times New Roman" w:cs="Times New Roman"/>
          <w:b/>
          <w:sz w:val="32"/>
          <w:szCs w:val="32"/>
        </w:rPr>
        <w:t xml:space="preserve">-Посадского </w:t>
      </w:r>
      <w:r w:rsidR="0037583A">
        <w:rPr>
          <w:rFonts w:ascii="Times New Roman" w:hAnsi="Times New Roman" w:cs="Times New Roman"/>
          <w:b/>
          <w:sz w:val="32"/>
          <w:szCs w:val="32"/>
        </w:rPr>
        <w:t xml:space="preserve">муниципального округа </w:t>
      </w:r>
    </w:p>
    <w:p w:rsidR="00253F4C" w:rsidRDefault="00253F4C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119FD" w:rsidRPr="00253F4C" w:rsidRDefault="005119FD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F4C">
        <w:rPr>
          <w:rFonts w:ascii="Times New Roman" w:hAnsi="Times New Roman" w:cs="Times New Roman"/>
          <w:b/>
          <w:sz w:val="32"/>
          <w:szCs w:val="32"/>
        </w:rPr>
        <w:t xml:space="preserve">  на 2024 год и </w:t>
      </w:r>
      <w:r w:rsidR="0037583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253F4C">
        <w:rPr>
          <w:rFonts w:ascii="Times New Roman" w:hAnsi="Times New Roman" w:cs="Times New Roman"/>
          <w:b/>
          <w:sz w:val="32"/>
          <w:szCs w:val="32"/>
        </w:rPr>
        <w:t>плановый период 2025 и 2026 годов</w:t>
      </w:r>
    </w:p>
    <w:p w:rsidR="009A46B5" w:rsidRPr="00253F4C" w:rsidRDefault="009A46B5" w:rsidP="001077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77AA" w:rsidRPr="001077AA" w:rsidRDefault="005119FD" w:rsidP="009A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9A46B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 разработаны в соответствии со статьями 172, 184.2 Бюджетного кодекса Российской Федерации, статьями </w:t>
      </w:r>
      <w:r w:rsidR="00E279DB" w:rsidRPr="001077AA">
        <w:rPr>
          <w:rFonts w:ascii="Times New Roman" w:hAnsi="Times New Roman" w:cs="Times New Roman"/>
          <w:sz w:val="28"/>
          <w:szCs w:val="28"/>
        </w:rPr>
        <w:t xml:space="preserve">19,20 </w:t>
      </w:r>
      <w:r w:rsidRPr="001077AA">
        <w:rPr>
          <w:rFonts w:ascii="Times New Roman" w:hAnsi="Times New Roman" w:cs="Times New Roman"/>
          <w:sz w:val="28"/>
          <w:szCs w:val="28"/>
        </w:rPr>
        <w:t xml:space="preserve"> Положения «О </w:t>
      </w:r>
      <w:r w:rsidR="00E279DB" w:rsidRPr="001077AA">
        <w:rPr>
          <w:rFonts w:ascii="Times New Roman" w:hAnsi="Times New Roman" w:cs="Times New Roman"/>
          <w:sz w:val="28"/>
          <w:szCs w:val="28"/>
        </w:rPr>
        <w:t>регулировании бюджетных правоотношений в Мариинско-Посадском муниципальном округе Чувашской Р</w:t>
      </w:r>
      <w:r w:rsidR="00292AC4" w:rsidRPr="001077AA">
        <w:rPr>
          <w:rFonts w:ascii="Times New Roman" w:hAnsi="Times New Roman" w:cs="Times New Roman"/>
          <w:sz w:val="28"/>
          <w:szCs w:val="28"/>
        </w:rPr>
        <w:t>е</w:t>
      </w:r>
      <w:r w:rsidR="00E279DB" w:rsidRPr="001077AA">
        <w:rPr>
          <w:rFonts w:ascii="Times New Roman" w:hAnsi="Times New Roman" w:cs="Times New Roman"/>
          <w:sz w:val="28"/>
          <w:szCs w:val="28"/>
        </w:rPr>
        <w:t>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1077AA" w:rsidRPr="001077AA">
        <w:rPr>
          <w:rFonts w:ascii="Times New Roman" w:hAnsi="Times New Roman" w:cs="Times New Roman"/>
          <w:sz w:val="28"/>
          <w:szCs w:val="28"/>
        </w:rPr>
        <w:t>Собрания депутатов Мариинско-Посадского муниципального округа от 23.11.2022 № 4/5</w:t>
      </w:r>
      <w:r w:rsidRPr="001077AA">
        <w:rPr>
          <w:rFonts w:ascii="Times New Roman" w:hAnsi="Times New Roman" w:cs="Times New Roman"/>
          <w:sz w:val="28"/>
          <w:szCs w:val="28"/>
        </w:rPr>
        <w:t xml:space="preserve">, с учетом итогов реализации бюджетной и налоговой политики за предыдущий бюджетный период и являются определяющими при формировании бюджета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годов, как составной части экономической политики </w:t>
      </w:r>
      <w:r w:rsidR="001077AA" w:rsidRPr="001077AA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.   Целью подготовки данного документа является описание условий, принимаемых для составления бюджета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годов, основных подходов к его формированию, и общего порядка разработки основных характеристик и прогнозируемых параметров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с учетом сложившейся экономической ситуации в Российской Федерации и </w:t>
      </w:r>
      <w:r w:rsidR="001077AA" w:rsidRPr="001077AA">
        <w:rPr>
          <w:rFonts w:ascii="Times New Roman" w:hAnsi="Times New Roman" w:cs="Times New Roman"/>
          <w:sz w:val="28"/>
          <w:szCs w:val="28"/>
        </w:rPr>
        <w:t>Чувашской Республике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а также обеспечение прозрачности и открытости бюджетного планирования. </w:t>
      </w:r>
    </w:p>
    <w:p w:rsidR="00407784" w:rsidRDefault="005119FD" w:rsidP="0010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Определяющее влияние на основные направления бюджетной и налоговой политики </w:t>
      </w:r>
      <w:r w:rsidR="00407784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 плановый период 2025 и 2026 годов оказали основные ориентиры развития страны, обозначенные Президентом Российской Федерации в своем послании Федеральному собранию от 21.02.2023г., а так же положения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   </w:t>
      </w:r>
    </w:p>
    <w:p w:rsidR="00407784" w:rsidRDefault="005119FD" w:rsidP="00230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B5">
        <w:rPr>
          <w:rFonts w:ascii="Times New Roman" w:hAnsi="Times New Roman" w:cs="Times New Roman"/>
          <w:sz w:val="28"/>
          <w:szCs w:val="28"/>
        </w:rPr>
        <w:t xml:space="preserve">В 2023 году продолжается адаптация экономики к изменившимся внешним условиям, в том числе </w:t>
      </w:r>
      <w:proofErr w:type="gramStart"/>
      <w:r w:rsidRPr="009A46B5">
        <w:rPr>
          <w:rFonts w:ascii="Times New Roman" w:hAnsi="Times New Roman" w:cs="Times New Roman"/>
          <w:sz w:val="28"/>
          <w:szCs w:val="28"/>
        </w:rPr>
        <w:t>к  введенным</w:t>
      </w:r>
      <w:proofErr w:type="gramEnd"/>
      <w:r w:rsidRPr="009A46B5">
        <w:rPr>
          <w:rFonts w:ascii="Times New Roman" w:hAnsi="Times New Roman" w:cs="Times New Roman"/>
          <w:sz w:val="28"/>
          <w:szCs w:val="28"/>
        </w:rPr>
        <w:t xml:space="preserve"> санкциям, и  переход к  новой модели экономического роста. Решающее влияние оказывает реализация на государственном уровне комплекса мер, направленных на обеспечение национальных интересов Российской Федерации, включая поддержку экономики и социальной сферы. Основным приоритетом при реализации бюджетной и налоговой политики на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2023 год является обеспечение долгосрочной стабильности, сбалансированности и устойчивости бюджетной системы </w:t>
      </w:r>
      <w:r w:rsidR="009A46B5">
        <w:rPr>
          <w:rFonts w:ascii="Times New Roman" w:hAnsi="Times New Roman" w:cs="Times New Roman"/>
          <w:sz w:val="28"/>
          <w:szCs w:val="28"/>
        </w:rPr>
        <w:t>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как базового принципа ответственной бюджетной политики при безусловном исполнении всех принятых бюджетных обязательств и поставленных задач.  </w:t>
      </w:r>
    </w:p>
    <w:p w:rsidR="005119FD" w:rsidRPr="001077AA" w:rsidRDefault="005119FD" w:rsidP="00D72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46B5">
        <w:rPr>
          <w:rFonts w:ascii="Times New Roman" w:hAnsi="Times New Roman" w:cs="Times New Roman"/>
          <w:sz w:val="28"/>
          <w:szCs w:val="28"/>
        </w:rPr>
        <w:t>Поступление с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обственных доходов </w:t>
      </w:r>
      <w:r w:rsidR="009A46B5">
        <w:rPr>
          <w:rFonts w:ascii="Times New Roman" w:hAnsi="Times New Roman" w:cs="Times New Roman"/>
          <w:sz w:val="28"/>
          <w:szCs w:val="28"/>
        </w:rPr>
        <w:t>за 9 месяцев</w:t>
      </w:r>
      <w:r w:rsidRPr="001077AA">
        <w:rPr>
          <w:rFonts w:ascii="Times New Roman" w:hAnsi="Times New Roman" w:cs="Times New Roman"/>
          <w:sz w:val="28"/>
          <w:szCs w:val="28"/>
        </w:rPr>
        <w:t xml:space="preserve"> 202</w:t>
      </w:r>
      <w:r w:rsidR="009A46B5">
        <w:rPr>
          <w:rFonts w:ascii="Times New Roman" w:hAnsi="Times New Roman" w:cs="Times New Roman"/>
          <w:sz w:val="28"/>
          <w:szCs w:val="28"/>
        </w:rPr>
        <w:t>3</w:t>
      </w:r>
      <w:r w:rsidRPr="001077AA">
        <w:rPr>
          <w:rFonts w:ascii="Times New Roman" w:hAnsi="Times New Roman" w:cs="Times New Roman"/>
          <w:sz w:val="28"/>
          <w:szCs w:val="28"/>
        </w:rPr>
        <w:t xml:space="preserve"> год</w:t>
      </w:r>
      <w:r w:rsidR="009A46B5">
        <w:rPr>
          <w:rFonts w:ascii="Times New Roman" w:hAnsi="Times New Roman" w:cs="Times New Roman"/>
          <w:sz w:val="28"/>
          <w:szCs w:val="28"/>
        </w:rPr>
        <w:t>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="009A46B5">
        <w:rPr>
          <w:rFonts w:ascii="Times New Roman" w:hAnsi="Times New Roman" w:cs="Times New Roman"/>
          <w:sz w:val="28"/>
          <w:szCs w:val="28"/>
        </w:rPr>
        <w:t xml:space="preserve">составило 103169,0 </w:t>
      </w:r>
      <w:proofErr w:type="spellStart"/>
      <w:r w:rsidR="009A46B5">
        <w:rPr>
          <w:rFonts w:ascii="Times New Roman" w:hAnsi="Times New Roman" w:cs="Times New Roman"/>
          <w:sz w:val="28"/>
          <w:szCs w:val="28"/>
        </w:rPr>
        <w:t>тыс.</w:t>
      </w:r>
      <w:r w:rsidRPr="001077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. </w:t>
      </w:r>
      <w:r w:rsidR="009A46B5">
        <w:rPr>
          <w:rFonts w:ascii="Times New Roman" w:hAnsi="Times New Roman" w:cs="Times New Roman"/>
          <w:sz w:val="28"/>
          <w:szCs w:val="28"/>
        </w:rPr>
        <w:t xml:space="preserve">с увеличением к уровню аналогичного периода 2022 года на 25,5 процента. </w:t>
      </w:r>
      <w:r w:rsidRPr="001077AA">
        <w:rPr>
          <w:rFonts w:ascii="Times New Roman" w:hAnsi="Times New Roman" w:cs="Times New Roman"/>
          <w:sz w:val="28"/>
          <w:szCs w:val="28"/>
        </w:rPr>
        <w:t>в основном за счет роста доходов от налогов на доходы физических лиц</w:t>
      </w:r>
      <w:r w:rsidR="009A46B5">
        <w:rPr>
          <w:rFonts w:ascii="Times New Roman" w:hAnsi="Times New Roman" w:cs="Times New Roman"/>
          <w:sz w:val="28"/>
          <w:szCs w:val="28"/>
        </w:rPr>
        <w:t>, акцизов</w:t>
      </w:r>
      <w:r w:rsidR="005D0675">
        <w:rPr>
          <w:rFonts w:ascii="Times New Roman" w:hAnsi="Times New Roman" w:cs="Times New Roman"/>
          <w:sz w:val="28"/>
          <w:szCs w:val="28"/>
        </w:rPr>
        <w:t>, единого сельскохозяйственного налога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и </w:t>
      </w:r>
      <w:r w:rsidR="005D0675">
        <w:rPr>
          <w:rFonts w:ascii="Times New Roman" w:hAnsi="Times New Roman" w:cs="Times New Roman"/>
          <w:sz w:val="28"/>
          <w:szCs w:val="28"/>
        </w:rPr>
        <w:t>земельного налога. Б</w:t>
      </w:r>
      <w:r w:rsidRPr="001077AA">
        <w:rPr>
          <w:rFonts w:ascii="Times New Roman" w:hAnsi="Times New Roman" w:cs="Times New Roman"/>
          <w:sz w:val="28"/>
          <w:szCs w:val="28"/>
        </w:rPr>
        <w:t xml:space="preserve">юджетные кредиты из </w:t>
      </w:r>
      <w:r w:rsidR="005D0675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714B4">
        <w:rPr>
          <w:rFonts w:ascii="Times New Roman" w:hAnsi="Times New Roman" w:cs="Times New Roman"/>
          <w:sz w:val="28"/>
          <w:szCs w:val="28"/>
        </w:rPr>
        <w:t xml:space="preserve"> Чувашской Республики (далее республиканский бюджет)</w:t>
      </w:r>
      <w:r w:rsidRPr="001077AA">
        <w:rPr>
          <w:rFonts w:ascii="Times New Roman" w:hAnsi="Times New Roman" w:cs="Times New Roman"/>
          <w:sz w:val="28"/>
          <w:szCs w:val="28"/>
        </w:rPr>
        <w:t xml:space="preserve"> и кредиты в кредитных организациях не привлекались и не планируются к привлечению в ходе исполнения бюджета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2023 год. Муниципальный долг по итогам 2022 года</w:t>
      </w:r>
      <w:r w:rsidR="005D0675">
        <w:rPr>
          <w:rFonts w:ascii="Times New Roman" w:hAnsi="Times New Roman" w:cs="Times New Roman"/>
          <w:sz w:val="28"/>
          <w:szCs w:val="28"/>
        </w:rPr>
        <w:t xml:space="preserve"> и по состоянию на 01.10.2023 </w:t>
      </w:r>
      <w:r w:rsidRPr="001077AA">
        <w:rPr>
          <w:rFonts w:ascii="Times New Roman" w:hAnsi="Times New Roman" w:cs="Times New Roman"/>
          <w:sz w:val="28"/>
          <w:szCs w:val="28"/>
        </w:rPr>
        <w:t>отсутствует.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Мариинско-Посадский муниципальный округ</w:t>
      </w:r>
      <w:r w:rsidRPr="001077AA">
        <w:rPr>
          <w:rFonts w:ascii="Times New Roman" w:hAnsi="Times New Roman" w:cs="Times New Roman"/>
          <w:sz w:val="28"/>
          <w:szCs w:val="28"/>
        </w:rPr>
        <w:t xml:space="preserve"> является получателем дотации на выравнивание бюджетной обеспеченности </w:t>
      </w:r>
      <w:r w:rsidR="005D0675">
        <w:rPr>
          <w:rFonts w:ascii="Times New Roman" w:hAnsi="Times New Roman" w:cs="Times New Roman"/>
          <w:sz w:val="28"/>
          <w:szCs w:val="28"/>
        </w:rPr>
        <w:t xml:space="preserve">и в </w:t>
      </w:r>
      <w:r w:rsidRPr="001077AA">
        <w:rPr>
          <w:rFonts w:ascii="Times New Roman" w:hAnsi="Times New Roman" w:cs="Times New Roman"/>
          <w:sz w:val="28"/>
          <w:szCs w:val="28"/>
        </w:rPr>
        <w:t xml:space="preserve">виде дополнительного норматива отчисления от налога на доходы физических лиц. Уровень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остается высоким. Исполнение бюджета</w:t>
      </w:r>
      <w:r w:rsidR="00A714B4">
        <w:rPr>
          <w:rFonts w:ascii="Times New Roman" w:hAnsi="Times New Roman" w:cs="Times New Roman"/>
          <w:sz w:val="28"/>
          <w:szCs w:val="28"/>
        </w:rPr>
        <w:t xml:space="preserve"> 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2023 году, как и в 2022 году, осуществляется </w:t>
      </w:r>
      <w:r w:rsidR="00C0512C">
        <w:rPr>
          <w:rFonts w:ascii="Times New Roman" w:hAnsi="Times New Roman" w:cs="Times New Roman"/>
          <w:sz w:val="28"/>
          <w:szCs w:val="28"/>
        </w:rPr>
        <w:t>на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условиях заключенного Соглашения администрации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с министерством финансов </w:t>
      </w:r>
      <w:r w:rsidR="005D0675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«О мерах по социально – экономическому развитию и оздоровлению муниципальных финансов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на 2023 год», предметом которого, в том числе, является увеличение налоговых и неналоговых доходов, недопущение роста недоимки по налогам, формирующим краевой и местные бюджеты, недопущение роста кредиторской задолженности по начислениям на выплаты по оплате труда и по оплате коммунальных услуг, снижение дебиторской задолженности по платежам от аренды муниципального имущества и земельных участков и др</w:t>
      </w:r>
      <w:r w:rsidR="00D72508">
        <w:rPr>
          <w:rFonts w:ascii="Times New Roman" w:hAnsi="Times New Roman" w:cs="Times New Roman"/>
          <w:sz w:val="28"/>
          <w:szCs w:val="28"/>
        </w:rPr>
        <w:t>.</w:t>
      </w:r>
    </w:p>
    <w:p w:rsidR="003A5631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   На 2024 год с учетом сохранения нестабильности в экономике, обусловленной неопределенностью ситуации, в условиях внешнего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давления государственная бюджетная и налоговая политика сохраняет курс на стимулирование экономической и инвестиционной деятельности. Оживление потребительского спроса и увеличение частных инвестиций в экономику будут способствовать формированию параметров бюджетов на 2024 год и плановый период 2025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и  2026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годов, обеспечивающих устойчивость, сбалансированность бюджетной системы и  наращивание потенциала развития экономики. Бюджетная и налоговая политика </w:t>
      </w:r>
      <w:r w:rsidR="00D72508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D72508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 ориентирована на обеспечение стабильности, сбалансированности и устойчивости бюджета </w:t>
      </w:r>
      <w:r w:rsidR="00D72508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повышение качества бюджетного планирования и исполнения бюджета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прозрачности и открытости бюджетного планирования, учитывает задачи муниципального уровня, обозначенные Президентом Российской Федерации, Правительствами Российской Федерации и </w:t>
      </w:r>
      <w:r w:rsidR="00FE616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сфере налоговой и бюджетной политики на 2024 год и плановый период 2025 и 2026 годов.  Налоговая политика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FE616C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определена с учетом основных направлений налоговой политики Российской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 также изменений федерального законодательства и законодательства </w:t>
      </w:r>
      <w:r w:rsidR="00FE616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>. Основными целями налоговой политики на 2024 год и плановый период 2025 - 2026 годов остаются обеспечение полного и стабильного поступления налоговых платежей в бюджет</w:t>
      </w:r>
      <w:r w:rsidR="00FE616C" w:rsidRPr="00FE616C">
        <w:rPr>
          <w:rFonts w:ascii="Times New Roman" w:hAnsi="Times New Roman" w:cs="Times New Roman"/>
          <w:sz w:val="28"/>
          <w:szCs w:val="28"/>
        </w:rPr>
        <w:t xml:space="preserve">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.  В соответствии с Федеральным законом от 29.05.2023 № 196-ФЗ «О внесении изменений в часть первую Налогового кодекса Российской Федерации» изменена последовательность при определении принадлежности сумм денежных средств, перечисленных и(или) признаваемых в качестве единого налогового платежа, а так же порядок автоматического зачета налога на доходы физических лиц, что положительно повлияло на стабильность поступления налоговых платежей (налог на доходы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физических лиц занимает более </w:t>
      </w:r>
      <w:r w:rsidR="003A5631">
        <w:rPr>
          <w:rFonts w:ascii="Times New Roman" w:hAnsi="Times New Roman" w:cs="Times New Roman"/>
          <w:sz w:val="28"/>
          <w:szCs w:val="28"/>
        </w:rPr>
        <w:t xml:space="preserve">63,4 </w:t>
      </w:r>
      <w:r w:rsidRPr="001077AA">
        <w:rPr>
          <w:rFonts w:ascii="Times New Roman" w:hAnsi="Times New Roman" w:cs="Times New Roman"/>
          <w:sz w:val="28"/>
          <w:szCs w:val="28"/>
        </w:rPr>
        <w:t xml:space="preserve">% от налоговых доходов) в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.  Налоговый потенциал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 Основными направлениями решения задач по обеспечению доходного потенциала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 -  повышение качества взаимодействия с главными администраторами (администраторами) доходов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в целях повышения их ответственности за правильность исчисления, полноту и своевременность осуществления платежей в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управления муниципальной собственностью, включая земельные участки, обеспечение его качественного учета, жесткого контроля за его использованием;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 своевременная претензионная работа,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имуществом, включая земельные участки. </w:t>
      </w:r>
    </w:p>
    <w:p w:rsidR="00DF5B5B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31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сокращение задолженности по налоговым и неналоговым доходам. Для этого будет продолжена работа межведомственной комиссии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 xml:space="preserve">при организации согласованных действий органов местного самоуправления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3A5631">
        <w:rPr>
          <w:rFonts w:ascii="Times New Roman" w:hAnsi="Times New Roman" w:cs="Times New Roman"/>
          <w:sz w:val="28"/>
          <w:szCs w:val="28"/>
        </w:rPr>
        <w:t xml:space="preserve">, территориальными подразделениями федеральных органов исполнительной власти по мобилизации доходов в бюджет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 xml:space="preserve">с целью максимально возможного сокращения задолженности и увеличения доходной базы бюджета </w:t>
      </w:r>
      <w:r w:rsidR="003A5631" w:rsidRP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3A5631">
        <w:rPr>
          <w:rFonts w:ascii="Times New Roman" w:hAnsi="Times New Roman" w:cs="Times New Roman"/>
          <w:sz w:val="28"/>
          <w:szCs w:val="28"/>
        </w:rPr>
        <w:t>.</w:t>
      </w:r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5D" w:rsidRPr="004E165D" w:rsidRDefault="004E165D" w:rsidP="004E16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Мариинско-Посадского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 собственных доходов прогнозируется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</w:p>
    <w:p w:rsidR="004E165D" w:rsidRPr="004E165D" w:rsidRDefault="004E165D" w:rsidP="004E16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Собственные доходы бюджета Мариинско-Посадского муниципального округа прогнозируются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173 428,2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181 693,8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191 688,1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3A5631" w:rsidRDefault="005119FD" w:rsidP="003A5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Бюджетная политика на 2024 – 2026 годы сохранит свою направленность на выполнение приоритетных задач социально – экономического развития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социальную и финансовую стабильность, реализацию уже принятых решений в рамках бюджета 2023 года и направлена на подготовку нового трёхлетнего бюджета. Реализация бюджетной политики сопровождается усиливающейся с каждым годом социальной нагрузкой на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, а также необходимостью достижения целей и задач национальных и региональных проектов. В условиях недостатка собственной доходной базы и высокой зависимости</w:t>
      </w:r>
      <w:r w:rsidR="00DF5B5B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от объема финансовой помощи и целевых субсидий из федерального и </w:t>
      </w:r>
      <w:r w:rsidR="003A5631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бюджетов, необходимо продолжить финансовое участие в реализации государственных программ </w:t>
      </w:r>
      <w:r w:rsidR="003A563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а в последствии – принять на содержание социальные объекты, введенные в эксплуатацию после реконструкции или строительства.  В условиях сложной геополитической ситуации, связанной с проведением специальной военной операции на территории Украины, каждая семья участников специальной военной операции должна быть в зоне постоянного внимания, окружена заботой и почетом. Наш долг - поддержать и оказать помощь семьям участников специальной военной операции, помочь им вырастить, поднять детей, дать им образование. В сложившихся условиях продолжают сохраняться риски возникновения дополнительных расходов 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бюджетоформирующих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доходов. Кроме того, отмечается усиление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проинфляционных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факторов. Учитывая условия ограничения бюджетных возможностей, главным распорядителям средств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необходимо ответственно подходить к планированию бюджетных ассигнований, исходя из их обоснованности, бюджетной эффективности их реализации при условии бесспорного финансового обеспечения и исполнения действующих расходных обязательств в полном объеме, сокращая при этом нерезультативные бюджетные расходы.  Всем участникам бюджетного процесса при планировании бюджетных расходов необходимо пересмотреть отраслевые приоритеты, сконцентрировав бюджетные и управленческие ресурсы на решении задач с безусловной реализацией национальных, региональных проектов и муниципальных программ развития.  Бюджетная политика нового бюджетного цикла сохраняет преемственность задач прошлых периодов. Как и в предыдущие годы, расходная часть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сохранит свою социальную направленность, когда более 65% всех расходов ежегодно направляется на финансирование социальной сферы и решение вопросов в области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хозяйств.  Таким образом, основными целями и задачами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>бюджетной политики</w:t>
      </w:r>
      <w:r w:rsidR="002300EE">
        <w:rPr>
          <w:rFonts w:ascii="Times New Roman" w:hAnsi="Times New Roman" w:cs="Times New Roman"/>
          <w:sz w:val="28"/>
          <w:szCs w:val="28"/>
        </w:rPr>
        <w:t xml:space="preserve"> Мариинско-Посадского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00E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077A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 являются:</w:t>
      </w:r>
    </w:p>
    <w:p w:rsidR="005119FD" w:rsidRPr="001077AA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обеспечение сбалансированности доходных источников и расходных обязательств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закрепление положительных результатов, достигнутых при формировании и исполнении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за предыдущие годы;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бюджетных расходов в целях безусловного обеспечения достижения национальных целей развития в соответствии с указами Президента Российской Федерации от 7.05.2018 № 204 и от 21.07.2020 № 474;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совершенствование инструментов программно-целевого планирования, реализация мероприятий, направленных на повышение качества планирования и эффективности реализации муниципальных программ исходя из ожидаемых результатов;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повышение ответственности муниципальных учреждений за невыполнение муниципального задания 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муниципальном задании;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совершенствование системы муниципальных закупок;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</w:t>
      </w:r>
      <w:r w:rsidR="003A5631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 главных распорядителей и администраторов бюджетных средств;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повышение прозрачности и открытости бюджета и бюджетного процесса, а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C0512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 муниципальных финансах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815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развитие инициативного бюджетирования в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власти. </w:t>
      </w:r>
    </w:p>
    <w:p w:rsidR="005119FD" w:rsidRPr="001077AA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Ключевой задачей и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приоритетами  бюджетной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политики на 2024 -  2026 годы остаются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 Указом Президента Российской Федерации от 21 июля 2020 года № 474.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Таким образом, для бюджета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61381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можно определить основные задачи социального характера на трехлетнюю перспективу 2024 – 2026 годов: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обеспечение и сохранение достигнутых соотношений заработной платы отдельных категорий работников бюджетной сферы к доходу от трудовой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</w:t>
      </w:r>
      <w:r w:rsidR="00C0512C">
        <w:rPr>
          <w:rFonts w:ascii="Times New Roman" w:hAnsi="Times New Roman" w:cs="Times New Roman"/>
          <w:sz w:val="28"/>
          <w:szCs w:val="28"/>
        </w:rPr>
        <w:t>Мариинско-Посадском муниципальном округе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закрепленных в Указах Президента Российской Федерации от 07.05.2012 №№ 597, 761;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обеспечение роста уровня заработной платы низкооплачиваемой категории работников бюджетной сферы, в соответствии с увеличением минимального размера оплаты труда и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величиной  прожиточного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минимума трудоспособного населения;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достижение 100-процентной доступности дошкольного образования, включая ясли;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обеспечение современного, качественного образования, доступного для каждого ребенка;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дополнительного образования и новых направлений в этой сфере;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подбор и постоянное повышение квалификации кадрового потенциала в области образования и культуры;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транспортной инфраструктуры, обеспечение безопасности и качества автомобильных дорог муниципального значения;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решение проблемных вопросов в сфере экологии, в том числе по обеспечению населения качественной питьевой водой;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обеспечение условий для занятий физической культурой и спортом, массовым спортом, в том числе повышение уровня обеспеченности населения объектами спорта;</w:t>
      </w:r>
    </w:p>
    <w:p w:rsidR="002300EE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стимулирование комплексного развития населенных пунктов района в части доступности для каждой семьи объектов социальной инфраструктуры;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поддержка семей участников специальной военной операции;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духовно – нравственных и культурных ценностей в </w:t>
      </w:r>
      <w:r w:rsidR="00C0512C">
        <w:rPr>
          <w:rFonts w:ascii="Times New Roman" w:hAnsi="Times New Roman" w:cs="Times New Roman"/>
          <w:sz w:val="28"/>
          <w:szCs w:val="28"/>
        </w:rPr>
        <w:t>Мариинско-Посадском муниципальном округе</w:t>
      </w:r>
      <w:r w:rsidRPr="00107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815" w:rsidRDefault="005119FD" w:rsidP="00230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При формировании и осуществлении расходов на содержание и обеспечение деятельности органов местного самоуправления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обязательным является соблюдение норматива, установленного </w:t>
      </w:r>
      <w:r w:rsidR="00613815">
        <w:rPr>
          <w:rFonts w:ascii="Times New Roman" w:hAnsi="Times New Roman" w:cs="Times New Roman"/>
          <w:sz w:val="28"/>
          <w:szCs w:val="28"/>
        </w:rPr>
        <w:t>постановлением Кабинета Министров Чувашской Республики.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поступлений в бюджет Мариинско-Посадского муниципального округа Чувашской Республики на 202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proofErr w:type="gramEnd"/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582,9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сумме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590 076,7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620 357,3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196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из республиканского бюджета Чувашской Республики соответственно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590 479,1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408 382,9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6C0FE4">
        <w:rPr>
          <w:rFonts w:ascii="Times New Roman" w:eastAsia="Times New Roman" w:hAnsi="Times New Roman" w:cs="Times New Roman"/>
          <w:sz w:val="28"/>
          <w:szCs w:val="28"/>
          <w:lang w:eastAsia="ru-RU"/>
        </w:rPr>
        <w:t>428 669,2</w:t>
      </w:r>
      <w:bookmarkStart w:id="0" w:name="_GoBack"/>
      <w:bookmarkEnd w:id="0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запланированы исходя из принципов повышения эффективности использования бюджетных средств, с достижением конечных результатов. Программно-целевое бюджетирование — основная форма финансового планирования. Объемы бюджетных ассигнований, на реализацию долгосрочных целевых программ предусмотрены в проекте решения о бюджете в составе ведомственной структуры расходов бюджета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Мариинско-Посадского муниципального округа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соответствующей каждой программе целевой статье расходов бюджета.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структуре расходов бюджета Мариинско-Посадского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преобладают расходы на финансовое обеспечение публичных услуг в сфере образования, культуры, жилищно-коммунального хозяйства, затем следуют социальная политика, поддержка национальной экономики, включая развитие инфраструктуры, общегосударственные вопросы.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приоритет — инвестиции в человека. Обеспечение равных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возможностей для людей пользоваться услугами в области образования,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культуры, общественной инфраструктуры независимо от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местожительства,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социального  положения,  возраста.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Чувашской Республики от 21 марта 2008г. № 25 (с изменениями от 21 декабря 2011 года) утверждена «Стратегия развития образования в Чувашской Республике до 2040 года», целью которой являться ускорение модернизации образования, обеспечение его инновационного характера, укрепление материально-технической базы, совершенствование принципов </w:t>
      </w:r>
      <w:proofErr w:type="spell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формирование эффективного рынка образовательных услуг в целях создания условий для повышения качества «человеческого капитала».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в бюджете Мариинско-Посадского 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в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составят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312 256,8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5 302 247,9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272 947,8 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303 433,1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аспектов сохранения и развития человеческого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капитала является расширение возможностей духовного развития,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удовлетворение потребности в досуге и творчестве, обеспечение доступа к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культурному наследию. 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на культуру в бюджете Мариинско-Посадского 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в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составляет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сумма расходов на культуру 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запланирована в сумме 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55 377,4</w:t>
      </w:r>
      <w:r w:rsidR="006A3D9A"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50 257,4</w:t>
      </w:r>
      <w:r w:rsidR="006A3D9A"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50 257,4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средства направляются на социальную защиту населения.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социальную политику расходы бюджета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Мариинско-Посадского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составят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—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42 356,0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42 356,0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48 046,2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совершенствованием качества бюджетных услуг в области социально-культурной сферы в целях достижения большей мобильности населения и производственных компонентов будет реализован ряд проектных решений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по развитию современной общественной инфраструктуры, а также по качественному содержанию основных фондов в соответствии с техническими и финансовыми нормативами.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Мариинско-Посадского муниципального округа значительно увеличены расходы на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инвестиционных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 по развитию дорожной инфраструктуры. Для качественного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указанных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</w:t>
      </w:r>
      <w:r w:rsidR="00230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Дорожного  фонда  Мариинско-Посадского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230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 направить на строительство, содержание и капитальный ремонт дорог за счет средств республиканского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Мариинско-Посадского муниципального округа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 сумме 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256 528,3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будет направлено в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83 981,3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79 649,0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–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92 898,0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наряду с положительными результатами из-за недостаточного уровня доходов граждан, удорожания стоимости жилья доступность жилья для малообеспеченных граждан недостаточна. Особенно для тех, которые состоят на учете в качестве нуждающихся в населенных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 Мариинско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-Посадского  муниципального округа.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реализация подпрограммы "Обеспечение жильем молодых семей" федеральной целевой программы государственной программы Российской Федерации "Обеспечение доступным и комфортным жильем и коммунальными услугами граждан Российской Федерации.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республиканского бюджета будут выделяться средства на </w:t>
      </w:r>
      <w:proofErr w:type="spell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муниципального округа, и осуществлению капитального ремонта объектов социально-культурной сферы сельских территорий.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развиваться более эффективные механизмы муниципальной поддержки приоритетных секторов экономики, прежде всего сельского хозяйства, жилищно-коммунального хозяйства, транспорта.</w:t>
      </w:r>
    </w:p>
    <w:p w:rsidR="005066C6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В условиях сложившейся экономической ситуации в целом и дефицита собственного доходного потенциала решение социально – значимых для населения вопросов, стоящих перед органами местного самоуправления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без финансового участия федерального и </w:t>
      </w:r>
      <w:r w:rsidR="00613815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. В 2024 и последующие годы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61381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продолжит работу по участию в государственных программах, с целью привлечения доп</w:t>
      </w:r>
      <w:r w:rsidR="00613815">
        <w:rPr>
          <w:rFonts w:ascii="Times New Roman" w:hAnsi="Times New Roman" w:cs="Times New Roman"/>
          <w:sz w:val="28"/>
          <w:szCs w:val="28"/>
        </w:rPr>
        <w:t>о</w:t>
      </w:r>
      <w:r w:rsidRPr="001077AA">
        <w:rPr>
          <w:rFonts w:ascii="Times New Roman" w:hAnsi="Times New Roman" w:cs="Times New Roman"/>
          <w:sz w:val="28"/>
          <w:szCs w:val="28"/>
        </w:rPr>
        <w:t xml:space="preserve">лнительных бюджетных средств.  Будет продолжено развитие инициативного бюджетирования в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</w:t>
      </w:r>
      <w:r w:rsidR="00C0512C">
        <w:rPr>
          <w:rFonts w:ascii="Times New Roman" w:hAnsi="Times New Roman" w:cs="Times New Roman"/>
          <w:sz w:val="28"/>
          <w:szCs w:val="28"/>
        </w:rPr>
        <w:t>ом</w:t>
      </w:r>
      <w:r w:rsidR="006138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512C">
        <w:rPr>
          <w:rFonts w:ascii="Times New Roman" w:hAnsi="Times New Roman" w:cs="Times New Roman"/>
          <w:sz w:val="28"/>
          <w:szCs w:val="28"/>
        </w:rPr>
        <w:t>ом</w:t>
      </w:r>
      <w:r w:rsidR="006138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12C">
        <w:rPr>
          <w:rFonts w:ascii="Times New Roman" w:hAnsi="Times New Roman" w:cs="Times New Roman"/>
          <w:sz w:val="28"/>
          <w:szCs w:val="28"/>
        </w:rPr>
        <w:t>е</w:t>
      </w:r>
      <w:r w:rsidRPr="001077AA">
        <w:rPr>
          <w:rFonts w:ascii="Times New Roman" w:hAnsi="Times New Roman" w:cs="Times New Roman"/>
          <w:sz w:val="28"/>
          <w:szCs w:val="28"/>
        </w:rPr>
        <w:t>.  Участие населения в инициировании, реализации и контроле предложенных инициативных проектов обеспечивает выдвижение действительно приоритетных для финансирования бюджетных расходов, а также прозрачность</w:t>
      </w:r>
      <w:r w:rsidR="00613815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бюджетных решений, экономию бюджетных средств, пристальный контроль за подрядчиками, бережную эксплуатацию созданных объектов. Также, будет продолжена поддержка развития инициативного бюджетирования через участие граждан в конкурсах, проводимых на региональном уровне, для реализации инициативных проектов. </w:t>
      </w:r>
    </w:p>
    <w:p w:rsidR="005119FD" w:rsidRPr="005066C6" w:rsidRDefault="00253F4C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Бюджет Мариинско-Посадского муниципального округа Чувашской Республики на 2024 год и плановый период 2025 и 2026 годов</w:t>
      </w:r>
      <w:r w:rsidR="005066C6">
        <w:rPr>
          <w:rFonts w:ascii="Times New Roman" w:hAnsi="Times New Roman" w:cs="Times New Roman"/>
          <w:sz w:val="28"/>
          <w:szCs w:val="28"/>
        </w:rPr>
        <w:t xml:space="preserve"> </w:t>
      </w:r>
      <w:r w:rsidR="005066C6" w:rsidRPr="005066C6">
        <w:rPr>
          <w:rFonts w:ascii="Times New Roman" w:hAnsi="Times New Roman" w:cs="Times New Roman"/>
          <w:sz w:val="28"/>
          <w:szCs w:val="28"/>
        </w:rPr>
        <w:t>прогнозируется бездефицитным</w:t>
      </w:r>
      <w:r w:rsidRPr="005066C6">
        <w:rPr>
          <w:rFonts w:ascii="Times New Roman" w:hAnsi="Times New Roman" w:cs="Times New Roman"/>
          <w:sz w:val="28"/>
          <w:szCs w:val="28"/>
        </w:rPr>
        <w:t>.</w:t>
      </w:r>
    </w:p>
    <w:p w:rsidR="005119FD" w:rsidRPr="00613815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119FD" w:rsidRPr="00613815" w:rsidSect="00DF0787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D44"/>
    <w:multiLevelType w:val="hybridMultilevel"/>
    <w:tmpl w:val="E67CB744"/>
    <w:lvl w:ilvl="0" w:tplc="467202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D"/>
    <w:rsid w:val="001077AA"/>
    <w:rsid w:val="00162CF0"/>
    <w:rsid w:val="0019623C"/>
    <w:rsid w:val="002300EE"/>
    <w:rsid w:val="00253F4C"/>
    <w:rsid w:val="00292AC4"/>
    <w:rsid w:val="0037583A"/>
    <w:rsid w:val="003A5631"/>
    <w:rsid w:val="00407784"/>
    <w:rsid w:val="004E165D"/>
    <w:rsid w:val="005066C6"/>
    <w:rsid w:val="005119FD"/>
    <w:rsid w:val="005D0675"/>
    <w:rsid w:val="00613815"/>
    <w:rsid w:val="006A3D9A"/>
    <w:rsid w:val="006C0FE4"/>
    <w:rsid w:val="009A46B5"/>
    <w:rsid w:val="00A714B4"/>
    <w:rsid w:val="00B335E1"/>
    <w:rsid w:val="00C0512C"/>
    <w:rsid w:val="00D72508"/>
    <w:rsid w:val="00DF0787"/>
    <w:rsid w:val="00DF5B5B"/>
    <w:rsid w:val="00E279DB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81F"/>
  <w15:chartTrackingRefBased/>
  <w15:docId w15:val="{A5ED91C7-2BB5-4F0C-AC12-CCE642B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Сергеева Е.М.</dc:creator>
  <cp:keywords/>
  <dc:description/>
  <cp:lastModifiedBy>Мариинско-Посадский район - Сергеева Е.М.</cp:lastModifiedBy>
  <cp:revision>7</cp:revision>
  <dcterms:created xsi:type="dcterms:W3CDTF">2023-10-20T05:32:00Z</dcterms:created>
  <dcterms:modified xsi:type="dcterms:W3CDTF">2023-11-23T12:28:00Z</dcterms:modified>
</cp:coreProperties>
</file>