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77"/>
        <w:gridCol w:w="3792"/>
      </w:tblGrid>
      <w:tr w:rsidR="00E465DC" w:rsidRPr="00155FD4" w:rsidTr="00155FD4">
        <w:tc>
          <w:tcPr>
            <w:tcW w:w="3652" w:type="dxa"/>
          </w:tcPr>
          <w:p w:rsidR="00155FD4" w:rsidRPr="00155FD4" w:rsidRDefault="00155FD4" w:rsidP="00155FD4">
            <w:pPr>
              <w:spacing w:before="0" w:after="0"/>
              <w:jc w:val="left"/>
              <w:outlineLvl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</w:tcPr>
          <w:p w:rsidR="00155FD4" w:rsidRPr="00155FD4" w:rsidRDefault="00155FD4" w:rsidP="00155FD4">
            <w:pPr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lang w:val="ru-RU"/>
              </w:rPr>
            </w:pPr>
            <w:r w:rsidRPr="00155FD4">
              <w:rPr>
                <w:rFonts w:ascii="Times New Roman" w:hAnsi="Times New Roman"/>
                <w:noProof/>
                <w:sz w:val="24"/>
                <w:lang w:val="ru-RU"/>
              </w:rPr>
              <w:drawing>
                <wp:inline distT="0" distB="0" distL="0" distR="0" wp14:anchorId="3F36D355" wp14:editId="35562811">
                  <wp:extent cx="341630" cy="40259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</w:tcPr>
          <w:p w:rsidR="00155FD4" w:rsidRPr="00155FD4" w:rsidRDefault="00155FD4" w:rsidP="00155FD4">
            <w:pPr>
              <w:spacing w:before="0" w:after="0"/>
              <w:jc w:val="left"/>
              <w:outlineLvl w:val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465DC" w:rsidRPr="00155FD4" w:rsidTr="00155FD4">
        <w:tc>
          <w:tcPr>
            <w:tcW w:w="3652" w:type="dxa"/>
          </w:tcPr>
          <w:p w:rsidR="00155FD4" w:rsidRPr="00155FD4" w:rsidRDefault="00155FD4" w:rsidP="00155FD4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55FD4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  <w:tc>
          <w:tcPr>
            <w:tcW w:w="2977" w:type="dxa"/>
          </w:tcPr>
          <w:p w:rsidR="00155FD4" w:rsidRPr="00155FD4" w:rsidRDefault="00155FD4" w:rsidP="00155FD4">
            <w:pPr>
              <w:spacing w:before="0" w:after="0"/>
              <w:jc w:val="left"/>
              <w:outlineLvl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792" w:type="dxa"/>
          </w:tcPr>
          <w:p w:rsidR="00155FD4" w:rsidRPr="00155FD4" w:rsidRDefault="00155FD4" w:rsidP="00155FD4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55FD4">
              <w:rPr>
                <w:rFonts w:ascii="Times New Roman" w:hAnsi="Times New Roman"/>
                <w:sz w:val="24"/>
                <w:lang w:val="ru-RU"/>
              </w:rPr>
              <w:t>УЛАТӐ</w:t>
            </w:r>
            <w:proofErr w:type="gramStart"/>
            <w:r w:rsidRPr="00155FD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</w:p>
        </w:tc>
      </w:tr>
      <w:tr w:rsidR="00E465DC" w:rsidRPr="00155FD4" w:rsidTr="00155FD4">
        <w:tc>
          <w:tcPr>
            <w:tcW w:w="3652" w:type="dxa"/>
          </w:tcPr>
          <w:p w:rsidR="00155FD4" w:rsidRPr="00155FD4" w:rsidRDefault="00155FD4" w:rsidP="00155FD4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55FD4">
              <w:rPr>
                <w:rFonts w:ascii="Times New Roman" w:hAnsi="Times New Roman"/>
                <w:sz w:val="24"/>
                <w:lang w:val="ru-RU"/>
              </w:rPr>
              <w:t>АЛАТЫРСКОГО</w:t>
            </w:r>
          </w:p>
        </w:tc>
        <w:tc>
          <w:tcPr>
            <w:tcW w:w="2977" w:type="dxa"/>
          </w:tcPr>
          <w:p w:rsidR="00155FD4" w:rsidRPr="00155FD4" w:rsidRDefault="00155FD4" w:rsidP="00155FD4">
            <w:pPr>
              <w:spacing w:before="0" w:after="0"/>
              <w:jc w:val="left"/>
              <w:outlineLvl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792" w:type="dxa"/>
          </w:tcPr>
          <w:p w:rsidR="00155FD4" w:rsidRPr="00155FD4" w:rsidRDefault="00155FD4" w:rsidP="00155FD4">
            <w:pPr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lang w:val="ru-RU"/>
              </w:rPr>
            </w:pPr>
            <w:r w:rsidRPr="00155FD4">
              <w:rPr>
                <w:rFonts w:ascii="Times New Roman" w:hAnsi="Times New Roman"/>
                <w:sz w:val="24"/>
                <w:lang w:val="ru-RU"/>
              </w:rPr>
              <w:t>МУНИЦИПАЛИТЕТ ОКРУГӖН</w:t>
            </w:r>
          </w:p>
        </w:tc>
      </w:tr>
      <w:tr w:rsidR="00E465DC" w:rsidRPr="00155FD4" w:rsidTr="00155FD4">
        <w:tc>
          <w:tcPr>
            <w:tcW w:w="3652" w:type="dxa"/>
          </w:tcPr>
          <w:p w:rsidR="00155FD4" w:rsidRPr="00155FD4" w:rsidRDefault="00155FD4" w:rsidP="00155FD4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55FD4">
              <w:rPr>
                <w:rFonts w:ascii="Times New Roman" w:hAnsi="Times New Roman"/>
                <w:sz w:val="24"/>
                <w:lang w:val="ru-RU"/>
              </w:rPr>
              <w:t>МУНИЦИПАЛЬНОГО ОКРУГА</w:t>
            </w:r>
          </w:p>
        </w:tc>
        <w:tc>
          <w:tcPr>
            <w:tcW w:w="2977" w:type="dxa"/>
          </w:tcPr>
          <w:p w:rsidR="00155FD4" w:rsidRPr="00155FD4" w:rsidRDefault="00155FD4" w:rsidP="00155FD4">
            <w:pPr>
              <w:spacing w:before="0" w:after="0"/>
              <w:jc w:val="left"/>
              <w:outlineLvl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792" w:type="dxa"/>
          </w:tcPr>
          <w:p w:rsidR="00155FD4" w:rsidRPr="00155FD4" w:rsidRDefault="00155FD4" w:rsidP="00155FD4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55FD4">
              <w:rPr>
                <w:rFonts w:ascii="Times New Roman" w:hAnsi="Times New Roman"/>
                <w:sz w:val="24"/>
                <w:lang w:val="ru-RU"/>
              </w:rPr>
              <w:t>АДМИНИСТРАЦИЙӖ</w:t>
            </w:r>
          </w:p>
        </w:tc>
      </w:tr>
      <w:tr w:rsidR="00E465DC" w:rsidRPr="00155FD4" w:rsidTr="00155FD4">
        <w:tc>
          <w:tcPr>
            <w:tcW w:w="3652" w:type="dxa"/>
          </w:tcPr>
          <w:p w:rsidR="00155FD4" w:rsidRPr="00155FD4" w:rsidRDefault="00155FD4" w:rsidP="00155FD4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55FD4">
              <w:rPr>
                <w:rFonts w:ascii="Times New Roman" w:hAnsi="Times New Roman"/>
                <w:sz w:val="24"/>
                <w:lang w:val="ru-RU"/>
              </w:rPr>
              <w:t>ЧУВАШСКОЙ РЕСПУБЛИКИ</w:t>
            </w:r>
          </w:p>
        </w:tc>
        <w:tc>
          <w:tcPr>
            <w:tcW w:w="2977" w:type="dxa"/>
          </w:tcPr>
          <w:p w:rsidR="00155FD4" w:rsidRPr="00155FD4" w:rsidRDefault="00155FD4" w:rsidP="00155FD4">
            <w:pPr>
              <w:spacing w:before="0" w:after="0"/>
              <w:jc w:val="left"/>
              <w:outlineLvl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792" w:type="dxa"/>
          </w:tcPr>
          <w:p w:rsidR="00155FD4" w:rsidRPr="00155FD4" w:rsidRDefault="00155FD4" w:rsidP="00155FD4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55FD4">
              <w:rPr>
                <w:rFonts w:ascii="Times New Roman" w:hAnsi="Times New Roman"/>
                <w:sz w:val="24"/>
                <w:lang w:val="ru-RU"/>
              </w:rPr>
              <w:t>ЧӐВАШ РЕСПУБЛИКИН</w:t>
            </w:r>
          </w:p>
        </w:tc>
      </w:tr>
      <w:tr w:rsidR="00E465DC" w:rsidRPr="00155FD4" w:rsidTr="00155FD4">
        <w:tc>
          <w:tcPr>
            <w:tcW w:w="3652" w:type="dxa"/>
          </w:tcPr>
          <w:p w:rsidR="00155FD4" w:rsidRPr="00155FD4" w:rsidRDefault="00155FD4" w:rsidP="00155FD4">
            <w:pPr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</w:tcPr>
          <w:p w:rsidR="00155FD4" w:rsidRPr="00155FD4" w:rsidRDefault="00155FD4" w:rsidP="00155FD4">
            <w:pPr>
              <w:spacing w:before="0" w:after="0"/>
              <w:jc w:val="left"/>
              <w:outlineLvl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792" w:type="dxa"/>
          </w:tcPr>
          <w:p w:rsidR="00155FD4" w:rsidRPr="00155FD4" w:rsidRDefault="00155FD4" w:rsidP="00155FD4">
            <w:pPr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465DC" w:rsidRPr="00155FD4" w:rsidTr="00155FD4">
        <w:tc>
          <w:tcPr>
            <w:tcW w:w="3652" w:type="dxa"/>
          </w:tcPr>
          <w:p w:rsidR="00155FD4" w:rsidRPr="00155FD4" w:rsidRDefault="008773B1" w:rsidP="00155FD4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773B1">
              <w:rPr>
                <w:rFonts w:ascii="Times New Roman" w:hAnsi="Times New Roman"/>
                <w:b/>
                <w:sz w:val="24"/>
                <w:lang w:val="ru-RU"/>
              </w:rPr>
              <w:t>РАСПОРЯЖЕНИЕ</w:t>
            </w:r>
          </w:p>
        </w:tc>
        <w:tc>
          <w:tcPr>
            <w:tcW w:w="2977" w:type="dxa"/>
          </w:tcPr>
          <w:p w:rsidR="00155FD4" w:rsidRPr="00155FD4" w:rsidRDefault="00155FD4" w:rsidP="00155FD4">
            <w:pPr>
              <w:spacing w:before="0" w:after="0"/>
              <w:jc w:val="left"/>
              <w:outlineLvl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792" w:type="dxa"/>
          </w:tcPr>
          <w:p w:rsidR="00155FD4" w:rsidRPr="00155FD4" w:rsidRDefault="008773B1" w:rsidP="00155FD4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ХУШ</w:t>
            </w:r>
            <w:r w:rsidR="00155FD4" w:rsidRPr="00155FD4">
              <w:rPr>
                <w:rFonts w:ascii="Times New Roman" w:hAnsi="Times New Roman"/>
                <w:b/>
                <w:sz w:val="24"/>
                <w:lang w:val="ru-RU"/>
              </w:rPr>
              <w:t>У</w:t>
            </w:r>
          </w:p>
        </w:tc>
      </w:tr>
      <w:tr w:rsidR="00E465DC" w:rsidRPr="00155FD4" w:rsidTr="00155FD4">
        <w:tc>
          <w:tcPr>
            <w:tcW w:w="3652" w:type="dxa"/>
          </w:tcPr>
          <w:p w:rsidR="00155FD4" w:rsidRPr="00155FD4" w:rsidRDefault="00155FD4" w:rsidP="00155FD4">
            <w:pPr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</w:tcPr>
          <w:p w:rsidR="00155FD4" w:rsidRPr="00155FD4" w:rsidRDefault="00155FD4" w:rsidP="00155FD4">
            <w:pPr>
              <w:spacing w:before="0" w:after="0"/>
              <w:jc w:val="left"/>
              <w:outlineLvl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792" w:type="dxa"/>
          </w:tcPr>
          <w:p w:rsidR="00155FD4" w:rsidRPr="00155FD4" w:rsidRDefault="00155FD4" w:rsidP="00155FD4">
            <w:pPr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465DC" w:rsidRPr="00155FD4" w:rsidTr="0097083F">
        <w:tc>
          <w:tcPr>
            <w:tcW w:w="3652" w:type="dxa"/>
          </w:tcPr>
          <w:p w:rsidR="00155FD4" w:rsidRPr="00155FD4" w:rsidRDefault="008773B1" w:rsidP="008773B1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</w:t>
            </w:r>
            <w:r w:rsidR="00155FD4" w:rsidRPr="00155FD4">
              <w:rPr>
                <w:rFonts w:ascii="Times New Roman" w:hAnsi="Times New Roman"/>
                <w:sz w:val="24"/>
                <w:lang w:val="ru-RU"/>
              </w:rPr>
              <w:t xml:space="preserve">.04.2024 № </w:t>
            </w:r>
            <w:r>
              <w:rPr>
                <w:rFonts w:ascii="Times New Roman" w:hAnsi="Times New Roman"/>
                <w:sz w:val="24"/>
                <w:lang w:val="ru-RU"/>
              </w:rPr>
              <w:t>158</w:t>
            </w:r>
          </w:p>
        </w:tc>
        <w:tc>
          <w:tcPr>
            <w:tcW w:w="2977" w:type="dxa"/>
          </w:tcPr>
          <w:p w:rsidR="00155FD4" w:rsidRPr="00155FD4" w:rsidRDefault="00155FD4" w:rsidP="00155FD4">
            <w:pPr>
              <w:spacing w:before="0" w:after="0"/>
              <w:jc w:val="left"/>
              <w:outlineLvl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792" w:type="dxa"/>
          </w:tcPr>
          <w:p w:rsidR="00155FD4" w:rsidRPr="00155FD4" w:rsidRDefault="008773B1" w:rsidP="008773B1">
            <w:pPr>
              <w:spacing w:before="0" w:after="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</w:t>
            </w:r>
            <w:r w:rsidR="00155FD4" w:rsidRPr="00155FD4">
              <w:rPr>
                <w:rFonts w:ascii="Times New Roman" w:hAnsi="Times New Roman"/>
                <w:sz w:val="24"/>
                <w:lang w:val="ru-RU"/>
              </w:rPr>
              <w:t xml:space="preserve">.04.2024 № </w:t>
            </w:r>
            <w:r>
              <w:rPr>
                <w:rFonts w:ascii="Times New Roman" w:hAnsi="Times New Roman"/>
                <w:sz w:val="24"/>
                <w:lang w:val="ru-RU"/>
              </w:rPr>
              <w:t>158</w:t>
            </w:r>
          </w:p>
        </w:tc>
      </w:tr>
      <w:tr w:rsidR="00E465DC" w:rsidRPr="00155FD4" w:rsidTr="0097083F">
        <w:tc>
          <w:tcPr>
            <w:tcW w:w="3652" w:type="dxa"/>
          </w:tcPr>
          <w:p w:rsidR="00155FD4" w:rsidRPr="00155FD4" w:rsidRDefault="00155FD4" w:rsidP="00155FD4">
            <w:pPr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977" w:type="dxa"/>
          </w:tcPr>
          <w:p w:rsidR="00155FD4" w:rsidRPr="00155FD4" w:rsidRDefault="00155FD4" w:rsidP="00155FD4">
            <w:pPr>
              <w:spacing w:before="0" w:after="0"/>
              <w:jc w:val="left"/>
              <w:outlineLvl w:val="0"/>
              <w:rPr>
                <w:rFonts w:ascii="Times New Roman" w:hAnsi="Times New Roman"/>
                <w:sz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3792" w:type="dxa"/>
          </w:tcPr>
          <w:p w:rsidR="00155FD4" w:rsidRPr="00155FD4" w:rsidRDefault="00155FD4" w:rsidP="00155FD4">
            <w:pPr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465DC" w:rsidRPr="00155FD4" w:rsidTr="0097083F">
        <w:tc>
          <w:tcPr>
            <w:tcW w:w="3652" w:type="dxa"/>
          </w:tcPr>
          <w:p w:rsidR="00155FD4" w:rsidRPr="00155FD4" w:rsidRDefault="00155FD4" w:rsidP="00155FD4">
            <w:pPr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lang w:val="ru-RU"/>
              </w:rPr>
            </w:pPr>
            <w:r w:rsidRPr="00155FD4">
              <w:rPr>
                <w:rFonts w:ascii="Times New Roman" w:hAnsi="Times New Roman"/>
                <w:sz w:val="24"/>
                <w:lang w:val="ru-RU"/>
              </w:rPr>
              <w:t>г. Алатырь</w:t>
            </w:r>
          </w:p>
        </w:tc>
        <w:tc>
          <w:tcPr>
            <w:tcW w:w="2977" w:type="dxa"/>
          </w:tcPr>
          <w:p w:rsidR="00155FD4" w:rsidRPr="00155FD4" w:rsidRDefault="00155FD4" w:rsidP="00155FD4">
            <w:pPr>
              <w:spacing w:before="0" w:after="0"/>
              <w:jc w:val="left"/>
              <w:outlineLvl w:val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792" w:type="dxa"/>
          </w:tcPr>
          <w:p w:rsidR="00155FD4" w:rsidRPr="00155FD4" w:rsidRDefault="00155FD4" w:rsidP="00155FD4">
            <w:pPr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55FD4">
              <w:rPr>
                <w:rFonts w:ascii="Times New Roman" w:hAnsi="Times New Roman"/>
                <w:sz w:val="24"/>
                <w:lang w:val="ru-RU"/>
              </w:rPr>
              <w:t>Улатӑ</w:t>
            </w:r>
            <w:proofErr w:type="gramStart"/>
            <w:r w:rsidRPr="00155FD4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spellEnd"/>
            <w:proofErr w:type="gramEnd"/>
            <w:r w:rsidRPr="00155FD4">
              <w:rPr>
                <w:rFonts w:ascii="Times New Roman" w:hAnsi="Times New Roman"/>
                <w:sz w:val="24"/>
                <w:lang w:val="ru-RU"/>
              </w:rPr>
              <w:t xml:space="preserve"> г.</w:t>
            </w:r>
          </w:p>
        </w:tc>
      </w:tr>
    </w:tbl>
    <w:p w:rsidR="00AC235E" w:rsidRDefault="00AC235E" w:rsidP="008773B1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773B1" w:rsidRDefault="008773B1" w:rsidP="008773B1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773B1" w:rsidRPr="008773B1" w:rsidRDefault="008773B1" w:rsidP="008773B1">
      <w:pPr>
        <w:suppressAutoHyphens/>
        <w:autoSpaceDE w:val="0"/>
        <w:autoSpaceDN w:val="0"/>
        <w:adjustRightInd w:val="0"/>
        <w:spacing w:before="0" w:after="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ru-RU"/>
        </w:rPr>
      </w:pPr>
      <w:r w:rsidRPr="008773B1">
        <w:rPr>
          <w:rFonts w:ascii="Times New Roman" w:eastAsia="Times New Roman" w:hAnsi="Times New Roman"/>
          <w:b/>
          <w:color w:val="000000"/>
          <w:sz w:val="26"/>
          <w:szCs w:val="26"/>
          <w:lang w:val="ru-RU" w:eastAsia="ru-RU"/>
        </w:rPr>
        <w:t>Об утверждении расчета показателей эффективности управления муниципальным унитарным предприятием « ЖКХ Алатырского муниципального округа» за 2023 год</w:t>
      </w:r>
    </w:p>
    <w:p w:rsidR="008773B1" w:rsidRDefault="008773B1" w:rsidP="008773B1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773B1" w:rsidRDefault="008773B1" w:rsidP="008773B1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773B1" w:rsidRDefault="008773B1" w:rsidP="008773B1">
      <w:pPr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773B1" w:rsidRPr="008773B1" w:rsidRDefault="008773B1" w:rsidP="008773B1">
      <w:pPr>
        <w:spacing w:before="0" w:after="0"/>
        <w:ind w:firstLine="567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>В соответствии с приказом Министерства строительства и жилищно-коммунального хозяйства Российской Федерации и Министерства экономического развития Российской Федерации от 07 июля 2014 г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№ 373/</w:t>
      </w:r>
      <w:proofErr w:type="spellStart"/>
      <w:proofErr w:type="gramStart"/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>пр</w:t>
      </w:r>
      <w:proofErr w:type="spellEnd"/>
      <w:proofErr w:type="gramEnd"/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>/428 «Об утверждении рекомендаций по установлению рекомендуемых показателей эффективности управления государственными и муниципальными предприятиями, осуществляющими деятельность в сфере ЖКХ, и рекомендуемых критериев оценки эффективности управления государственными и муниципальными предприятиями, осуществляющими деятельность в сфере ЖКХ», распоряжением Кабинета Министров Чувашской Республики от 19 декабря 2014 г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№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>774-р, в целях проведения оценки эффективности управления муниципальн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</w:t>
      </w: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унитарн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</w:t>
      </w: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предприяти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я</w:t>
      </w: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«ЖКХ Алатырского муниципального округа»:</w:t>
      </w:r>
    </w:p>
    <w:p w:rsidR="008773B1" w:rsidRPr="008773B1" w:rsidRDefault="008773B1" w:rsidP="008773B1">
      <w:pPr>
        <w:pStyle w:val="ab"/>
        <w:numPr>
          <w:ilvl w:val="0"/>
          <w:numId w:val="1"/>
        </w:numPr>
        <w:tabs>
          <w:tab w:val="left" w:pos="1134"/>
        </w:tabs>
        <w:spacing w:before="0" w:after="0"/>
        <w:ind w:left="0" w:firstLine="567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>Провести оценку эффективности управления муниципальн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</w:t>
      </w: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унитарн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ого</w:t>
      </w: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предприяти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я</w:t>
      </w: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«ЖКХ Алатырского муниципального округа»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8773B1" w:rsidRPr="008773B1" w:rsidRDefault="008773B1" w:rsidP="008773B1">
      <w:pPr>
        <w:pStyle w:val="ab"/>
        <w:numPr>
          <w:ilvl w:val="0"/>
          <w:numId w:val="1"/>
        </w:numPr>
        <w:tabs>
          <w:tab w:val="left" w:pos="1134"/>
        </w:tabs>
        <w:spacing w:before="0" w:after="0"/>
        <w:ind w:left="0" w:firstLine="567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>Утвердить прилагаемый расчет показателей эффективности управления муниципальным унитарным предприятием «</w:t>
      </w:r>
      <w:r w:rsidRPr="008773B1">
        <w:rPr>
          <w:rFonts w:ascii="Times New Roman" w:hAnsi="Times New Roman"/>
          <w:sz w:val="26"/>
          <w:szCs w:val="26"/>
          <w:lang w:val="ru-RU"/>
        </w:rPr>
        <w:t>ЖКХ Алатырского муниципального округа</w:t>
      </w: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>» за 2023 год.</w:t>
      </w:r>
    </w:p>
    <w:p w:rsidR="008773B1" w:rsidRPr="008773B1" w:rsidRDefault="008773B1" w:rsidP="008773B1">
      <w:pPr>
        <w:pStyle w:val="ab"/>
        <w:numPr>
          <w:ilvl w:val="0"/>
          <w:numId w:val="1"/>
        </w:numPr>
        <w:tabs>
          <w:tab w:val="left" w:pos="1134"/>
        </w:tabs>
        <w:spacing w:before="0" w:after="0"/>
        <w:ind w:left="0" w:firstLine="567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Контроль за исполнением настоящего распоряжения возложить на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начальника </w:t>
      </w: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>отдел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а</w:t>
      </w: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экономики и муниципального имущества администрации Алатырского муниципального округа.</w:t>
      </w:r>
    </w:p>
    <w:p w:rsidR="008773B1" w:rsidRPr="008773B1" w:rsidRDefault="008773B1" w:rsidP="008773B1">
      <w:pPr>
        <w:spacing w:before="0" w:after="0"/>
        <w:jc w:val="lef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773B1" w:rsidRPr="008773B1" w:rsidRDefault="008773B1" w:rsidP="008773B1">
      <w:pPr>
        <w:spacing w:before="0" w:after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773B1" w:rsidRPr="008773B1" w:rsidRDefault="008773B1" w:rsidP="008773B1">
      <w:pPr>
        <w:spacing w:before="0" w:after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773B1" w:rsidRPr="008773B1" w:rsidRDefault="008773B1" w:rsidP="008773B1">
      <w:pPr>
        <w:spacing w:before="0" w:after="0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>Глава Алатырского</w:t>
      </w:r>
    </w:p>
    <w:p w:rsidR="008773B1" w:rsidRDefault="008773B1" w:rsidP="008773B1">
      <w:pPr>
        <w:spacing w:before="0" w:after="0"/>
        <w:rPr>
          <w:rFonts w:ascii="Times New Roman" w:eastAsia="Times New Roman" w:hAnsi="Times New Roman"/>
          <w:sz w:val="26"/>
          <w:szCs w:val="26"/>
          <w:lang w:val="ru-RU" w:eastAsia="ru-RU"/>
        </w:rPr>
        <w:sectPr w:rsidR="008773B1" w:rsidSect="00585CA2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426" w:footer="231" w:gutter="0"/>
          <w:cols w:space="708"/>
          <w:docGrid w:linePitch="360"/>
        </w:sectPr>
      </w:pP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муниципального округа                                            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                           </w:t>
      </w: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</w:t>
      </w:r>
      <w:r w:rsidRPr="008773B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Н.И. Шпилевая</w:t>
      </w:r>
    </w:p>
    <w:p w:rsidR="008773B1" w:rsidRPr="008773B1" w:rsidRDefault="008773B1" w:rsidP="008773B1">
      <w:pPr>
        <w:shd w:val="clear" w:color="auto" w:fill="FFFFFF"/>
        <w:spacing w:before="0" w:after="0"/>
        <w:ind w:left="6237" w:right="269"/>
        <w:jc w:val="left"/>
        <w:rPr>
          <w:rFonts w:ascii="Times New Roman" w:eastAsia="Times New Roman" w:hAnsi="Times New Roman"/>
          <w:color w:val="000000"/>
          <w:lang w:val="ru-RU" w:eastAsia="ru-RU"/>
        </w:rPr>
      </w:pPr>
      <w:r w:rsidRPr="008773B1">
        <w:rPr>
          <w:rFonts w:ascii="Times New Roman" w:eastAsia="Times New Roman" w:hAnsi="Times New Roman"/>
          <w:color w:val="000000"/>
          <w:lang w:val="ru-RU" w:eastAsia="ru-RU"/>
        </w:rPr>
        <w:lastRenderedPageBreak/>
        <w:t>Утвержден</w:t>
      </w:r>
    </w:p>
    <w:p w:rsidR="008773B1" w:rsidRPr="008773B1" w:rsidRDefault="008773B1" w:rsidP="008773B1">
      <w:pPr>
        <w:shd w:val="clear" w:color="auto" w:fill="FFFFFF"/>
        <w:spacing w:before="0" w:after="0"/>
        <w:ind w:left="6237" w:right="269"/>
        <w:jc w:val="left"/>
        <w:rPr>
          <w:rFonts w:ascii="Times New Roman" w:eastAsia="Times New Roman" w:hAnsi="Times New Roman"/>
          <w:color w:val="000000"/>
          <w:lang w:val="ru-RU" w:eastAsia="ru-RU"/>
        </w:rPr>
      </w:pPr>
      <w:r w:rsidRPr="008773B1">
        <w:rPr>
          <w:rFonts w:ascii="Times New Roman" w:eastAsia="Times New Roman" w:hAnsi="Times New Roman"/>
          <w:color w:val="000000"/>
          <w:lang w:val="ru-RU" w:eastAsia="ru-RU"/>
        </w:rPr>
        <w:t xml:space="preserve">распоряжением  администрации  </w:t>
      </w:r>
    </w:p>
    <w:p w:rsidR="008773B1" w:rsidRPr="008773B1" w:rsidRDefault="008773B1" w:rsidP="008773B1">
      <w:pPr>
        <w:shd w:val="clear" w:color="auto" w:fill="FFFFFF"/>
        <w:spacing w:before="0" w:after="0"/>
        <w:ind w:left="6237" w:right="269"/>
        <w:jc w:val="left"/>
        <w:rPr>
          <w:rFonts w:ascii="Times New Roman" w:eastAsia="Times New Roman" w:hAnsi="Times New Roman"/>
          <w:color w:val="000000"/>
          <w:lang w:val="ru-RU" w:eastAsia="ru-RU"/>
        </w:rPr>
      </w:pPr>
      <w:r w:rsidRPr="008773B1">
        <w:rPr>
          <w:rFonts w:ascii="Times New Roman" w:eastAsia="Times New Roman" w:hAnsi="Times New Roman"/>
          <w:color w:val="000000"/>
          <w:lang w:val="ru-RU" w:eastAsia="ru-RU"/>
        </w:rPr>
        <w:t>Алатырского муниципального округа</w:t>
      </w:r>
    </w:p>
    <w:p w:rsidR="008773B1" w:rsidRPr="008773B1" w:rsidRDefault="008773B1" w:rsidP="008773B1">
      <w:pPr>
        <w:spacing w:before="0" w:after="0"/>
        <w:ind w:left="6237"/>
        <w:jc w:val="left"/>
        <w:rPr>
          <w:rFonts w:ascii="Times New Roman" w:eastAsia="Times New Roman" w:hAnsi="Times New Roman"/>
          <w:lang w:val="ru-RU" w:eastAsia="ru-RU"/>
        </w:rPr>
      </w:pPr>
      <w:r w:rsidRPr="008773B1">
        <w:rPr>
          <w:rFonts w:ascii="Times New Roman" w:eastAsia="Times New Roman" w:hAnsi="Times New Roman"/>
          <w:color w:val="000000"/>
          <w:lang w:val="ru-RU" w:eastAsia="ru-RU"/>
        </w:rPr>
        <w:t xml:space="preserve">от </w:t>
      </w:r>
      <w:r w:rsidR="00585CA2">
        <w:rPr>
          <w:rFonts w:ascii="Times New Roman" w:eastAsia="Times New Roman" w:hAnsi="Times New Roman"/>
          <w:color w:val="000000"/>
          <w:lang w:val="ru-RU" w:eastAsia="ru-RU"/>
        </w:rPr>
        <w:t>24</w:t>
      </w:r>
      <w:r w:rsidRPr="008773B1">
        <w:rPr>
          <w:rFonts w:ascii="Times New Roman" w:eastAsia="Times New Roman" w:hAnsi="Times New Roman"/>
          <w:color w:val="000000"/>
          <w:lang w:val="ru-RU" w:eastAsia="ru-RU"/>
        </w:rPr>
        <w:t xml:space="preserve">.04. 2024 № </w:t>
      </w:r>
      <w:r w:rsidR="00585CA2">
        <w:rPr>
          <w:rFonts w:ascii="Times New Roman" w:eastAsia="Times New Roman" w:hAnsi="Times New Roman"/>
          <w:color w:val="000000"/>
          <w:lang w:val="ru-RU" w:eastAsia="ru-RU"/>
        </w:rPr>
        <w:t>158</w:t>
      </w:r>
    </w:p>
    <w:p w:rsidR="008773B1" w:rsidRDefault="008773B1" w:rsidP="008773B1">
      <w:pPr>
        <w:spacing w:before="0" w:after="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773B1" w:rsidRPr="008773B1" w:rsidRDefault="008773B1" w:rsidP="008773B1">
      <w:pPr>
        <w:spacing w:before="0"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8773B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Расчет</w:t>
      </w:r>
    </w:p>
    <w:p w:rsidR="00E465DC" w:rsidRDefault="008773B1" w:rsidP="008773B1">
      <w:pPr>
        <w:spacing w:before="0"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8773B1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показателей эффективности управления </w:t>
      </w:r>
      <w:r w:rsidRPr="008773B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муниципальным унитарным предприятием</w:t>
      </w:r>
    </w:p>
    <w:p w:rsidR="008773B1" w:rsidRDefault="008773B1" w:rsidP="008773B1">
      <w:pPr>
        <w:spacing w:before="0"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8773B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«ЖКХ Алатырского муниципального округа» за 2023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038"/>
        <w:gridCol w:w="1393"/>
        <w:gridCol w:w="2394"/>
        <w:gridCol w:w="1293"/>
        <w:gridCol w:w="1790"/>
      </w:tblGrid>
      <w:tr w:rsidR="00E465DC" w:rsidRPr="00E465DC" w:rsidTr="00E465DC">
        <w:trPr>
          <w:trHeight w:val="707"/>
        </w:trPr>
        <w:tc>
          <w:tcPr>
            <w:tcW w:w="246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 xml:space="preserve">№ </w:t>
            </w:r>
            <w:proofErr w:type="gramStart"/>
            <w:r w:rsidRPr="00E465DC">
              <w:rPr>
                <w:rFonts w:ascii="Times New Roman" w:eastAsia="Times New Roman" w:hAnsi="Times New Roman"/>
                <w:lang w:val="ru-RU" w:eastAsia="ru-RU"/>
              </w:rPr>
              <w:t>п</w:t>
            </w:r>
            <w:proofErr w:type="gramEnd"/>
            <w:r w:rsidRPr="00E465DC">
              <w:rPr>
                <w:rFonts w:ascii="Times New Roman" w:eastAsia="Times New Roman" w:hAnsi="Times New Roman"/>
                <w:lang w:val="ru-RU" w:eastAsia="ru-RU"/>
              </w:rPr>
              <w:t>/п</w:t>
            </w:r>
          </w:p>
        </w:tc>
        <w:tc>
          <w:tcPr>
            <w:tcW w:w="1458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Наименование показателя</w:t>
            </w:r>
          </w:p>
        </w:tc>
        <w:tc>
          <w:tcPr>
            <w:tcW w:w="668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Краткое обозначение</w:t>
            </w:r>
          </w:p>
        </w:tc>
        <w:tc>
          <w:tcPr>
            <w:tcW w:w="1149" w:type="pct"/>
            <w:hideMark/>
          </w:tcPr>
          <w:p w:rsidR="00E465DC" w:rsidRPr="00E465DC" w:rsidRDefault="00E465DC" w:rsidP="00E465DC">
            <w:pPr>
              <w:tabs>
                <w:tab w:val="left" w:pos="2143"/>
                <w:tab w:val="left" w:pos="5970"/>
              </w:tabs>
              <w:spacing w:before="0"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Показатель</w:t>
            </w:r>
          </w:p>
        </w:tc>
        <w:tc>
          <w:tcPr>
            <w:tcW w:w="620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Значение показателя, баллов</w:t>
            </w:r>
          </w:p>
        </w:tc>
        <w:tc>
          <w:tcPr>
            <w:tcW w:w="859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Приложения</w:t>
            </w:r>
          </w:p>
        </w:tc>
      </w:tr>
      <w:tr w:rsidR="00E465DC" w:rsidRPr="00572429" w:rsidTr="00E465DC">
        <w:trPr>
          <w:trHeight w:val="1016"/>
        </w:trPr>
        <w:tc>
          <w:tcPr>
            <w:tcW w:w="246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1458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Показатель, характеризующий выполнение плановых показателей надежности, качества и энергетической эффективности за отчетный период</w:t>
            </w:r>
          </w:p>
        </w:tc>
        <w:tc>
          <w:tcPr>
            <w:tcW w:w="668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(</w:t>
            </w:r>
            <w:proofErr w:type="spellStart"/>
            <w:r w:rsidRPr="00E465DC">
              <w:rPr>
                <w:rFonts w:ascii="Times New Roman" w:eastAsia="Times New Roman" w:hAnsi="Times New Roman"/>
                <w:lang w:val="ru-RU" w:eastAsia="ru-RU"/>
              </w:rPr>
              <w:t>Пкач</w:t>
            </w:r>
            <w:proofErr w:type="spellEnd"/>
            <w:r w:rsidRPr="00E465DC">
              <w:rPr>
                <w:rFonts w:ascii="Times New Roman" w:eastAsia="Times New Roman" w:hAnsi="Times New Roman"/>
                <w:lang w:val="ru-RU" w:eastAsia="ru-RU"/>
              </w:rPr>
              <w:t>)</w:t>
            </w:r>
          </w:p>
        </w:tc>
        <w:tc>
          <w:tcPr>
            <w:tcW w:w="1149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Отсутствуют предписания уполномоченного надзорного органа</w:t>
            </w:r>
          </w:p>
        </w:tc>
        <w:tc>
          <w:tcPr>
            <w:tcW w:w="620" w:type="pct"/>
            <w:noWrap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859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Письмо МУП «ЖКХ Алатырского муниципального округа»</w:t>
            </w:r>
          </w:p>
        </w:tc>
      </w:tr>
      <w:tr w:rsidR="00E465DC" w:rsidRPr="00E465DC" w:rsidTr="00E465DC">
        <w:trPr>
          <w:trHeight w:val="945"/>
        </w:trPr>
        <w:tc>
          <w:tcPr>
            <w:tcW w:w="246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1458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Показатель, характеризующий наличие нецелевого использования бюджетных средств</w:t>
            </w:r>
          </w:p>
        </w:tc>
        <w:tc>
          <w:tcPr>
            <w:tcW w:w="668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(</w:t>
            </w:r>
            <w:proofErr w:type="spellStart"/>
            <w:r w:rsidRPr="00E465DC">
              <w:rPr>
                <w:rFonts w:ascii="Times New Roman" w:eastAsia="Times New Roman" w:hAnsi="Times New Roman"/>
                <w:lang w:val="ru-RU" w:eastAsia="ru-RU"/>
              </w:rPr>
              <w:t>Пнецелев</w:t>
            </w:r>
            <w:proofErr w:type="spellEnd"/>
            <w:r w:rsidRPr="00E465DC">
              <w:rPr>
                <w:rFonts w:ascii="Times New Roman" w:eastAsia="Times New Roman" w:hAnsi="Times New Roman"/>
                <w:lang w:val="ru-RU" w:eastAsia="ru-RU"/>
              </w:rPr>
              <w:t>.)</w:t>
            </w:r>
          </w:p>
        </w:tc>
        <w:tc>
          <w:tcPr>
            <w:tcW w:w="1149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отсутствует нецелевое использование бюджетных средств</w:t>
            </w:r>
          </w:p>
        </w:tc>
        <w:tc>
          <w:tcPr>
            <w:tcW w:w="620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859" w:type="pct"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E465DC" w:rsidRPr="00572429" w:rsidTr="00E465DC">
        <w:trPr>
          <w:trHeight w:val="1172"/>
        </w:trPr>
        <w:tc>
          <w:tcPr>
            <w:tcW w:w="246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1458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 xml:space="preserve">Показатель, характеризующий соблюдение установленных сроков рассмотрения жалоб от заявителей на ненадлежащее качество услуг, оказываемых Предприятием </w:t>
            </w:r>
          </w:p>
        </w:tc>
        <w:tc>
          <w:tcPr>
            <w:tcW w:w="668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(Побор.)</w:t>
            </w:r>
          </w:p>
        </w:tc>
        <w:tc>
          <w:tcPr>
            <w:tcW w:w="1149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 xml:space="preserve">отсутствуют жалобы, </w:t>
            </w:r>
            <w:proofErr w:type="gramStart"/>
            <w:r w:rsidRPr="00E465DC">
              <w:rPr>
                <w:rFonts w:ascii="Times New Roman" w:eastAsia="Times New Roman" w:hAnsi="Times New Roman"/>
                <w:lang w:val="ru-RU" w:eastAsia="ru-RU"/>
              </w:rPr>
              <w:t>сроки</w:t>
            </w:r>
            <w:proofErr w:type="gramEnd"/>
            <w:r w:rsidRPr="00E465DC">
              <w:rPr>
                <w:rFonts w:ascii="Times New Roman" w:eastAsia="Times New Roman" w:hAnsi="Times New Roman"/>
                <w:lang w:val="ru-RU" w:eastAsia="ru-RU"/>
              </w:rPr>
              <w:t xml:space="preserve"> рассмотрения которых нарушены </w:t>
            </w:r>
          </w:p>
        </w:tc>
        <w:tc>
          <w:tcPr>
            <w:tcW w:w="620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859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Письмо МУП  «ЖКХ Алатырского муниципального округа</w:t>
            </w:r>
            <w:r>
              <w:rPr>
                <w:rFonts w:ascii="Times New Roman" w:eastAsia="Times New Roman" w:hAnsi="Times New Roman"/>
                <w:lang w:val="ru-RU" w:eastAsia="ru-RU"/>
              </w:rPr>
              <w:t>»</w:t>
            </w:r>
          </w:p>
        </w:tc>
      </w:tr>
      <w:tr w:rsidR="00E465DC" w:rsidRPr="00E465DC" w:rsidTr="00E465DC">
        <w:trPr>
          <w:trHeight w:val="693"/>
        </w:trPr>
        <w:tc>
          <w:tcPr>
            <w:tcW w:w="246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1458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Показатель, характеризующий оборачиваемость кредиторской задолженности Предприятия</w:t>
            </w:r>
          </w:p>
        </w:tc>
        <w:tc>
          <w:tcPr>
            <w:tcW w:w="668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(</w:t>
            </w:r>
            <w:proofErr w:type="spellStart"/>
            <w:r w:rsidRPr="00E465DC">
              <w:rPr>
                <w:rFonts w:ascii="Times New Roman" w:eastAsia="Times New Roman" w:hAnsi="Times New Roman"/>
                <w:lang w:val="ru-RU" w:eastAsia="ru-RU"/>
              </w:rPr>
              <w:t>По</w:t>
            </w:r>
            <w:proofErr w:type="gramStart"/>
            <w:r w:rsidRPr="00E465DC">
              <w:rPr>
                <w:rFonts w:ascii="Times New Roman" w:eastAsia="Times New Roman" w:hAnsi="Times New Roman"/>
                <w:lang w:val="ru-RU" w:eastAsia="ru-RU"/>
              </w:rPr>
              <w:t>.к</w:t>
            </w:r>
            <w:proofErr w:type="gramEnd"/>
            <w:r w:rsidRPr="00E465DC">
              <w:rPr>
                <w:rFonts w:ascii="Times New Roman" w:eastAsia="Times New Roman" w:hAnsi="Times New Roman"/>
                <w:lang w:val="ru-RU" w:eastAsia="ru-RU"/>
              </w:rPr>
              <w:t>.з</w:t>
            </w:r>
            <w:proofErr w:type="spellEnd"/>
            <w:r w:rsidRPr="00E465DC">
              <w:rPr>
                <w:rFonts w:ascii="Times New Roman" w:eastAsia="Times New Roman" w:hAnsi="Times New Roman"/>
                <w:lang w:val="ru-RU" w:eastAsia="ru-RU"/>
              </w:rPr>
              <w:t>.)</w:t>
            </w:r>
          </w:p>
        </w:tc>
        <w:tc>
          <w:tcPr>
            <w:tcW w:w="1149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оборачиваемость кредиторской задолженности более 40 дней</w:t>
            </w:r>
          </w:p>
        </w:tc>
        <w:tc>
          <w:tcPr>
            <w:tcW w:w="620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859" w:type="pct"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E465DC" w:rsidRPr="00572429" w:rsidTr="00E465DC">
        <w:trPr>
          <w:trHeight w:val="1058"/>
        </w:trPr>
        <w:tc>
          <w:tcPr>
            <w:tcW w:w="246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1458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 xml:space="preserve">Показатель, характеризующий отсутствие аварийных ситуаций, ликвидированных с нарушением нормативных сроков, за отчетный период </w:t>
            </w:r>
          </w:p>
        </w:tc>
        <w:tc>
          <w:tcPr>
            <w:tcW w:w="668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(</w:t>
            </w:r>
            <w:proofErr w:type="spellStart"/>
            <w:r w:rsidRPr="00E465DC">
              <w:rPr>
                <w:rFonts w:ascii="Times New Roman" w:eastAsia="Times New Roman" w:hAnsi="Times New Roman"/>
                <w:lang w:val="ru-RU" w:eastAsia="ru-RU"/>
              </w:rPr>
              <w:t>Пл.ав.с</w:t>
            </w:r>
            <w:proofErr w:type="spellEnd"/>
            <w:r w:rsidRPr="00E465DC">
              <w:rPr>
                <w:rFonts w:ascii="Times New Roman" w:eastAsia="Times New Roman" w:hAnsi="Times New Roman"/>
                <w:lang w:val="ru-RU" w:eastAsia="ru-RU"/>
              </w:rPr>
              <w:t>.)</w:t>
            </w:r>
          </w:p>
        </w:tc>
        <w:tc>
          <w:tcPr>
            <w:tcW w:w="1149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отсутствуют аварийные ситуации, ликвидированные с нарушением нормативных сроков</w:t>
            </w:r>
          </w:p>
        </w:tc>
        <w:tc>
          <w:tcPr>
            <w:tcW w:w="620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859" w:type="pct"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Письмо МУП «ЖКХ Алатырского муниципального округа»</w:t>
            </w:r>
          </w:p>
        </w:tc>
      </w:tr>
      <w:tr w:rsidR="00E465DC" w:rsidRPr="00E465DC" w:rsidTr="00E465DC">
        <w:trPr>
          <w:trHeight w:val="1203"/>
        </w:trPr>
        <w:tc>
          <w:tcPr>
            <w:tcW w:w="246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6</w:t>
            </w:r>
          </w:p>
        </w:tc>
        <w:tc>
          <w:tcPr>
            <w:tcW w:w="1458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Показатель, характеризующий соблюдение Предприятием требований к раскрытию информации в соответствии со стандартами раскрытия информации</w:t>
            </w:r>
          </w:p>
        </w:tc>
        <w:tc>
          <w:tcPr>
            <w:tcW w:w="668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(</w:t>
            </w:r>
            <w:proofErr w:type="spellStart"/>
            <w:r w:rsidRPr="00E465DC">
              <w:rPr>
                <w:rFonts w:ascii="Times New Roman" w:eastAsia="Times New Roman" w:hAnsi="Times New Roman"/>
                <w:lang w:val="ru-RU" w:eastAsia="ru-RU"/>
              </w:rPr>
              <w:t>Пстанд</w:t>
            </w:r>
            <w:proofErr w:type="spellEnd"/>
            <w:r w:rsidRPr="00E465DC">
              <w:rPr>
                <w:rFonts w:ascii="Times New Roman" w:eastAsia="Times New Roman" w:hAnsi="Times New Roman"/>
                <w:lang w:val="ru-RU" w:eastAsia="ru-RU"/>
              </w:rPr>
              <w:t>.)</w:t>
            </w:r>
          </w:p>
        </w:tc>
        <w:tc>
          <w:tcPr>
            <w:tcW w:w="1149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уполномоченными органами в области регулирования цен (тарифов) нарушений стандарта раскрытия информации не выявлено</w:t>
            </w:r>
          </w:p>
        </w:tc>
        <w:tc>
          <w:tcPr>
            <w:tcW w:w="620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859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E465DC" w:rsidRPr="00E465DC" w:rsidTr="00E465DC">
        <w:trPr>
          <w:trHeight w:val="1190"/>
        </w:trPr>
        <w:tc>
          <w:tcPr>
            <w:tcW w:w="246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7</w:t>
            </w:r>
          </w:p>
        </w:tc>
        <w:tc>
          <w:tcPr>
            <w:tcW w:w="1458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Показатель, характеризующий  наличие финансовой поддержки Предприятия за счет средств субъекта РФ на покрытие операционных расходов  Предприятия  за отчетный период</w:t>
            </w:r>
          </w:p>
        </w:tc>
        <w:tc>
          <w:tcPr>
            <w:tcW w:w="668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(</w:t>
            </w:r>
            <w:proofErr w:type="spellStart"/>
            <w:r w:rsidRPr="00E465DC">
              <w:rPr>
                <w:rFonts w:ascii="Times New Roman" w:eastAsia="Times New Roman" w:hAnsi="Times New Roman"/>
                <w:lang w:val="ru-RU" w:eastAsia="ru-RU"/>
              </w:rPr>
              <w:t>Пф</w:t>
            </w:r>
            <w:proofErr w:type="gramStart"/>
            <w:r w:rsidRPr="00E465DC">
              <w:rPr>
                <w:rFonts w:ascii="Times New Roman" w:eastAsia="Times New Roman" w:hAnsi="Times New Roman"/>
                <w:lang w:val="ru-RU" w:eastAsia="ru-RU"/>
              </w:rPr>
              <w:t>.п</w:t>
            </w:r>
            <w:proofErr w:type="gramEnd"/>
            <w:r w:rsidRPr="00E465DC">
              <w:rPr>
                <w:rFonts w:ascii="Times New Roman" w:eastAsia="Times New Roman" w:hAnsi="Times New Roman"/>
                <w:lang w:val="ru-RU" w:eastAsia="ru-RU"/>
              </w:rPr>
              <w:t>одд</w:t>
            </w:r>
            <w:proofErr w:type="spellEnd"/>
            <w:r w:rsidRPr="00E465DC">
              <w:rPr>
                <w:rFonts w:ascii="Times New Roman" w:eastAsia="Times New Roman" w:hAnsi="Times New Roman"/>
                <w:lang w:val="ru-RU" w:eastAsia="ru-RU"/>
              </w:rPr>
              <w:t>.)</w:t>
            </w:r>
          </w:p>
        </w:tc>
        <w:tc>
          <w:tcPr>
            <w:tcW w:w="1149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финансовая поддержка Предприятия за счет средств субъекта РФ на покрытие операционных расходов  Предприятия  за отчетный период не оказывалась</w:t>
            </w:r>
          </w:p>
        </w:tc>
        <w:tc>
          <w:tcPr>
            <w:tcW w:w="620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859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E465DC" w:rsidRPr="00572429" w:rsidTr="00E465DC">
        <w:trPr>
          <w:trHeight w:val="422"/>
        </w:trPr>
        <w:tc>
          <w:tcPr>
            <w:tcW w:w="246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8</w:t>
            </w:r>
          </w:p>
        </w:tc>
        <w:tc>
          <w:tcPr>
            <w:tcW w:w="1458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 xml:space="preserve">Показатель, характеризующий наличие у предприятия убытка от </w:t>
            </w:r>
            <w:r w:rsidRPr="00E465DC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основной деятельности за последние три отчетных периода </w:t>
            </w:r>
          </w:p>
        </w:tc>
        <w:tc>
          <w:tcPr>
            <w:tcW w:w="668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49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 xml:space="preserve">наличие в стоке 2300 "Прибыль (убыток) до налогообложения" </w:t>
            </w:r>
            <w:r w:rsidRPr="00E465DC">
              <w:rPr>
                <w:rFonts w:ascii="Times New Roman" w:eastAsia="Times New Roman" w:hAnsi="Times New Roman"/>
                <w:lang w:val="ru-RU" w:eastAsia="ru-RU"/>
              </w:rPr>
              <w:lastRenderedPageBreak/>
              <w:t>отрицательных величин</w:t>
            </w:r>
          </w:p>
        </w:tc>
        <w:tc>
          <w:tcPr>
            <w:tcW w:w="620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lastRenderedPageBreak/>
              <w:t>0</w:t>
            </w:r>
          </w:p>
        </w:tc>
        <w:tc>
          <w:tcPr>
            <w:tcW w:w="859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 xml:space="preserve">Бухгалтерский баланс МУП «ЖКХ </w:t>
            </w:r>
            <w:r w:rsidRPr="00E465DC">
              <w:rPr>
                <w:rFonts w:ascii="Times New Roman" w:eastAsia="Times New Roman" w:hAnsi="Times New Roman"/>
                <w:lang w:val="ru-RU" w:eastAsia="ru-RU"/>
              </w:rPr>
              <w:lastRenderedPageBreak/>
              <w:t>Алатырского муниципального округа»</w:t>
            </w:r>
          </w:p>
        </w:tc>
      </w:tr>
      <w:tr w:rsidR="00E465DC" w:rsidRPr="00572429" w:rsidTr="00E465DC">
        <w:trPr>
          <w:trHeight w:val="1262"/>
        </w:trPr>
        <w:tc>
          <w:tcPr>
            <w:tcW w:w="246" w:type="pct"/>
            <w:noWrap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lastRenderedPageBreak/>
              <w:t>9</w:t>
            </w:r>
          </w:p>
        </w:tc>
        <w:tc>
          <w:tcPr>
            <w:tcW w:w="1458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Показатель, характеризующий соответствие качества предоставляемых услуг в сфере теплоснабжения.</w:t>
            </w:r>
          </w:p>
        </w:tc>
        <w:tc>
          <w:tcPr>
            <w:tcW w:w="668" w:type="pct"/>
            <w:noWrap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149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нарушений бесперебойного круглосуточного теплоснабжения (отопления) в течение отопительного периода с нарушением требований установленных действующим законодательством РФ не было</w:t>
            </w:r>
          </w:p>
        </w:tc>
        <w:tc>
          <w:tcPr>
            <w:tcW w:w="620" w:type="pct"/>
            <w:noWrap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859" w:type="pct"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Акт проверки готовности к отопительному периоду 2022/2023гг. от 28.10.2022г.</w:t>
            </w:r>
          </w:p>
        </w:tc>
      </w:tr>
      <w:tr w:rsidR="00E465DC" w:rsidRPr="00E465DC" w:rsidTr="00E465DC">
        <w:trPr>
          <w:trHeight w:val="140"/>
        </w:trPr>
        <w:tc>
          <w:tcPr>
            <w:tcW w:w="246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275" w:type="pct"/>
            <w:gridSpan w:val="3"/>
            <w:noWrap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 xml:space="preserve">Итоговый показатель эффективности управления предприятием </w:t>
            </w:r>
          </w:p>
        </w:tc>
        <w:tc>
          <w:tcPr>
            <w:tcW w:w="620" w:type="pct"/>
            <w:noWrap/>
            <w:hideMark/>
          </w:tcPr>
          <w:p w:rsidR="00E465DC" w:rsidRPr="00E465DC" w:rsidRDefault="00572429" w:rsidP="00572429">
            <w:pPr>
              <w:tabs>
                <w:tab w:val="left" w:pos="5970"/>
              </w:tabs>
              <w:spacing w:before="0" w:after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859" w:type="pct"/>
            <w:hideMark/>
          </w:tcPr>
          <w:p w:rsidR="00E465DC" w:rsidRPr="00E465DC" w:rsidRDefault="00E465DC" w:rsidP="00E465DC">
            <w:pPr>
              <w:tabs>
                <w:tab w:val="left" w:pos="5970"/>
              </w:tabs>
              <w:spacing w:before="0" w:after="0"/>
              <w:jc w:val="left"/>
              <w:rPr>
                <w:rFonts w:ascii="Times New Roman" w:eastAsia="Times New Roman" w:hAnsi="Times New Roman"/>
                <w:lang w:val="ru-RU" w:eastAsia="ru-RU"/>
              </w:rPr>
            </w:pPr>
            <w:r w:rsidRPr="00E465DC">
              <w:rPr>
                <w:rFonts w:ascii="Times New Roman" w:eastAsia="Times New Roman" w:hAnsi="Times New Roman"/>
                <w:lang w:val="ru-RU" w:eastAsia="ru-RU"/>
              </w:rPr>
              <w:t>баллов</w:t>
            </w:r>
          </w:p>
        </w:tc>
      </w:tr>
    </w:tbl>
    <w:p w:rsidR="00E465DC" w:rsidRPr="008773B1" w:rsidRDefault="00E465DC" w:rsidP="008773B1">
      <w:pPr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sectPr w:rsidR="00E465DC" w:rsidRPr="008773B1" w:rsidSect="00585CA2">
      <w:headerReference w:type="default" r:id="rId13"/>
      <w:headerReference w:type="first" r:id="rId14"/>
      <w:pgSz w:w="11906" w:h="16838"/>
      <w:pgMar w:top="567" w:right="567" w:bottom="567" w:left="1134" w:header="426" w:footer="2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AC4" w:rsidRDefault="00B92AC4" w:rsidP="00E465DC">
      <w:pPr>
        <w:spacing w:before="0" w:after="0"/>
      </w:pPr>
      <w:r>
        <w:separator/>
      </w:r>
    </w:p>
  </w:endnote>
  <w:endnote w:type="continuationSeparator" w:id="0">
    <w:p w:rsidR="00B92AC4" w:rsidRDefault="00B92AC4" w:rsidP="00E465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55" w:rsidRPr="00585CA2" w:rsidRDefault="00B92AC4">
    <w:pPr>
      <w:pStyle w:val="a8"/>
      <w:ind w:firstLine="0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AC4" w:rsidRDefault="00B92AC4" w:rsidP="00E465DC">
      <w:pPr>
        <w:spacing w:before="0" w:after="0"/>
      </w:pPr>
      <w:r>
        <w:separator/>
      </w:r>
    </w:p>
  </w:footnote>
  <w:footnote w:type="continuationSeparator" w:id="0">
    <w:p w:rsidR="00B92AC4" w:rsidRDefault="00B92AC4" w:rsidP="00E465D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55" w:rsidRDefault="000A44BA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575C55" w:rsidRDefault="00B92A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A2" w:rsidRPr="00585CA2" w:rsidRDefault="00585CA2" w:rsidP="00585CA2">
    <w:pPr>
      <w:pStyle w:val="a6"/>
      <w:ind w:firstLine="0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A26" w:rsidRDefault="000A44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85CA2">
      <w:rPr>
        <w:noProof/>
      </w:rPr>
      <w:t>2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3876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85CA2" w:rsidRPr="00585CA2" w:rsidRDefault="00585CA2" w:rsidP="00585CA2">
        <w:pPr>
          <w:pStyle w:val="a6"/>
          <w:ind w:firstLine="0"/>
          <w:jc w:val="center"/>
          <w:rPr>
            <w:sz w:val="24"/>
          </w:rPr>
        </w:pPr>
        <w:r w:rsidRPr="00585CA2">
          <w:rPr>
            <w:sz w:val="24"/>
          </w:rPr>
          <w:fldChar w:fldCharType="begin"/>
        </w:r>
        <w:r w:rsidRPr="00585CA2">
          <w:rPr>
            <w:sz w:val="24"/>
          </w:rPr>
          <w:instrText>PAGE   \* MERGEFORMAT</w:instrText>
        </w:r>
        <w:r w:rsidRPr="00585CA2">
          <w:rPr>
            <w:sz w:val="24"/>
          </w:rPr>
          <w:fldChar w:fldCharType="separate"/>
        </w:r>
        <w:r w:rsidR="00290886">
          <w:rPr>
            <w:noProof/>
            <w:sz w:val="24"/>
          </w:rPr>
          <w:t>3</w:t>
        </w:r>
        <w:r w:rsidRPr="00585CA2">
          <w:rPr>
            <w:sz w:val="24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A2" w:rsidRDefault="00585CA2" w:rsidP="00585CA2">
    <w:pPr>
      <w:pStyle w:val="a6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29088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2C9"/>
    <w:multiLevelType w:val="hybridMultilevel"/>
    <w:tmpl w:val="909894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D4"/>
    <w:rsid w:val="000A44BA"/>
    <w:rsid w:val="00155FD4"/>
    <w:rsid w:val="00290886"/>
    <w:rsid w:val="003E23DB"/>
    <w:rsid w:val="00572429"/>
    <w:rsid w:val="00585CA2"/>
    <w:rsid w:val="007A4757"/>
    <w:rsid w:val="008773B1"/>
    <w:rsid w:val="00AC235E"/>
    <w:rsid w:val="00B92AC4"/>
    <w:rsid w:val="00E06F0F"/>
    <w:rsid w:val="00E465DC"/>
    <w:rsid w:val="00EB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DA"/>
    <w:pPr>
      <w:spacing w:before="120" w:after="240"/>
      <w:jc w:val="both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FD4"/>
    <w:pPr>
      <w:widowControl w:val="0"/>
      <w:suppressAutoHyphens/>
      <w:overflowPunct w:val="0"/>
      <w:autoSpaceDE w:val="0"/>
      <w:autoSpaceDN w:val="0"/>
      <w:textAlignment w:val="baseline"/>
    </w:pPr>
    <w:rPr>
      <w:rFonts w:asciiTheme="minorHAnsi" w:eastAsiaTheme="minorEastAsia" w:hAnsiTheme="minorHAnsi" w:cstheme="minorBidi"/>
      <w:kern w:val="3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F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FD4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rsid w:val="008773B1"/>
    <w:pPr>
      <w:tabs>
        <w:tab w:val="center" w:pos="4677"/>
        <w:tab w:val="right" w:pos="9355"/>
      </w:tabs>
      <w:spacing w:before="0" w:after="0"/>
      <w:ind w:firstLine="567"/>
    </w:pPr>
    <w:rPr>
      <w:rFonts w:ascii="Times New Roman" w:eastAsia="Times New Roman" w:hAnsi="Times New Roman"/>
      <w:sz w:val="26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773B1"/>
    <w:rPr>
      <w:rFonts w:ascii="Times New Roman" w:eastAsia="Times New Roman" w:hAnsi="Times New Roman"/>
      <w:sz w:val="26"/>
      <w:szCs w:val="24"/>
      <w:lang w:eastAsia="ru-RU"/>
    </w:rPr>
  </w:style>
  <w:style w:type="paragraph" w:styleId="a8">
    <w:name w:val="footer"/>
    <w:basedOn w:val="a"/>
    <w:link w:val="a9"/>
    <w:rsid w:val="008773B1"/>
    <w:pPr>
      <w:tabs>
        <w:tab w:val="center" w:pos="4677"/>
        <w:tab w:val="right" w:pos="9355"/>
      </w:tabs>
      <w:spacing w:before="0" w:after="0"/>
      <w:ind w:firstLine="567"/>
    </w:pPr>
    <w:rPr>
      <w:rFonts w:ascii="Times New Roman" w:eastAsia="Times New Roman" w:hAnsi="Times New Roman"/>
      <w:sz w:val="26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8773B1"/>
    <w:rPr>
      <w:rFonts w:ascii="Times New Roman" w:eastAsia="Times New Roman" w:hAnsi="Times New Roman"/>
      <w:sz w:val="26"/>
      <w:szCs w:val="24"/>
      <w:lang w:eastAsia="ru-RU"/>
    </w:rPr>
  </w:style>
  <w:style w:type="character" w:styleId="aa">
    <w:name w:val="page number"/>
    <w:basedOn w:val="a0"/>
    <w:rsid w:val="008773B1"/>
  </w:style>
  <w:style w:type="paragraph" w:styleId="ab">
    <w:name w:val="List Paragraph"/>
    <w:basedOn w:val="a"/>
    <w:uiPriority w:val="34"/>
    <w:qFormat/>
    <w:rsid w:val="008773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5DA"/>
    <w:pPr>
      <w:spacing w:before="120" w:after="240"/>
      <w:jc w:val="both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FD4"/>
    <w:pPr>
      <w:widowControl w:val="0"/>
      <w:suppressAutoHyphens/>
      <w:overflowPunct w:val="0"/>
      <w:autoSpaceDE w:val="0"/>
      <w:autoSpaceDN w:val="0"/>
      <w:textAlignment w:val="baseline"/>
    </w:pPr>
    <w:rPr>
      <w:rFonts w:asciiTheme="minorHAnsi" w:eastAsiaTheme="minorEastAsia" w:hAnsiTheme="minorHAnsi" w:cstheme="minorBidi"/>
      <w:kern w:val="3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5F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FD4"/>
    <w:rPr>
      <w:rFonts w:ascii="Tahoma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rsid w:val="008773B1"/>
    <w:pPr>
      <w:tabs>
        <w:tab w:val="center" w:pos="4677"/>
        <w:tab w:val="right" w:pos="9355"/>
      </w:tabs>
      <w:spacing w:before="0" w:after="0"/>
      <w:ind w:firstLine="567"/>
    </w:pPr>
    <w:rPr>
      <w:rFonts w:ascii="Times New Roman" w:eastAsia="Times New Roman" w:hAnsi="Times New Roman"/>
      <w:sz w:val="26"/>
      <w:szCs w:val="24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773B1"/>
    <w:rPr>
      <w:rFonts w:ascii="Times New Roman" w:eastAsia="Times New Roman" w:hAnsi="Times New Roman"/>
      <w:sz w:val="26"/>
      <w:szCs w:val="24"/>
      <w:lang w:eastAsia="ru-RU"/>
    </w:rPr>
  </w:style>
  <w:style w:type="paragraph" w:styleId="a8">
    <w:name w:val="footer"/>
    <w:basedOn w:val="a"/>
    <w:link w:val="a9"/>
    <w:rsid w:val="008773B1"/>
    <w:pPr>
      <w:tabs>
        <w:tab w:val="center" w:pos="4677"/>
        <w:tab w:val="right" w:pos="9355"/>
      </w:tabs>
      <w:spacing w:before="0" w:after="0"/>
      <w:ind w:firstLine="567"/>
    </w:pPr>
    <w:rPr>
      <w:rFonts w:ascii="Times New Roman" w:eastAsia="Times New Roman" w:hAnsi="Times New Roman"/>
      <w:sz w:val="26"/>
      <w:szCs w:val="24"/>
      <w:lang w:val="ru-RU" w:eastAsia="ru-RU"/>
    </w:rPr>
  </w:style>
  <w:style w:type="character" w:customStyle="1" w:styleId="a9">
    <w:name w:val="Нижний колонтитул Знак"/>
    <w:basedOn w:val="a0"/>
    <w:link w:val="a8"/>
    <w:rsid w:val="008773B1"/>
    <w:rPr>
      <w:rFonts w:ascii="Times New Roman" w:eastAsia="Times New Roman" w:hAnsi="Times New Roman"/>
      <w:sz w:val="26"/>
      <w:szCs w:val="24"/>
      <w:lang w:eastAsia="ru-RU"/>
    </w:rPr>
  </w:style>
  <w:style w:type="character" w:styleId="aa">
    <w:name w:val="page number"/>
    <w:basedOn w:val="a0"/>
    <w:rsid w:val="008773B1"/>
  </w:style>
  <w:style w:type="paragraph" w:styleId="ab">
    <w:name w:val="List Paragraph"/>
    <w:basedOn w:val="a"/>
    <w:uiPriority w:val="34"/>
    <w:qFormat/>
    <w:rsid w:val="00877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alatr_just</dc:creator>
  <cp:lastModifiedBy>Администрация</cp:lastModifiedBy>
  <cp:revision>2</cp:revision>
  <cp:lastPrinted>2024-04-27T05:53:00Z</cp:lastPrinted>
  <dcterms:created xsi:type="dcterms:W3CDTF">2024-05-02T13:13:00Z</dcterms:created>
  <dcterms:modified xsi:type="dcterms:W3CDTF">2024-05-02T13:13:00Z</dcterms:modified>
</cp:coreProperties>
</file>