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charts/chart2.xml" ContentType="application/vnd.openxmlformats-officedocument.drawingml.chart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line="360" w:lineRule="auto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Проект </w:t>
      </w:r>
      <w:r>
        <w:rPr>
          <w:rFonts w:ascii="Times New Roman" w:hAnsi="Times New Roman" w:cs="Times New Roman"/>
          <w:caps/>
          <w:sz w:val="28"/>
          <w:szCs w:val="28"/>
        </w:rPr>
      </w:r>
      <w:r>
        <w:rPr>
          <w:rFonts w:ascii="Times New Roman" w:hAnsi="Times New Roman" w:cs="Times New Roman"/>
          <w:caps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b/>
          <w:bCs/>
          <w:caps/>
          <w:sz w:val="40"/>
          <w:szCs w:val="40"/>
        </w:rPr>
      </w:pPr>
      <w:r>
        <w:rPr>
          <w:rFonts w:ascii="Times New Roman" w:hAnsi="Times New Roman" w:cs="Times New Roman"/>
          <w:b/>
          <w:bCs/>
          <w:caps/>
          <w:sz w:val="40"/>
          <w:szCs w:val="40"/>
        </w:rPr>
        <w:t xml:space="preserve">Стратегия развития агропромышленного комплекса Чувашской Республики </w:t>
      </w:r>
      <w:r>
        <w:rPr>
          <w:rFonts w:ascii="Times New Roman" w:hAnsi="Times New Roman" w:cs="Times New Roman"/>
          <w:b/>
          <w:bCs/>
          <w:caps/>
          <w:sz w:val="40"/>
          <w:szCs w:val="40"/>
        </w:rPr>
      </w:r>
      <w:r>
        <w:rPr>
          <w:rFonts w:ascii="Times New Roman" w:hAnsi="Times New Roman" w:cs="Times New Roman"/>
          <w:b/>
          <w:bCs/>
          <w:caps/>
          <w:sz w:val="40"/>
          <w:szCs w:val="40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b/>
          <w:bCs/>
          <w:caps/>
          <w:sz w:val="40"/>
          <w:szCs w:val="40"/>
        </w:rPr>
      </w:pPr>
      <w:r>
        <w:rPr>
          <w:rFonts w:ascii="Times New Roman" w:hAnsi="Times New Roman" w:cs="Times New Roman"/>
          <w:b/>
          <w:bCs/>
          <w:caps/>
          <w:sz w:val="40"/>
          <w:szCs w:val="40"/>
        </w:rPr>
        <w:t xml:space="preserve">на период до 2030 года</w:t>
      </w:r>
      <w:r>
        <w:rPr>
          <w:rFonts w:ascii="Times New Roman" w:hAnsi="Times New Roman" w:cs="Times New Roman"/>
          <w:b/>
          <w:bCs/>
          <w:caps/>
          <w:sz w:val="40"/>
          <w:szCs w:val="40"/>
        </w:rPr>
      </w:r>
      <w:r>
        <w:rPr>
          <w:rFonts w:ascii="Times New Roman" w:hAnsi="Times New Roman" w:cs="Times New Roman"/>
          <w:b/>
          <w:bCs/>
          <w:caps/>
          <w:sz w:val="40"/>
          <w:szCs w:val="40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dt>
      <w:sdtPr>
        <w15:appearance w15:val="boundingBox"/>
        <w:id w:val="-2080055790"/>
        <w:docPartObj>
          <w:docPartGallery w:val="Table of Contents"/>
          <w:docPartUnique w:val="true"/>
        </w:docPartObj>
        <w:rPr>
          <w:rFonts w:ascii="Times New Roman" w:hAnsi="Times New Roman" w:eastAsia="Times New Roman" w:cs="Times New Roman"/>
          <w:b/>
          <w:bCs/>
          <w:caps/>
          <w:sz w:val="28"/>
          <w:szCs w:val="28"/>
          <w:lang w:eastAsia="ru-RU"/>
        </w:rPr>
      </w:sdtPr>
      <w:sdtContent>
        <w:p>
          <w:pPr>
            <w:pageBreakBefore/>
            <w:spacing w:after="0" w:line="240" w:lineRule="auto"/>
            <w:rPr>
              <w:rStyle w:val="1012"/>
              <w:rFonts w:ascii="Times New Roman" w:hAnsi="Times New Roman" w:cs="Times New Roman"/>
              <w:bCs/>
              <w:sz w:val="28"/>
              <w:szCs w:val="28"/>
            </w:rPr>
          </w:pPr>
          <w:r>
            <w:rPr>
              <w:rFonts w:ascii="Times New Roman" w:hAnsi="Times New Roman" w:cs="Times New Roman"/>
              <w:bCs/>
              <w:sz w:val="28"/>
              <w:szCs w:val="28"/>
            </w:rPr>
            <w:t xml:space="preserve">СОДЕРЖАНИЕ</w:t>
          </w:r>
          <w:r>
            <w:rPr>
              <w:rStyle w:val="1012"/>
              <w:rFonts w:ascii="Times New Roman" w:hAnsi="Times New Roman" w:cs="Times New Roman"/>
              <w:bCs/>
              <w:sz w:val="28"/>
              <w:szCs w:val="28"/>
            </w:rPr>
          </w:r>
          <w:r>
            <w:rPr>
              <w:rStyle w:val="1012"/>
              <w:rFonts w:ascii="Times New Roman" w:hAnsi="Times New Roman" w:cs="Times New Roman"/>
              <w:bCs/>
              <w:sz w:val="28"/>
              <w:szCs w:val="28"/>
            </w:rPr>
          </w:r>
        </w:p>
        <w:p>
          <w:pPr>
            <w:pStyle w:val="1013"/>
            <w:rPr>
              <w:rStyle w:val="1012"/>
            </w:rPr>
          </w:pPr>
          <w:r>
            <w:rPr>
              <w:rStyle w:val="1012"/>
            </w:rPr>
          </w:r>
          <w:r>
            <w:rPr>
              <w:rStyle w:val="101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>
            <w:rPr>
              <w:rStyle w:val="1012"/>
            </w:rPr>
            <w:fldChar w:fldCharType="begin"/>
          </w:r>
          <w:r>
            <w:rPr>
              <w:rStyle w:val="1012"/>
            </w:rPr>
            <w:instrText xml:space="preserve"> TOC \o "1-3" \h \z \u </w:instrText>
          </w:r>
          <w:r>
            <w:rPr>
              <w:rStyle w:val="1012"/>
            </w:rPr>
            <w:fldChar w:fldCharType="separate"/>
          </w:r>
          <w:hyperlink w:tooltip="#_Toc176798799" w:anchor="_Toc176798799" w:history="1">
            <w:r>
              <w:rPr>
                <w:rStyle w:val="1012"/>
              </w:rPr>
              <w:t xml:space="preserve">I. Общие положения</w:t>
            </w:r>
            <w:r>
              <w:tab/>
            </w:r>
            <w:r>
              <w:fldChar w:fldCharType="begin"/>
            </w:r>
            <w:r>
              <w:instrText xml:space="preserve"> PAGEREF _Toc176798799 \h </w:instrText>
            </w:r>
            <w:r>
              <w:fldChar w:fldCharType="separate"/>
            </w:r>
            <w:r>
              <w:t xml:space="preserve">6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00" w:anchor="_Toc176798800" w:history="1">
            <w:r>
              <w:rPr>
                <w:rStyle w:val="1012"/>
              </w:rPr>
              <w:t xml:space="preserve">II. Анализ текущего состояния агропромышленного комплекса Чувашской Республики</w:t>
            </w:r>
            <w:r>
              <w:tab/>
            </w:r>
            <w:r>
              <w:fldChar w:fldCharType="begin"/>
            </w:r>
            <w:r>
              <w:instrText xml:space="preserve"> PAGEREF _Toc176798800 \h </w:instrText>
            </w:r>
            <w:r>
              <w:fldChar w:fldCharType="separate"/>
            </w:r>
            <w:r>
              <w:t xml:space="preserve">9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01" w:anchor="_Toc176798801" w:history="1">
            <w:r>
              <w:rPr>
                <w:rStyle w:val="1012"/>
                <w:caps w:val="0"/>
              </w:rPr>
              <w:t xml:space="preserve">1. Вклад в социально–экономическое развитие региона</w:t>
            </w:r>
            <w:r>
              <w:rPr>
                <w:caps w:val="0"/>
              </w:rPr>
              <w:tab/>
            </w:r>
            <w:r>
              <w:rPr>
                <w:caps w:val="0"/>
              </w:rPr>
              <w:fldChar w:fldCharType="begin"/>
            </w:r>
            <w:r>
              <w:rPr>
                <w:caps w:val="0"/>
              </w:rPr>
              <w:instrText xml:space="preserve"> PAGEREF _Toc176798801 \h </w:instrText>
            </w:r>
            <w:r>
              <w:rPr>
                <w:caps w:val="0"/>
              </w:rPr>
            </w:r>
            <w:r>
              <w:rPr>
                <w:caps w:val="0"/>
              </w:rPr>
              <w:fldChar w:fldCharType="separate"/>
            </w:r>
            <w:r>
              <w:rPr>
                <w:caps w:val="0"/>
              </w:rPr>
              <w:t xml:space="preserve">9</w:t>
            </w:r>
            <w:r>
              <w:rPr>
                <w:caps w:val="0"/>
              </w:rP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02" w:anchor="_Toc176798802" w:history="1">
            <w:r>
              <w:rPr>
                <w:rStyle w:val="1012"/>
                <w:caps w:val="0"/>
              </w:rPr>
              <w:t xml:space="preserve">2. Земельные ресурсы</w:t>
            </w:r>
            <w:r>
              <w:rPr>
                <w:caps w:val="0"/>
              </w:rPr>
              <w:tab/>
            </w:r>
            <w:r>
              <w:rPr>
                <w:caps w:val="0"/>
              </w:rPr>
              <w:fldChar w:fldCharType="begin"/>
            </w:r>
            <w:r>
              <w:rPr>
                <w:caps w:val="0"/>
              </w:rPr>
              <w:instrText xml:space="preserve"> PAGEREF _Toc176798802 \h </w:instrText>
            </w:r>
            <w:r>
              <w:rPr>
                <w:caps w:val="0"/>
              </w:rPr>
            </w:r>
            <w:r>
              <w:rPr>
                <w:caps w:val="0"/>
              </w:rPr>
              <w:fldChar w:fldCharType="separate"/>
            </w:r>
            <w:r>
              <w:rPr>
                <w:caps w:val="0"/>
              </w:rPr>
              <w:t xml:space="preserve">12</w:t>
            </w:r>
            <w:r>
              <w:rPr>
                <w:caps w:val="0"/>
              </w:rP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03" w:anchor="_Toc176798803" w:history="1">
            <w:r>
              <w:rPr>
                <w:rStyle w:val="1012"/>
                <w:caps w:val="0"/>
              </w:rPr>
              <w:t xml:space="preserve">3. Водные ресурсы</w:t>
            </w:r>
            <w:r>
              <w:rPr>
                <w:caps w:val="0"/>
              </w:rPr>
              <w:tab/>
            </w:r>
            <w:r>
              <w:rPr>
                <w:caps w:val="0"/>
              </w:rPr>
              <w:fldChar w:fldCharType="begin"/>
            </w:r>
            <w:r>
              <w:rPr>
                <w:caps w:val="0"/>
              </w:rPr>
              <w:instrText xml:space="preserve"> PAGEREF _Toc176798803 \h </w:instrText>
            </w:r>
            <w:r>
              <w:rPr>
                <w:caps w:val="0"/>
              </w:rPr>
            </w:r>
            <w:r>
              <w:rPr>
                <w:caps w:val="0"/>
              </w:rPr>
              <w:fldChar w:fldCharType="separate"/>
            </w:r>
            <w:r>
              <w:rPr>
                <w:caps w:val="0"/>
              </w:rPr>
              <w:t xml:space="preserve">14</w:t>
            </w:r>
            <w:r>
              <w:rPr>
                <w:caps w:val="0"/>
              </w:rP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04" w:anchor="_Toc176798804" w:history="1">
            <w:r>
              <w:rPr>
                <w:rStyle w:val="1012"/>
                <w:caps w:val="0"/>
              </w:rPr>
              <w:t xml:space="preserve">4. Растениеводство</w:t>
            </w:r>
            <w:r>
              <w:rPr>
                <w:caps w:val="0"/>
              </w:rPr>
              <w:tab/>
            </w:r>
            <w:r>
              <w:rPr>
                <w:caps w:val="0"/>
              </w:rPr>
              <w:fldChar w:fldCharType="begin"/>
            </w:r>
            <w:r>
              <w:rPr>
                <w:caps w:val="0"/>
              </w:rPr>
              <w:instrText xml:space="preserve"> PAGEREF _Toc176798804 \h </w:instrText>
            </w:r>
            <w:r>
              <w:rPr>
                <w:caps w:val="0"/>
              </w:rPr>
            </w:r>
            <w:r>
              <w:rPr>
                <w:caps w:val="0"/>
              </w:rPr>
              <w:fldChar w:fldCharType="separate"/>
            </w:r>
            <w:r>
              <w:rPr>
                <w:caps w:val="0"/>
              </w:rPr>
              <w:t xml:space="preserve">15</w:t>
            </w:r>
            <w:r>
              <w:rPr>
                <w:caps w:val="0"/>
              </w:rP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05" w:anchor="_Toc176798805" w:history="1">
            <w:r>
              <w:rPr>
                <w:rStyle w:val="1012"/>
                <w:caps w:val="0"/>
              </w:rPr>
              <w:t xml:space="preserve">5. Хмелеводство</w:t>
            </w:r>
            <w:r>
              <w:rPr>
                <w:caps w:val="0"/>
              </w:rPr>
              <w:tab/>
            </w:r>
            <w:r>
              <w:rPr>
                <w:caps w:val="0"/>
              </w:rPr>
              <w:fldChar w:fldCharType="begin"/>
            </w:r>
            <w:r>
              <w:rPr>
                <w:caps w:val="0"/>
              </w:rPr>
              <w:instrText xml:space="preserve"> PAGEREF _Toc176798805 \h </w:instrText>
            </w:r>
            <w:r>
              <w:rPr>
                <w:caps w:val="0"/>
              </w:rPr>
            </w:r>
            <w:r>
              <w:rPr>
                <w:caps w:val="0"/>
              </w:rPr>
              <w:fldChar w:fldCharType="separate"/>
            </w:r>
            <w:r>
              <w:rPr>
                <w:caps w:val="0"/>
              </w:rPr>
              <w:t xml:space="preserve">18</w:t>
            </w:r>
            <w:r>
              <w:rPr>
                <w:caps w:val="0"/>
              </w:rP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06" w:anchor="_Toc176798806" w:history="1">
            <w:r>
              <w:rPr>
                <w:rStyle w:val="1012"/>
                <w:caps w:val="0"/>
              </w:rPr>
              <w:t xml:space="preserve">6. Животноводство</w:t>
            </w:r>
            <w:r>
              <w:rPr>
                <w:caps w:val="0"/>
              </w:rPr>
              <w:tab/>
            </w:r>
            <w:r>
              <w:rPr>
                <w:caps w:val="0"/>
              </w:rPr>
              <w:fldChar w:fldCharType="begin"/>
            </w:r>
            <w:r>
              <w:rPr>
                <w:caps w:val="0"/>
              </w:rPr>
              <w:instrText xml:space="preserve"> PAGEREF _Toc176798806 \h </w:instrText>
            </w:r>
            <w:r>
              <w:rPr>
                <w:caps w:val="0"/>
              </w:rPr>
            </w:r>
            <w:r>
              <w:rPr>
                <w:caps w:val="0"/>
              </w:rPr>
              <w:fldChar w:fldCharType="separate"/>
            </w:r>
            <w:r>
              <w:rPr>
                <w:caps w:val="0"/>
              </w:rPr>
              <w:t xml:space="preserve">21</w:t>
            </w:r>
            <w:r>
              <w:rPr>
                <w:caps w:val="0"/>
              </w:rP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07" w:anchor="_Toc176798807" w:history="1">
            <w:r>
              <w:rPr>
                <w:rStyle w:val="1012"/>
                <w:caps w:val="0"/>
              </w:rPr>
              <w:t xml:space="preserve">7. Техническая оснащенность агропромышленного комплекса</w:t>
            </w:r>
            <w:r>
              <w:rPr>
                <w:caps w:val="0"/>
              </w:rPr>
              <w:tab/>
            </w:r>
            <w:r>
              <w:rPr>
                <w:caps w:val="0"/>
              </w:rPr>
              <w:fldChar w:fldCharType="begin"/>
            </w:r>
            <w:r>
              <w:rPr>
                <w:caps w:val="0"/>
              </w:rPr>
              <w:instrText xml:space="preserve"> PAGEREF _Toc176798807 \h </w:instrText>
            </w:r>
            <w:r>
              <w:rPr>
                <w:caps w:val="0"/>
              </w:rPr>
            </w:r>
            <w:r>
              <w:rPr>
                <w:caps w:val="0"/>
              </w:rPr>
              <w:fldChar w:fldCharType="separate"/>
            </w:r>
            <w:r>
              <w:rPr>
                <w:caps w:val="0"/>
              </w:rPr>
              <w:t xml:space="preserve">26</w:t>
            </w:r>
            <w:r>
              <w:rPr>
                <w:caps w:val="0"/>
              </w:rP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08" w:anchor="_Toc176798808" w:history="1">
            <w:r>
              <w:rPr>
                <w:rStyle w:val="1012"/>
                <w:caps w:val="0"/>
              </w:rPr>
              <w:t xml:space="preserve">8. Развитие малых форм хозяйствования</w:t>
            </w:r>
            <w:r>
              <w:rPr>
                <w:caps w:val="0"/>
              </w:rPr>
              <w:tab/>
            </w:r>
            <w:r>
              <w:rPr>
                <w:caps w:val="0"/>
              </w:rPr>
              <w:fldChar w:fldCharType="begin"/>
            </w:r>
            <w:r>
              <w:rPr>
                <w:caps w:val="0"/>
              </w:rPr>
              <w:instrText xml:space="preserve"> PAGEREF _Toc176798808 \h </w:instrText>
            </w:r>
            <w:r>
              <w:rPr>
                <w:caps w:val="0"/>
              </w:rPr>
            </w:r>
            <w:r>
              <w:rPr>
                <w:caps w:val="0"/>
              </w:rPr>
              <w:fldChar w:fldCharType="separate"/>
            </w:r>
            <w:r>
              <w:rPr>
                <w:caps w:val="0"/>
              </w:rPr>
              <w:t xml:space="preserve">29</w:t>
            </w:r>
            <w:r>
              <w:rPr>
                <w:caps w:val="0"/>
              </w:rP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09" w:anchor="_Toc176798809" w:history="1">
            <w:r>
              <w:rPr>
                <w:rStyle w:val="1012"/>
                <w:caps w:val="0"/>
              </w:rPr>
              <w:t xml:space="preserve">9. Цифровизация сельского хозяйства</w:t>
            </w:r>
            <w:r>
              <w:rPr>
                <w:caps w:val="0"/>
              </w:rPr>
              <w:tab/>
            </w:r>
            <w:r>
              <w:rPr>
                <w:caps w:val="0"/>
              </w:rPr>
              <w:fldChar w:fldCharType="begin"/>
            </w:r>
            <w:r>
              <w:rPr>
                <w:caps w:val="0"/>
              </w:rPr>
              <w:instrText xml:space="preserve"> PAGEREF _Toc176798809 \h </w:instrText>
            </w:r>
            <w:r>
              <w:rPr>
                <w:caps w:val="0"/>
              </w:rPr>
            </w:r>
            <w:r>
              <w:rPr>
                <w:caps w:val="0"/>
              </w:rPr>
              <w:fldChar w:fldCharType="separate"/>
            </w:r>
            <w:r>
              <w:rPr>
                <w:caps w:val="0"/>
              </w:rPr>
              <w:t xml:space="preserve">31</w:t>
            </w:r>
            <w:r>
              <w:rPr>
                <w:caps w:val="0"/>
              </w:rP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10" w:anchor="_Toc176798810" w:history="1">
            <w:r>
              <w:rPr>
                <w:rStyle w:val="1012"/>
                <w:caps w:val="0"/>
              </w:rPr>
              <w:t xml:space="preserve">10. Пищевая и перерабатывающая промышленность</w:t>
            </w:r>
            <w:r>
              <w:rPr>
                <w:caps w:val="0"/>
              </w:rPr>
              <w:tab/>
            </w:r>
            <w:r>
              <w:rPr>
                <w:caps w:val="0"/>
              </w:rPr>
              <w:fldChar w:fldCharType="begin"/>
            </w:r>
            <w:r>
              <w:rPr>
                <w:caps w:val="0"/>
              </w:rPr>
              <w:instrText xml:space="preserve"> PAGEREF _Toc176798810 \h </w:instrText>
            </w:r>
            <w:r>
              <w:rPr>
                <w:caps w:val="0"/>
              </w:rPr>
            </w:r>
            <w:r>
              <w:rPr>
                <w:caps w:val="0"/>
              </w:rPr>
              <w:fldChar w:fldCharType="separate"/>
            </w:r>
            <w:r>
              <w:rPr>
                <w:caps w:val="0"/>
              </w:rPr>
              <w:t xml:space="preserve">36</w:t>
            </w:r>
            <w:r>
              <w:rPr>
                <w:caps w:val="0"/>
              </w:rP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11" w:anchor="_Toc176798811" w:history="1">
            <w:r>
              <w:rPr>
                <w:rStyle w:val="1012"/>
                <w:caps w:val="0"/>
              </w:rPr>
              <w:t xml:space="preserve">11. Оптовая и розничная торговля</w:t>
            </w:r>
            <w:r>
              <w:rPr>
                <w:caps w:val="0"/>
              </w:rPr>
              <w:tab/>
            </w:r>
            <w:r>
              <w:rPr>
                <w:caps w:val="0"/>
              </w:rPr>
              <w:fldChar w:fldCharType="begin"/>
            </w:r>
            <w:r>
              <w:rPr>
                <w:caps w:val="0"/>
              </w:rPr>
              <w:instrText xml:space="preserve"> PAGEREF _Toc176798811 \h </w:instrText>
            </w:r>
            <w:r>
              <w:rPr>
                <w:caps w:val="0"/>
              </w:rPr>
            </w:r>
            <w:r>
              <w:rPr>
                <w:caps w:val="0"/>
              </w:rPr>
              <w:fldChar w:fldCharType="separate"/>
            </w:r>
            <w:r>
              <w:rPr>
                <w:caps w:val="0"/>
              </w:rPr>
              <w:t xml:space="preserve">39</w:t>
            </w:r>
            <w:r>
              <w:rPr>
                <w:caps w:val="0"/>
              </w:rP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12" w:anchor="_Toc176798812" w:history="1">
            <w:r>
              <w:rPr>
                <w:rStyle w:val="1012"/>
                <w:caps w:val="0"/>
              </w:rPr>
              <w:t xml:space="preserve">12. Транспортная инфраструктура</w:t>
            </w:r>
            <w:r>
              <w:rPr>
                <w:caps w:val="0"/>
              </w:rPr>
              <w:tab/>
            </w:r>
            <w:r>
              <w:rPr>
                <w:caps w:val="0"/>
              </w:rPr>
              <w:fldChar w:fldCharType="begin"/>
            </w:r>
            <w:r>
              <w:rPr>
                <w:caps w:val="0"/>
              </w:rPr>
              <w:instrText xml:space="preserve"> PAGEREF _Toc176798812 \h </w:instrText>
            </w:r>
            <w:r>
              <w:rPr>
                <w:caps w:val="0"/>
              </w:rPr>
            </w:r>
            <w:r>
              <w:rPr>
                <w:caps w:val="0"/>
              </w:rPr>
              <w:fldChar w:fldCharType="separate"/>
            </w:r>
            <w:r>
              <w:rPr>
                <w:caps w:val="0"/>
              </w:rPr>
              <w:t xml:space="preserve">44</w:t>
            </w:r>
            <w:r>
              <w:rPr>
                <w:caps w:val="0"/>
              </w:rP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13" w:anchor="_Toc176798813" w:history="1">
            <w:r>
              <w:rPr>
                <w:rStyle w:val="1012"/>
                <w:caps w:val="0"/>
              </w:rPr>
              <w:t xml:space="preserve">13. Характеристика экспортного потенциала</w:t>
            </w:r>
            <w:r>
              <w:rPr>
                <w:caps w:val="0"/>
              </w:rPr>
              <w:tab/>
            </w:r>
            <w:r>
              <w:rPr>
                <w:caps w:val="0"/>
              </w:rPr>
              <w:fldChar w:fldCharType="begin"/>
            </w:r>
            <w:r>
              <w:rPr>
                <w:caps w:val="0"/>
              </w:rPr>
              <w:instrText xml:space="preserve"> PAGEREF _Toc176798813 \h </w:instrText>
            </w:r>
            <w:r>
              <w:rPr>
                <w:caps w:val="0"/>
              </w:rPr>
            </w:r>
            <w:r>
              <w:rPr>
                <w:caps w:val="0"/>
              </w:rPr>
              <w:fldChar w:fldCharType="separate"/>
            </w:r>
            <w:r>
              <w:rPr>
                <w:caps w:val="0"/>
              </w:rPr>
              <w:t xml:space="preserve">48</w:t>
            </w:r>
            <w:r>
              <w:rPr>
                <w:caps w:val="0"/>
              </w:rP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14" w:anchor="_Toc176798814" w:history="1">
            <w:r>
              <w:rPr>
                <w:rStyle w:val="1012"/>
                <w:caps w:val="0"/>
              </w:rPr>
              <w:t xml:space="preserve">14. Межрегиональная торговля</w:t>
            </w:r>
            <w:r>
              <w:rPr>
                <w:caps w:val="0"/>
              </w:rPr>
              <w:tab/>
            </w:r>
            <w:r>
              <w:rPr>
                <w:caps w:val="0"/>
              </w:rPr>
              <w:fldChar w:fldCharType="begin"/>
            </w:r>
            <w:r>
              <w:rPr>
                <w:caps w:val="0"/>
              </w:rPr>
              <w:instrText xml:space="preserve"> PAGEREF _Toc176798814 \h </w:instrText>
            </w:r>
            <w:r>
              <w:rPr>
                <w:caps w:val="0"/>
              </w:rPr>
            </w:r>
            <w:r>
              <w:rPr>
                <w:caps w:val="0"/>
              </w:rPr>
              <w:fldChar w:fldCharType="separate"/>
            </w:r>
            <w:r>
              <w:rPr>
                <w:caps w:val="0"/>
              </w:rPr>
              <w:t xml:space="preserve">50</w:t>
            </w:r>
            <w:r>
              <w:rPr>
                <w:caps w:val="0"/>
              </w:rP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15" w:anchor="_Toc176798815" w:history="1">
            <w:r>
              <w:rPr>
                <w:rStyle w:val="1012"/>
                <w:caps w:val="0"/>
              </w:rPr>
              <w:t xml:space="preserve">15. Развитие сельских территорий</w:t>
            </w:r>
            <w:r>
              <w:rPr>
                <w:caps w:val="0"/>
              </w:rPr>
              <w:tab/>
            </w:r>
            <w:r>
              <w:rPr>
                <w:caps w:val="0"/>
              </w:rPr>
              <w:fldChar w:fldCharType="begin"/>
            </w:r>
            <w:r>
              <w:rPr>
                <w:caps w:val="0"/>
              </w:rPr>
              <w:instrText xml:space="preserve"> PAGEREF _Toc176798815 \h </w:instrText>
            </w:r>
            <w:r>
              <w:rPr>
                <w:caps w:val="0"/>
              </w:rPr>
            </w:r>
            <w:r>
              <w:rPr>
                <w:caps w:val="0"/>
              </w:rPr>
              <w:fldChar w:fldCharType="separate"/>
            </w:r>
            <w:r>
              <w:rPr>
                <w:caps w:val="0"/>
              </w:rPr>
              <w:t xml:space="preserve">52</w:t>
            </w:r>
            <w:r>
              <w:rPr>
                <w:caps w:val="0"/>
              </w:rP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16" w:anchor="_Toc176798816" w:history="1">
            <w:r>
              <w:rPr>
                <w:rStyle w:val="1012"/>
                <w:caps w:val="0"/>
              </w:rPr>
              <w:t xml:space="preserve">16. Подготовка кадров</w:t>
            </w:r>
            <w:r>
              <w:rPr>
                <w:caps w:val="0"/>
              </w:rPr>
              <w:tab/>
            </w:r>
            <w:r>
              <w:rPr>
                <w:caps w:val="0"/>
              </w:rPr>
              <w:fldChar w:fldCharType="begin"/>
            </w:r>
            <w:r>
              <w:rPr>
                <w:caps w:val="0"/>
              </w:rPr>
              <w:instrText xml:space="preserve"> PAGEREF _Toc176798816 \h </w:instrText>
            </w:r>
            <w:r>
              <w:rPr>
                <w:caps w:val="0"/>
              </w:rPr>
            </w:r>
            <w:r>
              <w:rPr>
                <w:caps w:val="0"/>
              </w:rPr>
              <w:fldChar w:fldCharType="separate"/>
            </w:r>
            <w:r>
              <w:rPr>
                <w:caps w:val="0"/>
              </w:rPr>
              <w:t xml:space="preserve">55</w:t>
            </w:r>
            <w:r>
              <w:rPr>
                <w:caps w:val="0"/>
              </w:rP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17" w:anchor="_Toc176798817" w:history="1">
            <w:r>
              <w:rPr>
                <w:rStyle w:val="1012"/>
                <w:caps w:val="0"/>
              </w:rPr>
              <w:t xml:space="preserve">17. Меры государственной поддержки</w:t>
            </w:r>
            <w:r>
              <w:rPr>
                <w:caps w:val="0"/>
              </w:rPr>
              <w:tab/>
            </w:r>
            <w:r>
              <w:rPr>
                <w:caps w:val="0"/>
              </w:rPr>
              <w:fldChar w:fldCharType="begin"/>
            </w:r>
            <w:r>
              <w:rPr>
                <w:caps w:val="0"/>
              </w:rPr>
              <w:instrText xml:space="preserve"> PAGEREF _Toc176798817 \h </w:instrText>
            </w:r>
            <w:r>
              <w:rPr>
                <w:caps w:val="0"/>
              </w:rPr>
            </w:r>
            <w:r>
              <w:rPr>
                <w:caps w:val="0"/>
              </w:rPr>
              <w:fldChar w:fldCharType="separate"/>
            </w:r>
            <w:r>
              <w:rPr>
                <w:caps w:val="0"/>
              </w:rPr>
              <w:t xml:space="preserve">64</w:t>
            </w:r>
            <w:r>
              <w:rPr>
                <w:caps w:val="0"/>
              </w:rP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18" w:anchor="_Toc176798818" w:history="1">
            <w:r>
              <w:rPr>
                <w:rStyle w:val="1012"/>
                <w:caps w:val="0"/>
              </w:rPr>
              <w:t xml:space="preserve">19. Отраслевые финансы</w:t>
            </w:r>
            <w:r>
              <w:rPr>
                <w:caps w:val="0"/>
              </w:rPr>
              <w:tab/>
            </w:r>
            <w:r>
              <w:rPr>
                <w:caps w:val="0"/>
              </w:rPr>
              <w:fldChar w:fldCharType="begin"/>
            </w:r>
            <w:r>
              <w:rPr>
                <w:caps w:val="0"/>
              </w:rPr>
              <w:instrText xml:space="preserve"> PAGEREF _Toc176798818 \h </w:instrText>
            </w:r>
            <w:r>
              <w:rPr>
                <w:caps w:val="0"/>
              </w:rPr>
            </w:r>
            <w:r>
              <w:rPr>
                <w:caps w:val="0"/>
              </w:rPr>
              <w:fldChar w:fldCharType="separate"/>
            </w:r>
            <w:r>
              <w:rPr>
                <w:caps w:val="0"/>
              </w:rPr>
              <w:t xml:space="preserve">75</w:t>
            </w:r>
            <w:r>
              <w:rPr>
                <w:caps w:val="0"/>
              </w:rP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19" w:anchor="_Toc176798819" w:history="1">
            <w:r>
              <w:rPr>
                <w:rStyle w:val="1012"/>
              </w:rPr>
              <w:t xml:space="preserve">III. влияние внутренних и внешних факторов на развитие АПК Чувашской Республики</w:t>
            </w:r>
            <w:r>
              <w:tab/>
            </w:r>
            <w:r>
              <w:fldChar w:fldCharType="begin"/>
            </w:r>
            <w:r>
              <w:instrText xml:space="preserve"> PAGEREF _Toc176798819 \h </w:instrText>
            </w:r>
            <w:r>
              <w:fldChar w:fldCharType="separate"/>
            </w:r>
            <w:r>
              <w:t xml:space="preserve">77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20" w:anchor="_Toc176798820" w:history="1">
            <w:r>
              <w:rPr>
                <w:rStyle w:val="1012"/>
                <w:caps w:val="0"/>
              </w:rPr>
              <w:t xml:space="preserve">1. Конкурентные преимущества АПК Чувашской Республики</w:t>
            </w:r>
            <w:r>
              <w:rPr>
                <w:caps w:val="0"/>
              </w:rPr>
              <w:tab/>
            </w:r>
            <w:r>
              <w:rPr>
                <w:caps w:val="0"/>
              </w:rPr>
              <w:fldChar w:fldCharType="begin"/>
            </w:r>
            <w:r>
              <w:rPr>
                <w:caps w:val="0"/>
              </w:rPr>
              <w:instrText xml:space="preserve"> PAGEREF _Toc176798820 \h </w:instrText>
            </w:r>
            <w:r>
              <w:rPr>
                <w:caps w:val="0"/>
              </w:rPr>
            </w:r>
            <w:r>
              <w:rPr>
                <w:caps w:val="0"/>
              </w:rPr>
              <w:fldChar w:fldCharType="separate"/>
            </w:r>
            <w:r>
              <w:rPr>
                <w:caps w:val="0"/>
              </w:rPr>
              <w:t xml:space="preserve">77</w:t>
            </w:r>
            <w:r>
              <w:rPr>
                <w:caps w:val="0"/>
              </w:rP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21" w:anchor="_Toc176798821" w:history="1">
            <w:r>
              <w:rPr>
                <w:rStyle w:val="1012"/>
                <w:caps w:val="0"/>
              </w:rPr>
              <w:t xml:space="preserve">2. Системные проблемы и ограничения, сдерживающие развитие АПК Чувашской Республики</w:t>
            </w:r>
            <w:r>
              <w:rPr>
                <w:caps w:val="0"/>
              </w:rPr>
              <w:tab/>
            </w:r>
            <w:r>
              <w:rPr>
                <w:caps w:val="0"/>
              </w:rPr>
              <w:fldChar w:fldCharType="begin"/>
            </w:r>
            <w:r>
              <w:rPr>
                <w:caps w:val="0"/>
              </w:rPr>
              <w:instrText xml:space="preserve"> PAGEREF _Toc176798821 \h </w:instrText>
            </w:r>
            <w:r>
              <w:rPr>
                <w:caps w:val="0"/>
              </w:rPr>
            </w:r>
            <w:r>
              <w:rPr>
                <w:caps w:val="0"/>
              </w:rPr>
              <w:fldChar w:fldCharType="separate"/>
            </w:r>
            <w:r>
              <w:rPr>
                <w:caps w:val="0"/>
              </w:rPr>
              <w:t xml:space="preserve">78</w:t>
            </w:r>
            <w:r>
              <w:rPr>
                <w:caps w:val="0"/>
              </w:rP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22" w:anchor="_Toc176798822" w:history="1">
            <w:r>
              <w:rPr>
                <w:rStyle w:val="1012"/>
                <w:caps w:val="0"/>
              </w:rPr>
              <w:t xml:space="preserve">3. Возможности развития АПК Чувашской Республики</w:t>
            </w:r>
            <w:r>
              <w:rPr>
                <w:caps w:val="0"/>
              </w:rPr>
              <w:tab/>
            </w:r>
            <w:r>
              <w:rPr>
                <w:caps w:val="0"/>
              </w:rPr>
              <w:fldChar w:fldCharType="begin"/>
            </w:r>
            <w:r>
              <w:rPr>
                <w:caps w:val="0"/>
              </w:rPr>
              <w:instrText xml:space="preserve"> PAGEREF _Toc176798822 \h </w:instrText>
            </w:r>
            <w:r>
              <w:rPr>
                <w:caps w:val="0"/>
              </w:rPr>
            </w:r>
            <w:r>
              <w:rPr>
                <w:caps w:val="0"/>
              </w:rPr>
              <w:fldChar w:fldCharType="separate"/>
            </w:r>
            <w:r>
              <w:rPr>
                <w:caps w:val="0"/>
              </w:rPr>
              <w:t xml:space="preserve">79</w:t>
            </w:r>
            <w:r>
              <w:rPr>
                <w:caps w:val="0"/>
              </w:rP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23" w:anchor="_Toc176798823" w:history="1">
            <w:r>
              <w:rPr>
                <w:rStyle w:val="1012"/>
              </w:rPr>
              <w:t xml:space="preserve">4. </w:t>
            </w:r>
            <w:r>
              <w:rPr>
                <w:rStyle w:val="1012"/>
                <w:caps w:val="0"/>
              </w:rPr>
              <w:t xml:space="preserve">Внешние факторы, влияющие на развитие АПК Чувашской Республики</w:t>
            </w:r>
            <w:r>
              <w:tab/>
            </w:r>
            <w:r>
              <w:fldChar w:fldCharType="begin"/>
            </w:r>
            <w:r>
              <w:instrText xml:space="preserve"> PAGEREF _Toc176798823 \h </w:instrText>
            </w:r>
            <w:r>
              <w:fldChar w:fldCharType="separate"/>
            </w:r>
            <w:r>
              <w:t xml:space="preserve">81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Style w:val="1012"/>
            </w:rPr>
          </w:pPr>
          <w:r/>
          <w:hyperlink w:tooltip="#_Toc176798824" w:anchor="_Toc176798824" w:history="1">
            <w:r>
              <w:rPr>
                <w:rStyle w:val="1012"/>
              </w:rPr>
              <w:t xml:space="preserve">IV. Карта рисков, влияющие на развитие АПК Чувашской Республики</w:t>
            </w:r>
            <w:r>
              <w:rPr>
                <w:rStyle w:val="1012"/>
              </w:rPr>
              <w:tab/>
            </w:r>
            <w:r>
              <w:rPr>
                <w:rStyle w:val="1012"/>
              </w:rPr>
              <w:fldChar w:fldCharType="begin"/>
            </w:r>
            <w:r>
              <w:rPr>
                <w:rStyle w:val="1012"/>
              </w:rPr>
              <w:instrText xml:space="preserve"> PAGEREF _Toc176798824 \h </w:instrText>
            </w:r>
            <w:r>
              <w:rPr>
                <w:rStyle w:val="1012"/>
              </w:rPr>
            </w:r>
            <w:r>
              <w:rPr>
                <w:rStyle w:val="1012"/>
              </w:rPr>
              <w:fldChar w:fldCharType="separate"/>
            </w:r>
            <w:r>
              <w:rPr>
                <w:rStyle w:val="1012"/>
              </w:rPr>
              <w:t xml:space="preserve">83</w:t>
            </w:r>
            <w:r>
              <w:rPr>
                <w:rStyle w:val="1012"/>
              </w:rPr>
              <w:fldChar w:fldCharType="end"/>
            </w:r>
          </w:hyperlink>
          <w:r>
            <w:rPr>
              <w:rStyle w:val="1012"/>
            </w:rPr>
          </w:r>
          <w:r>
            <w:rPr>
              <w:rStyle w:val="1012"/>
            </w:rPr>
          </w:r>
        </w:p>
        <w:p>
          <w:pPr>
            <w:pStyle w:val="1038"/>
            <w:rPr>
              <w:rStyle w:val="1012"/>
              <w:rFonts w:ascii="Times New Roman" w:hAnsi="Times New Roman" w:eastAsia="Times New Roman" w:cs="Times New Roman"/>
              <w:bCs/>
              <w:caps/>
              <w:sz w:val="28"/>
              <w:szCs w:val="28"/>
            </w:rPr>
          </w:pPr>
          <w:r/>
          <w:hyperlink w:tooltip="#_Toc176798825" w:anchor="_Toc176798825" w:history="1"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  <w:t xml:space="preserve">V. Стратегические цели, задачи и м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  <w:t xml:space="preserve">е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  <w:t xml:space="preserve">роприятия развития АПК Чувашской Республики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  <w:tab/>
            </w:r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  <w:fldChar w:fldCharType="begin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  <w:instrText xml:space="preserve"> PAGEREF _Toc176798825 \h </w:instrText>
            </w:r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</w:r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  <w:fldChar w:fldCharType="separate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  <w:t xml:space="preserve">86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  <w:fldChar w:fldCharType="end"/>
            </w:r>
          </w:hyperlink>
          <w:r>
            <w:rPr>
              <w:rStyle w:val="1012"/>
              <w:rFonts w:ascii="Times New Roman" w:hAnsi="Times New Roman" w:eastAsia="Times New Roman" w:cs="Times New Roman"/>
              <w:bCs/>
              <w:caps/>
              <w:sz w:val="28"/>
              <w:szCs w:val="28"/>
            </w:rPr>
          </w:r>
          <w:r>
            <w:rPr>
              <w:rStyle w:val="1012"/>
              <w:rFonts w:ascii="Times New Roman" w:hAnsi="Times New Roman" w:eastAsia="Times New Roman" w:cs="Times New Roman"/>
              <w:bCs/>
              <w:caps/>
              <w:sz w:val="28"/>
              <w:szCs w:val="28"/>
            </w:rPr>
          </w:r>
        </w:p>
        <w:p>
          <w:pPr>
            <w:pStyle w:val="1038"/>
            <w:rPr>
              <w:rFonts w:eastAsiaTheme="minorEastAsia"/>
              <w:lang w:eastAsia="ru-RU"/>
            </w:rPr>
          </w:pPr>
          <w:r/>
          <w:hyperlink w:tooltip="#_Toc176798826" w:anchor="_Toc176798826" w:history="1"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  <w:t xml:space="preserve">VI. Приоритетные направления развития АПК Чувашской Республики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  <w:tab/>
            </w:r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  <w:fldChar w:fldCharType="begin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  <w:instrText xml:space="preserve"> PAGEREF _Toc176798826 \h </w:instrText>
            </w:r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</w:r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  <w:fldChar w:fldCharType="separate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  <w:t xml:space="preserve">93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  <w:fldChar w:fldCharType="end"/>
            </w:r>
          </w:hyperlink>
          <w:r>
            <w:rPr>
              <w:rFonts w:eastAsiaTheme="minorEastAsia"/>
              <w:lang w:eastAsia="ru-RU"/>
            </w:rPr>
          </w:r>
          <w:r>
            <w:rPr>
              <w:rFonts w:eastAsiaTheme="minorEastAsia"/>
              <w:lang w:eastAsia="ru-RU"/>
            </w:rPr>
          </w:r>
        </w:p>
        <w:p>
          <w:pPr>
            <w:pStyle w:val="1041"/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pPr>
          <w:r/>
          <w:hyperlink w:tooltip="#_Toc176798827" w:anchor="_Toc176798827" w:history="1"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1. Растениеводство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ab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begin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instrText xml:space="preserve"> PAGEREF _Toc176798827 \h </w:instrTex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separate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93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end"/>
            </w:r>
          </w:hyperlink>
          <w:r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r>
          <w:r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r>
        </w:p>
        <w:p>
          <w:pPr>
            <w:pStyle w:val="1041"/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pPr>
          <w:r/>
          <w:hyperlink w:tooltip="#_Toc176798828" w:anchor="_Toc176798828" w:history="1"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2. Животноводство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ab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begin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instrText xml:space="preserve"> PAGEREF _Toc176798828 \h </w:instrTex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separate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94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end"/>
            </w:r>
          </w:hyperlink>
          <w:r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r>
          <w:r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r>
        </w:p>
        <w:p>
          <w:pPr>
            <w:pStyle w:val="1041"/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pPr>
          <w:r/>
          <w:hyperlink w:tooltip="#_Toc176798829" w:anchor="_Toc176798829" w:history="1"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3. Пищевая промышленность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ab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begin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instrText xml:space="preserve"> PAGEREF _Toc176798829 \h </w:instrTex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separate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95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end"/>
            </w:r>
          </w:hyperlink>
          <w:r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r>
          <w:r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r>
        </w:p>
        <w:p>
          <w:pPr>
            <w:pStyle w:val="1041"/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pPr>
          <w:r/>
          <w:hyperlink w:tooltip="#_Toc176798830" w:anchor="_Toc176798830" w:history="1"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4. Устойчивое развитие сельских территорий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ab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begin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instrText xml:space="preserve"> PAGEREF _Toc176798830 \h </w:instrTex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separate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96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end"/>
            </w:r>
          </w:hyperlink>
          <w:r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r>
          <w:r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r>
        </w:p>
        <w:p>
          <w:pPr>
            <w:pStyle w:val="1041"/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pPr>
          <w:r/>
          <w:hyperlink w:tooltip="#_Toc176798831" w:anchor="_Toc176798831" w:history="1"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5. Кооперация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ab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begin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instrText xml:space="preserve"> PAGEREF _Toc176798831 \h </w:instrTex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separate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97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end"/>
            </w:r>
          </w:hyperlink>
          <w:r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r>
          <w:r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r>
        </w:p>
        <w:p>
          <w:pPr>
            <w:pStyle w:val="1041"/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pPr>
          <w:r/>
          <w:hyperlink w:tooltip="#_Toc176798832" w:anchor="_Toc176798832" w:history="1"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6. Увеличение объемов межрегиональной торговли и экспорта продукции АПК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ab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begin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instrText xml:space="preserve"> PAGEREF _Toc176798832 \h </w:instrTex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separate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97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end"/>
            </w:r>
          </w:hyperlink>
          <w:r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r>
          <w:r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r>
        </w:p>
        <w:p>
          <w:pPr>
            <w:pStyle w:val="1041"/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pPr>
          <w:r/>
          <w:hyperlink w:tooltip="#_Toc176798833" w:anchor="_Toc176798833" w:history="1"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7. Кадровое обеспечение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ab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begin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instrText xml:space="preserve"> PAGEREF _Toc176798833 \h </w:instrTex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separate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98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end"/>
            </w:r>
          </w:hyperlink>
          <w:r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r>
          <w:r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r>
        </w:p>
        <w:p>
          <w:pPr>
            <w:pStyle w:val="1041"/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pPr>
          <w:r/>
          <w:hyperlink w:tooltip="#_Toc176798834" w:anchor="_Toc176798834" w:history="1"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8. Цифровизация АПК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ab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begin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instrText xml:space="preserve"> PAGEREF _Toc176798834 \h </w:instrTex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separate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99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end"/>
            </w:r>
          </w:hyperlink>
          <w:r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r>
          <w:r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r>
        </w:p>
        <w:p>
          <w:pPr>
            <w:pStyle w:val="1041"/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pPr>
          <w:r/>
          <w:hyperlink w:tooltip="#_Toc176798835" w:anchor="_Toc176798835" w:history="1"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9. Техническое и технологическое перевооружение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ab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begin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instrText xml:space="preserve"> PAGEREF _Toc176798835 \h </w:instrTex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separate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99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end"/>
            </w:r>
          </w:hyperlink>
          <w:r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r>
          <w:r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r>
        </w:p>
        <w:p>
          <w:pPr>
            <w:pStyle w:val="1041"/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pPr>
          <w:r/>
          <w:hyperlink w:tooltip="#_Toc176798836" w:anchor="_Toc176798836" w:history="1"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10. Отраслевые финансы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ab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begin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instrText xml:space="preserve"> PAGEREF _Toc176798836 \h </w:instrTex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separate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100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end"/>
            </w:r>
          </w:hyperlink>
          <w:r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r>
          <w:r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r>
        </w:p>
        <w:p>
          <w:pPr>
            <w:pStyle w:val="1041"/>
            <w:rPr>
              <w:rFonts w:eastAsiaTheme="minorEastAsia"/>
              <w:lang w:eastAsia="ru-RU"/>
            </w:rPr>
          </w:pPr>
          <w:r/>
          <w:hyperlink w:tooltip="#_Toc176798837" w:anchor="_Toc176798837" w:history="1"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11. Внедрение принципов устойчивого развития, ESG (экология, социальное развитие и управление)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ab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begin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instrText xml:space="preserve"> PAGEREF _Toc176798837 \h </w:instrTex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separate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101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end"/>
            </w:r>
          </w:hyperlink>
          <w:r>
            <w:rPr>
              <w:rFonts w:eastAsiaTheme="minorEastAsia"/>
              <w:lang w:eastAsia="ru-RU"/>
            </w:rPr>
          </w:r>
          <w:r>
            <w:rPr>
              <w:rFonts w:eastAsiaTheme="minorEastAsia"/>
              <w:lang w:eastAsia="ru-RU"/>
            </w:rPr>
          </w:r>
        </w:p>
        <w:p>
          <w:pPr>
            <w:pStyle w:val="1038"/>
            <w:rPr>
              <w:rStyle w:val="1012"/>
              <w:rFonts w:ascii="Times New Roman" w:hAnsi="Times New Roman" w:eastAsia="Times New Roman" w:cs="Times New Roman"/>
              <w:bCs/>
              <w:caps/>
              <w:sz w:val="28"/>
              <w:szCs w:val="28"/>
            </w:rPr>
          </w:pPr>
          <w:r/>
          <w:hyperlink w:tooltip="#_Toc176798838" w:anchor="_Toc176798838" w:history="1"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  <w:t xml:space="preserve">VII. целевые показатели развития АПК Чувашской Республики до 2030 года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  <w:tab/>
            </w:r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  <w:fldChar w:fldCharType="begin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  <w:instrText xml:space="preserve"> PAGEREF _Toc176798838 \h </w:instrText>
            </w:r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</w:r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  <w:fldChar w:fldCharType="separate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  <w:t xml:space="preserve">103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  <w:fldChar w:fldCharType="end"/>
            </w:r>
          </w:hyperlink>
          <w:r>
            <w:rPr>
              <w:rStyle w:val="1012"/>
              <w:rFonts w:ascii="Times New Roman" w:hAnsi="Times New Roman" w:eastAsia="Times New Roman" w:cs="Times New Roman"/>
              <w:bCs/>
              <w:caps/>
              <w:sz w:val="28"/>
              <w:szCs w:val="28"/>
            </w:rPr>
          </w:r>
          <w:r>
            <w:rPr>
              <w:rStyle w:val="1012"/>
              <w:rFonts w:ascii="Times New Roman" w:hAnsi="Times New Roman" w:eastAsia="Times New Roman" w:cs="Times New Roman"/>
              <w:bCs/>
              <w:caps/>
              <w:sz w:val="28"/>
              <w:szCs w:val="28"/>
            </w:rPr>
          </w:r>
        </w:p>
        <w:p>
          <w:pPr>
            <w:pStyle w:val="1038"/>
            <w:rPr>
              <w:rFonts w:eastAsiaTheme="minorEastAsia"/>
              <w:lang w:eastAsia="ru-RU"/>
            </w:rPr>
          </w:pPr>
          <w:r/>
          <w:hyperlink w:tooltip="#_Toc176798839" w:anchor="_Toc176798839" w:history="1"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  <w:t xml:space="preserve">VIII. Механизмы реализации Стратегии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  <w:tab/>
            </w:r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  <w:fldChar w:fldCharType="begin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  <w:instrText xml:space="preserve"> PAGEREF _Toc176798839 \h </w:instrText>
            </w:r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</w:r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  <w:fldChar w:fldCharType="separate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  <w:t xml:space="preserve">104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caps/>
                <w:sz w:val="28"/>
                <w:szCs w:val="28"/>
                <w:lang w:eastAsia="ru-RU"/>
              </w:rPr>
              <w:fldChar w:fldCharType="end"/>
            </w:r>
          </w:hyperlink>
          <w:r>
            <w:rPr>
              <w:rFonts w:eastAsiaTheme="minorEastAsia"/>
              <w:lang w:eastAsia="ru-RU"/>
            </w:rPr>
          </w:r>
          <w:r>
            <w:rPr>
              <w:rFonts w:eastAsiaTheme="minorEastAsia"/>
              <w:lang w:eastAsia="ru-RU"/>
            </w:rPr>
          </w:r>
        </w:p>
        <w:p>
          <w:pPr>
            <w:pStyle w:val="1041"/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pPr>
          <w:r/>
          <w:hyperlink w:tooltip="#_Toc176798840" w:anchor="_Toc176798840" w:history="1"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1. Сроки и этапы реализации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ab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begin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instrText xml:space="preserve"> PAGEREF _Toc176798840 \h </w:instrTex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separate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104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end"/>
            </w:r>
          </w:hyperlink>
          <w:r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r>
          <w:r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r>
        </w:p>
        <w:p>
          <w:pPr>
            <w:pStyle w:val="1041"/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pPr>
          <w:r/>
          <w:hyperlink w:tooltip="#_Toc176798841" w:anchor="_Toc176798841" w:history="1"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2. Оценка необходимых финансовых ресурсов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ab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begin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instrText xml:space="preserve"> PAGEREF _Toc176798841 \h </w:instrTex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separate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104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end"/>
            </w:r>
          </w:hyperlink>
          <w:r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r>
          <w:r>
            <w:rPr>
              <w:rStyle w:val="1012"/>
              <w:rFonts w:ascii="Times New Roman" w:hAnsi="Times New Roman" w:eastAsia="Times New Roman" w:cs="Times New Roman"/>
              <w:bCs/>
              <w:sz w:val="28"/>
              <w:szCs w:val="28"/>
            </w:rPr>
          </w:r>
        </w:p>
        <w:p>
          <w:pPr>
            <w:pStyle w:val="1041"/>
            <w:rPr>
              <w:rFonts w:eastAsiaTheme="minorEastAsia"/>
              <w:lang w:eastAsia="ru-RU"/>
            </w:rPr>
          </w:pPr>
          <w:r/>
          <w:hyperlink w:tooltip="#_Toc176798842" w:anchor="_Toc176798842" w:history="1"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3. Мониторинг и контроль реализации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ab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begin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instrText xml:space="preserve"> PAGEREF _Toc176798842 \h </w:instrTex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separate"/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105</w:t>
            </w:r>
            <w:r>
              <w:rPr>
                <w:rStyle w:val="1012"/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fldChar w:fldCharType="end"/>
            </w:r>
          </w:hyperlink>
          <w:r>
            <w:rPr>
              <w:rFonts w:eastAsiaTheme="minorEastAsia"/>
              <w:lang w:eastAsia="ru-RU"/>
            </w:rPr>
          </w:r>
          <w:r>
            <w:rPr>
              <w:rFonts w:eastAsiaTheme="minorEastAsia"/>
              <w:lang w:eastAsia="ru-RU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43" w:anchor="_Toc176798843" w:history="1">
            <w:r>
              <w:rPr>
                <w:rStyle w:val="1012"/>
              </w:rPr>
              <w:t xml:space="preserve">ПРИЛОЖЕНИЕ 1. </w:t>
            </w:r>
            <w:r>
              <w:rPr>
                <w:rStyle w:val="1012"/>
                <w:rFonts w:eastAsia="Arial Unicode MS"/>
              </w:rPr>
              <w:t xml:space="preserve">П</w:t>
            </w:r>
            <w:r>
              <w:rPr>
                <w:rStyle w:val="1012"/>
                <w:caps w:val="0"/>
              </w:rPr>
              <w:t xml:space="preserve">еречень нормативных правовых актов, создающих основу для разработки стратегии развития агропромышленного комплекса Чувашской Республики</w:t>
            </w:r>
            <w:r>
              <w:tab/>
            </w:r>
            <w:r>
              <w:fldChar w:fldCharType="begin"/>
            </w:r>
            <w:r>
              <w:instrText xml:space="preserve"> PAGEREF _Toc176798843 \h </w:instrText>
            </w:r>
            <w:r>
              <w:fldChar w:fldCharType="separate"/>
            </w:r>
            <w:r>
              <w:t xml:space="preserve">108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44" w:anchor="_Toc176798844" w:history="1">
            <w:r>
              <w:rPr>
                <w:rStyle w:val="1012"/>
              </w:rPr>
              <w:t xml:space="preserve">ПРИЛОЖЕНИЕ 2. </w:t>
            </w:r>
            <w:r>
              <w:rPr>
                <w:rStyle w:val="1012"/>
                <w:caps w:val="0"/>
              </w:rPr>
              <w:t xml:space="preserve">Прогнозные значения целевых показателей за 2025–2030 годы</w:t>
            </w:r>
            <w:r>
              <w:tab/>
            </w:r>
            <w:r>
              <w:fldChar w:fldCharType="begin"/>
            </w:r>
            <w:r>
              <w:instrText xml:space="preserve"> PAGEREF _Toc176798844 \h </w:instrText>
            </w:r>
            <w:r>
              <w:fldChar w:fldCharType="separate"/>
            </w:r>
            <w:r>
              <w:t xml:space="preserve">112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45" w:anchor="_Toc176798845" w:history="1">
            <w:r>
              <w:rPr>
                <w:rStyle w:val="1012"/>
              </w:rPr>
              <w:t xml:space="preserve">ПРИЛОЖЕНИЕ 3. П</w:t>
            </w:r>
            <w:r>
              <w:rPr>
                <w:rStyle w:val="1012"/>
                <w:caps w:val="0"/>
              </w:rPr>
              <w:t xml:space="preserve">рогнозные показатели Чувашской Республики по развитию экспортного потенциала, тыс. долл. США</w:t>
            </w:r>
            <w:r>
              <w:tab/>
            </w:r>
            <w:r>
              <w:fldChar w:fldCharType="begin"/>
            </w:r>
            <w:r>
              <w:instrText xml:space="preserve"> PAGEREF _Toc176798845 \h </w:instrText>
            </w:r>
            <w:r>
              <w:fldChar w:fldCharType="separate"/>
            </w:r>
            <w:r>
              <w:t xml:space="preserve">117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46" w:anchor="_Toc176798846" w:history="1">
            <w:r>
              <w:rPr>
                <w:rStyle w:val="1012"/>
                <w:caps w:val="0"/>
              </w:rPr>
              <w:t xml:space="preserve">ПРИЛОЖЕНИЕ 4. Перечень рисков и угроз, влияющих на развитие АПК Чувашской Республики</w:t>
            </w:r>
            <w:r>
              <w:rPr>
                <w:rStyle w:val="1012"/>
                <w:caps w:val="0"/>
              </w:rPr>
              <w:tab/>
            </w:r>
            <w:r>
              <w:rPr>
                <w:rStyle w:val="1012"/>
                <w:caps w:val="0"/>
              </w:rPr>
              <w:fldChar w:fldCharType="begin"/>
            </w:r>
            <w:r>
              <w:rPr>
                <w:rStyle w:val="1012"/>
                <w:caps w:val="0"/>
              </w:rPr>
              <w:instrText xml:space="preserve"> PAGEREF _Toc176798846 \h </w:instrText>
            </w:r>
            <w:r>
              <w:rPr>
                <w:rStyle w:val="1012"/>
                <w:caps w:val="0"/>
              </w:rPr>
            </w:r>
            <w:r>
              <w:rPr>
                <w:rStyle w:val="1012"/>
                <w:caps w:val="0"/>
              </w:rPr>
              <w:fldChar w:fldCharType="separate"/>
            </w:r>
            <w:r>
              <w:rPr>
                <w:rStyle w:val="1012"/>
                <w:caps w:val="0"/>
              </w:rPr>
              <w:t xml:space="preserve">119</w:t>
            </w:r>
            <w:r>
              <w:rPr>
                <w:rStyle w:val="1012"/>
                <w:caps w:val="0"/>
              </w:rP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47" w:anchor="_Toc176798847" w:history="1">
            <w:r>
              <w:rPr>
                <w:rStyle w:val="1012"/>
              </w:rPr>
              <w:t xml:space="preserve">Приложение 5. </w:t>
            </w:r>
            <w:r>
              <w:rPr>
                <w:rStyle w:val="1012"/>
                <w:caps w:val="0"/>
              </w:rPr>
              <w:t xml:space="preserve">Общие показатели развития сельского хозяйства в Чувашской Республике до 2030 года</w:t>
            </w:r>
            <w:r>
              <w:tab/>
            </w:r>
            <w:r>
              <w:fldChar w:fldCharType="begin"/>
            </w:r>
            <w:r>
              <w:instrText xml:space="preserve"> PAGEREF _Toc176798847 \h </w:instrText>
            </w:r>
            <w:r>
              <w:fldChar w:fldCharType="separate"/>
            </w:r>
            <w:r>
              <w:t xml:space="preserve">121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48" w:anchor="_Toc176798848" w:history="1">
            <w:r>
              <w:rPr>
                <w:rStyle w:val="1012"/>
              </w:rPr>
              <w:t xml:space="preserve">Приложение 6. </w:t>
            </w:r>
            <w:r>
              <w:rPr>
                <w:rStyle w:val="1012"/>
                <w:caps w:val="0"/>
              </w:rPr>
              <w:t xml:space="preserve">Целевые показатели стратегии развития АПК в Чувашской Республике до 2030 года</w:t>
            </w:r>
            <w:r>
              <w:tab/>
            </w:r>
            <w:r>
              <w:fldChar w:fldCharType="begin"/>
            </w:r>
            <w:r>
              <w:instrText xml:space="preserve"> PAGEREF _Toc176798848 \h </w:instrText>
            </w:r>
            <w:r>
              <w:fldChar w:fldCharType="separate"/>
            </w:r>
            <w:r>
              <w:t xml:space="preserve">122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49" w:anchor="_Toc176798849" w:history="1">
            <w:r>
              <w:rPr>
                <w:rStyle w:val="1012"/>
              </w:rPr>
              <w:t xml:space="preserve">Приложение 7. М</w:t>
            </w:r>
            <w:r>
              <w:rPr>
                <w:rStyle w:val="1012"/>
                <w:caps w:val="0"/>
              </w:rPr>
              <w:t xml:space="preserve">акроэкономические индикаторы среднесрочного прогноза социально-экономического развития Российской Федерации на 2025–2027 годы (базовый вариант)</w:t>
            </w:r>
            <w:r>
              <w:tab/>
            </w:r>
            <w:r>
              <w:fldChar w:fldCharType="begin"/>
            </w:r>
            <w:r>
              <w:instrText xml:space="preserve"> PAGEREF _Toc176798849 \h </w:instrText>
            </w:r>
            <w:r>
              <w:fldChar w:fldCharType="separate"/>
            </w:r>
            <w:r>
              <w:t xml:space="preserve">131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50" w:anchor="_Toc176798850" w:history="1">
            <w:r>
              <w:rPr>
                <w:rStyle w:val="1012"/>
              </w:rPr>
              <w:t xml:space="preserve">Приложение 8. </w:t>
            </w:r>
            <w:r>
              <w:rPr>
                <w:rStyle w:val="1012"/>
                <w:caps w:val="0"/>
              </w:rPr>
              <w:t xml:space="preserve">План реализации мероприятий Стратегии</w:t>
            </w:r>
            <w:r>
              <w:tab/>
            </w:r>
            <w:r>
              <w:fldChar w:fldCharType="begin"/>
            </w:r>
            <w:r>
              <w:instrText xml:space="preserve"> PAGEREF _Toc176798850 \h </w:instrText>
            </w:r>
            <w:r>
              <w:fldChar w:fldCharType="separate"/>
            </w:r>
            <w:r>
              <w:t xml:space="preserve">132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176798851" w:anchor="_Toc176798851" w:history="1">
            <w:r>
              <w:rPr>
                <w:rStyle w:val="1012"/>
              </w:rPr>
              <w:t xml:space="preserve">Приложение 9. П</w:t>
            </w:r>
            <w:r>
              <w:rPr>
                <w:rStyle w:val="1012"/>
                <w:caps w:val="0"/>
              </w:rPr>
              <w:t xml:space="preserve">еречень инвестиционных проектов в сфере АПК, планируемых к реализации в период 2025–2030 гг. в Чувашской Республике</w:t>
            </w:r>
            <w:r>
              <w:tab/>
            </w:r>
            <w:r>
              <w:fldChar w:fldCharType="begin"/>
            </w:r>
            <w:r>
              <w:instrText xml:space="preserve"> PAGEREF _Toc176798851 \h </w:instrText>
            </w:r>
            <w:r>
              <w:fldChar w:fldCharType="separate"/>
            </w:r>
            <w:r>
              <w:t xml:space="preserve">148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r>
        </w:p>
        <w:p>
          <w:pPr>
            <w:pStyle w:val="1013"/>
            <w:rPr>
              <w:rStyle w:val="1012"/>
            </w:rPr>
          </w:pPr>
          <w:r>
            <w:rPr>
              <w:rStyle w:val="1012"/>
            </w:rPr>
            <w:fldChar w:fldCharType="end"/>
          </w:r>
          <w:r>
            <w:rPr>
              <w:rStyle w:val="1012"/>
            </w:rPr>
          </w:r>
          <w:r>
            <w:rPr>
              <w:rStyle w:val="1012"/>
            </w:rPr>
          </w:r>
        </w:p>
      </w:sdtContent>
    </w:sdt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  <w:sectPr>
          <w:footerReference w:type="default" r:id="rId9"/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МИССИЯ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Министерства сельского хозяйства Чувашской Республики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обеспечение населения продовольствием, 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улучшение качества жизни на селе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jc w:val="center"/>
        <w:pageBreakBefore/>
        <w:spacing w:line="360" w:lineRule="auto"/>
        <w:rPr>
          <w:caps/>
          <w:sz w:val="28"/>
        </w:rPr>
      </w:pPr>
      <w:r/>
      <w:bookmarkStart w:id="0" w:name="_Toc176798799"/>
      <w:r>
        <w:rPr>
          <w:caps/>
          <w:sz w:val="28"/>
        </w:rPr>
        <w:t xml:space="preserve">I. Общие положения</w:t>
      </w:r>
      <w:bookmarkEnd w:id="0"/>
      <w:r>
        <w:rPr>
          <w:caps/>
          <w:sz w:val="28"/>
        </w:rPr>
      </w:r>
      <w:r>
        <w:rPr>
          <w:caps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Стратегия развития агропромышленного комплекса Чувашской Республики на период до 2030 года (далее – Стратегия) предс</w:t>
      </w:r>
      <w:r>
        <w:rPr>
          <w:rFonts w:ascii="Times New Roman" w:hAnsi="Times New Roman" w:cs="Times New Roman"/>
          <w:sz w:val="28"/>
          <w:szCs w:val="28"/>
        </w:rPr>
        <w:t xml:space="preserve">тавляет собой отраслевой документ стратегического планирования регионального уровня, подготовленный с учетом целей и задач социально–экономического развития Чувашской Республики, развития агропромышленного и рыбохозяйственного комплексов Российской Федерац</w:t>
      </w:r>
      <w:r>
        <w:rPr>
          <w:rFonts w:ascii="Times New Roman" w:hAnsi="Times New Roman" w:cs="Times New Roman"/>
          <w:sz w:val="28"/>
          <w:szCs w:val="28"/>
        </w:rPr>
        <w:t xml:space="preserve">ии на период до 2030 года, национальных целей развития Российской Федерации на период до 2030 года и вклада Чувашской Республики в их достижение, и направленный на обеспечение беспрерывного функционирования агропромышленного комплекса Чувашской Республики.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Стратегии закладываются также основы для реализации задачи по обеспечению технологического суверенитета агропромышленного комплекса Чувашской Республики, что обусловлено и взаимосвязано с разрабатываемым Минсельхозом России национальн</w:t>
      </w:r>
      <w:r>
        <w:rPr>
          <w:rFonts w:ascii="Times New Roman" w:hAnsi="Times New Roman" w:cs="Times New Roman"/>
          <w:sz w:val="28"/>
          <w:szCs w:val="28"/>
        </w:rPr>
        <w:t xml:space="preserve">ым проектом «Технологическое обеспечение продовольственной безопасности», реализация которого позволит снизить зависимость российского АПК от импорта по ряду важнейших направлений. Национальный проект будет включать следующие федеральные проекты: «Селекцио</w:t>
      </w:r>
      <w:r>
        <w:rPr>
          <w:rFonts w:ascii="Times New Roman" w:hAnsi="Times New Roman" w:cs="Times New Roman"/>
          <w:sz w:val="28"/>
          <w:szCs w:val="28"/>
        </w:rPr>
        <w:t xml:space="preserve">нная и генетическая независимость АПК»; «Обеспеченность АПК критически важными ферментами, пищевыми и кормовыми добавками»; «Техническая и технологическая независимость в сельскохозяйственном машиностроении»; «Технико-технологическая независимость животнов</w:t>
      </w:r>
      <w:r>
        <w:rPr>
          <w:rFonts w:ascii="Times New Roman" w:hAnsi="Times New Roman" w:cs="Times New Roman"/>
          <w:sz w:val="28"/>
          <w:szCs w:val="28"/>
        </w:rPr>
        <w:t xml:space="preserve">одства, пищевой и перерабатывающей промышленности»; «Технологическая независимость производства средств защиты растений»; «Отечественный флот для нужд АПК и рыбохозяйственного комплекса»; «Кадровое и научное обеспечение АПК и рыбохозяйственного комплекса».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Основная цель Стратегии заключается в определении приоритетов, установлении преемственности целей, задач и показателей развития </w:t>
      </w:r>
      <w:r>
        <w:rPr>
          <w:rFonts w:ascii="Times New Roman" w:hAnsi="Times New Roman" w:cs="Times New Roman"/>
          <w:sz w:val="28"/>
          <w:szCs w:val="28"/>
        </w:rPr>
        <w:t xml:space="preserve">агропромышленного комплекса региона и их корректировке в соответствии с изменением сложившейся внутренней и внешней конъюнктуры, влияющей на дальнейшее развитие агропромышленного комплекса Чувашской Республики.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учетом национального проекта «Технологическое обеспечение продовольственной безопасности» целями Стратегии до 2030 года являются: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повышение технологической обеспеченности продовольственной безопасности для создания условий устойчивого роста производства;</w:t>
      </w:r>
      <w:r/>
    </w:p>
    <w:p>
      <w:pPr>
        <w:ind w:firstLine="709"/>
        <w:jc w:val="both"/>
        <w:spacing w:after="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обеспечение технологической независимости в сфере производства критически важных ферментных препаратов, пищевых и кормовых добавок, технологических вспомогательных средств;</w:t>
      </w:r>
      <w:r/>
    </w:p>
    <w:p>
      <w:pPr>
        <w:ind w:firstLine="709"/>
        <w:jc w:val="both"/>
        <w:spacing w:after="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создание и развитие современной инфраструктуры производителей лекарственных средств для ветеринарного применения с целью обеспечения технологической независимости в сфере производства лекарственных средств для ветеринарного применения;</w:t>
      </w:r>
      <w:r/>
    </w:p>
    <w:p>
      <w:pPr>
        <w:ind w:firstLine="709"/>
        <w:jc w:val="both"/>
        <w:spacing w:after="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обеспечение к 2031 году уровня укомплектованности кадрами предприятий агропромышленного комплекса не менее 95%;</w:t>
      </w:r>
      <w:r/>
    </w:p>
    <w:p>
      <w:pPr>
        <w:ind w:firstLine="709"/>
        <w:jc w:val="both"/>
        <w:spacing w:after="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повышение технологической обеспеченности продовольственной безопасности для создания условий устойчивого роста производства: </w:t>
      </w:r>
      <w:r/>
    </w:p>
    <w:p>
      <w:pPr>
        <w:pStyle w:val="1025"/>
        <w:numPr>
          <w:ilvl w:val="0"/>
          <w:numId w:val="37"/>
        </w:numPr>
        <w:jc w:val="both"/>
        <w:spacing w:line="360" w:lineRule="auto"/>
      </w:pPr>
      <w:r>
        <w:rPr>
          <w:sz w:val="28"/>
          <w:szCs w:val="28"/>
        </w:rPr>
        <w:t xml:space="preserve">обеспечение технологической независимости в создании и применении сортов и гибридов критически важных сельскохозяйственных культур, и в обеспечении компаний отечественной племенной продукцией (материалами) (племенными ресурсами); </w:t>
      </w:r>
      <w:r/>
    </w:p>
    <w:p>
      <w:pPr>
        <w:pStyle w:val="1025"/>
        <w:numPr>
          <w:ilvl w:val="0"/>
          <w:numId w:val="37"/>
        </w:numPr>
        <w:jc w:val="both"/>
        <w:spacing w:line="360" w:lineRule="auto"/>
      </w:pPr>
      <w:r>
        <w:rPr>
          <w:sz w:val="28"/>
          <w:szCs w:val="28"/>
        </w:rPr>
        <w:t xml:space="preserve">обеспечение технологической независимости в сфере производства критически важных ферментных препаратов, пищевых и кормовых добавок, технологических вспомогательных средств; </w:t>
      </w:r>
      <w:r/>
    </w:p>
    <w:p>
      <w:pPr>
        <w:pStyle w:val="1025"/>
        <w:numPr>
          <w:ilvl w:val="0"/>
          <w:numId w:val="37"/>
        </w:num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повышение укомплектованности кадрами предприятий агропромышленного комплекса.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Стратегии агропромышленный комплекс Чувашской Республики о</w:t>
      </w:r>
      <w:r>
        <w:rPr>
          <w:rFonts w:ascii="Times New Roman" w:hAnsi="Times New Roman" w:cs="Times New Roman"/>
          <w:sz w:val="28"/>
          <w:szCs w:val="28"/>
        </w:rPr>
        <w:t xml:space="preserve">пределяется как совокупность взаимосвязанных подотраслей сельского хозяйства, пищевой и перерабатывающей промышленности, включая производство, хранение, переработку и реализацию продукции сельского хозяйства на внутреннем, межрегиональном и внешнем рынках.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Стратегия разработана с учетом федеральн</w:t>
      </w:r>
      <w:r>
        <w:rPr>
          <w:rFonts w:ascii="Times New Roman" w:hAnsi="Times New Roman" w:cs="Times New Roman"/>
          <w:sz w:val="28"/>
          <w:szCs w:val="28"/>
        </w:rPr>
        <w:t xml:space="preserve">ого и регионального законодательства, затрагивающего вопросы долгосрочного и перспективного стратегического планирования, обеспечения продовольственной безопасности, реализации национальных и региональных проектов (мероприятий) и их финансовое обеспечение.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Нормативно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eastAsia="Arial Unicode MS" w:cs="Times New Roman"/>
          <w:sz w:val="28"/>
          <w:szCs w:val="28"/>
        </w:rPr>
        <w:t xml:space="preserve">правовая база, составляющая основу для разработки стратегии развития агропромышленного комплекса Чувашской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приведена в Приложении 1.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Стратегия является основой для разработки государственных прогр</w:t>
      </w:r>
      <w:r>
        <w:rPr>
          <w:rFonts w:ascii="Times New Roman" w:hAnsi="Times New Roman" w:cs="Times New Roman"/>
          <w:sz w:val="28"/>
          <w:szCs w:val="28"/>
        </w:rPr>
        <w:t xml:space="preserve">амм и подпрограмм Чувашской Республики, иных региональных и муниципальных документов стратегического планирования, содержащих проекты и мероприятия, направленные на развитие агропромышленного комплекса Чувашской Республики, в том числе сельских территорий.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ind w:firstLine="709"/>
        <w:jc w:val="both"/>
        <w:pageBreakBefore/>
        <w:spacing w:line="360" w:lineRule="auto"/>
        <w:rPr>
          <w:rFonts w:ascii="Times New Roman Полужирный" w:hAnsi="Times New Roman Полужирный"/>
          <w:caps/>
          <w:sz w:val="28"/>
        </w:rPr>
      </w:pPr>
      <w:r/>
      <w:bookmarkStart w:id="1" w:name="_Toc176798800"/>
      <w:r>
        <w:rPr>
          <w:sz w:val="28"/>
        </w:rPr>
        <w:t xml:space="preserve">II. </w:t>
      </w:r>
      <w:r>
        <w:rPr>
          <w:rFonts w:ascii="Times New Roman Полужирный" w:hAnsi="Times New Roman Полужирный"/>
          <w:caps/>
          <w:sz w:val="28"/>
        </w:rPr>
        <w:t xml:space="preserve">Анализ текущего состояния агропромышленного комплекса Чувашской Республики</w:t>
      </w:r>
      <w:bookmarkEnd w:id="1"/>
      <w:r>
        <w:rPr>
          <w:rFonts w:ascii="Times New Roman Полужирный" w:hAnsi="Times New Roman Полужирный"/>
          <w:caps/>
          <w:sz w:val="28"/>
        </w:rPr>
      </w:r>
      <w:r>
        <w:rPr>
          <w:rFonts w:ascii="Times New Roman Полужирный" w:hAnsi="Times New Roman Полужирный"/>
          <w:caps/>
          <w:sz w:val="28"/>
        </w:rPr>
      </w:r>
    </w:p>
    <w:p>
      <w:pPr>
        <w:pStyle w:val="771"/>
        <w:ind w:firstLine="709"/>
        <w:spacing w:line="360" w:lineRule="auto"/>
        <w:rPr>
          <w:b w:val="0"/>
          <w:bCs w:val="0"/>
          <w:sz w:val="28"/>
        </w:rPr>
      </w:pPr>
      <w:r/>
      <w:bookmarkStart w:id="2" w:name="__RefHeading___3"/>
      <w:r/>
      <w:bookmarkStart w:id="3" w:name="_Toc176798801"/>
      <w:r/>
      <w:bookmarkEnd w:id="2"/>
      <w:r>
        <w:rPr>
          <w:b w:val="0"/>
          <w:bCs w:val="0"/>
          <w:sz w:val="28"/>
        </w:rPr>
        <w:t xml:space="preserve">1. Вклад в социально</w:t>
      </w:r>
      <w:r>
        <w:rPr>
          <w:sz w:val="28"/>
          <w:szCs w:val="28"/>
        </w:rPr>
        <w:t xml:space="preserve">–</w:t>
      </w:r>
      <w:r>
        <w:rPr>
          <w:b w:val="0"/>
          <w:bCs w:val="0"/>
          <w:sz w:val="28"/>
        </w:rPr>
        <w:t xml:space="preserve">экономическое развитие региона</w:t>
      </w:r>
      <w:bookmarkEnd w:id="3"/>
      <w:r>
        <w:rPr>
          <w:b w:val="0"/>
          <w:bCs w:val="0"/>
          <w:sz w:val="28"/>
        </w:rPr>
      </w:r>
      <w:r>
        <w:rPr>
          <w:b w:val="0"/>
          <w:bCs w:val="0"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Агропромышленный комплекс (</w:t>
      </w:r>
      <w:r>
        <w:rPr>
          <w:rFonts w:ascii="Times New Roman" w:hAnsi="Times New Roman" w:cs="Times New Roman"/>
          <w:sz w:val="28"/>
          <w:szCs w:val="28"/>
        </w:rPr>
        <w:t xml:space="preserve">далее – АПК) является одним из жизненно важных секторов экономики Чувашской Республики. В регионе в сельской местности проживает 35,6% населения, что заметно превышает среднероссийские показатели (27,7% в ПФО и 25,1% в РФ). При этом 6,5% занятых в АПК прои</w:t>
      </w:r>
      <w:r>
        <w:rPr>
          <w:rFonts w:ascii="Times New Roman" w:hAnsi="Times New Roman" w:cs="Times New Roman"/>
          <w:sz w:val="28"/>
          <w:szCs w:val="28"/>
        </w:rPr>
        <w:t xml:space="preserve">зводят 14,6% валового регионального продукта. Доля производства продукции перерабатывающими предприятиями агропромышленного комплекса республики в промышленности составляет 13,2%, или 3 место в общем объеме производства предприятий обрабатывающей отрасли.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Большая доля сельског</w:t>
      </w:r>
      <w:r>
        <w:rPr>
          <w:rFonts w:ascii="Times New Roman" w:hAnsi="Times New Roman" w:cs="Times New Roman"/>
          <w:sz w:val="28"/>
          <w:szCs w:val="28"/>
        </w:rPr>
        <w:t xml:space="preserve">о населения в общей численности населения региона обусловила приоритетность в региональной социально–экономической политике всестороннего и сбалансированного развития сельских территорий, комплексного подхода к развитию инфраструктуры в сельской местности.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</w:t>
      </w:r>
      <w:r>
        <w:rPr>
          <w:rFonts w:ascii="Times New Roman" w:hAnsi="Times New Roman" w:cs="Times New Roman"/>
          <w:sz w:val="28"/>
          <w:szCs w:val="28"/>
        </w:rPr>
        <w:t xml:space="preserve">22 году объем валового регионального продукта (далее – ВРП) Чувашской Республики составил 501,5 млрд руб., увеличившись по сравнению с 2021 годом на 101,6 млрд руб. или 58,39%. Темп роста ВРП региона за период 2018–2022 гг. составил 158,39% (2022/2018, %).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доля сельского хозяйства в ВРП Чувашии составляет 7,8%, в что выше чем в целом по Российской Федерации (4,2%) и в среднем по Приволжскому федеральному округ (далее – ПФО) (6,7%).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2022 года ВРП на душу населения составил в Чувашской Республике 425,5 тыс. руб., увеличившись по сравнению с 2021 годом на 89,3 тыс. руб. (или 26,56 %), по сравнению с 2018 годом на 167,5 тыс. руб. (или 64,94%).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темпам роста ВРП на душу населения за период 2018–2022 гг. Чувашская Республика находится на втором месте (после Кировской области) среди субъектов ПФО.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2022 году объем валовой добавленной стоимости (далее – ВДС) по отрасли «Сельское, лесное хозяйство, </w:t>
      </w:r>
      <w:r>
        <w:rPr>
          <w:rFonts w:ascii="Times New Roman" w:hAnsi="Times New Roman" w:cs="Times New Roman"/>
          <w:sz w:val="28"/>
          <w:szCs w:val="28"/>
        </w:rPr>
        <w:t xml:space="preserve">охота, рыболовство и рыбоводство» в регионе составил 39,2 млрд руб., увеличившись по сравнению с 2021 годом на 7,9 млрд руб. или 25,20%. В целом за период 2018–2022 гг. темп роста ВДС по отрасли сельское хозяйство в регионе составил 159,39% (2022/2018, %).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2022 году доля отрасли «Сельское, лесное хозяйство, охота, рыболовство и рыбоводство» в отраслевой структуре ВДС в Чувашской Республик</w:t>
      </w:r>
      <w:r>
        <w:rPr>
          <w:rFonts w:ascii="Times New Roman" w:hAnsi="Times New Roman" w:cs="Times New Roman"/>
          <w:sz w:val="28"/>
          <w:szCs w:val="28"/>
        </w:rPr>
        <w:t xml:space="preserve">е составляла 7,8%, что на 3,6 п.п. выше, чем доля сельского хозяйства в отраслевой структуре в среднем по Российской Федерации. В период 2018–2022 гг. доля отрасли в структуре ВДС региона также была значительной и варьировалась в диапазоне от 7,8% до 8,2%.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Уровень продовольственной самообеспеченности (агропродовольственной незав</w:t>
      </w:r>
      <w:r>
        <w:rPr>
          <w:rFonts w:ascii="Times New Roman" w:hAnsi="Times New Roman" w:cs="Times New Roman"/>
          <w:sz w:val="28"/>
          <w:szCs w:val="28"/>
        </w:rPr>
        <w:t xml:space="preserve">исимости) играет решающую роль как в целом для Российской Федерации, так и для агропродовольственного рынка Чувашской Республики. Уровень самообеспеченности производства сельскохозяйственной и продовольственной продукции в регионе превышает установленные Д</w:t>
      </w:r>
      <w:r>
        <w:rPr>
          <w:rFonts w:ascii="Times New Roman" w:hAnsi="Times New Roman" w:cs="Times New Roman"/>
          <w:sz w:val="28"/>
          <w:szCs w:val="28"/>
        </w:rPr>
        <w:t xml:space="preserve">октриной продовольственной безопасности Российской Федерации пороговые значения по всем основным видам сельскохозяйственной продукции в Чувашской Республике: картофелем – в 2,3 раза (2023 год), овощами – в 1,4 раза, молоком – в 1,6 раза, мясом – в 1,6 раз.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Индекс сельскохозяйственного производства за 2023 год составил 100,2%. В динамике с 2014 года (с года введения продовольственного эмбарго) рост производства в сельском хозяйстве составил 27% (10 место в ПФО).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аграрной отрасли республики за 2023 год произведено продукции на общую сумму 117 млрд рублей.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Доля сельскохозяйственных организаций Чувашской Республики в произведенной продукции региона по отрасли сельского хозяйства составляет порядка 45,98%, хозяйств населения – 39,39%, крестьянских и фермерских хозяйств – 14,63%.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части производства продукции расте</w:t>
      </w:r>
      <w:r>
        <w:rPr>
          <w:rFonts w:ascii="Times New Roman" w:hAnsi="Times New Roman" w:cs="Times New Roman"/>
          <w:sz w:val="28"/>
          <w:szCs w:val="28"/>
        </w:rPr>
        <w:t xml:space="preserve">ниеводства структурно в разрезе хозяйств распределение выглядит следующим образом: 38,54% в общем объеме производства приходится на сельскохозяйственные организации, 40,41% – хозяйства населения и 21,05% – крестьянские (фермерские) хозяйства (далее – КФХ).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структуре производства продукции животноводства более половины производства (54,12%) приходится на сельскохозяйственные организации, 38,27% – на хозяйства населения и 7,62% – на КФХ.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в республике зарегистрировано 559 сельскохозяйственных организаций, 1 496 крестьянских (фермерских) хозяйств (ИП), 234 тыс. личных подсобных хозяйств, 102 сельскохозяйственных потребительских кооператива.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Чувашской Республике имеется 933,4 тыс. га сельскохозяйственных угодий. Эффективное использование имеющихся земельных ресурсов в регионе характеризуется следующими показателями: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3 место в ПФО по выходу продукции на единицу площади;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высокая распаханность сельхозугодий – 78,6% (1 место в ПФО, 8 место по Российской Федерации).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основным видам сельскохозяйственной продукции Чувашия занимает в Приволжском федеральном округе по итогам 2023 года: 1 место – по картофелю, хмелю; 2 место – по овощам, молоку; 3 место – по продукции сельского хозяйства, зерну; 4 место – по мясу.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Сложившаяся специализация сельского хозяйства на производстве овощей, картофеля, молока, мяса, зерна, технических культур, хмеля и кормов для животноводства соответствует природно–экономическим условиям республики.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ind w:firstLine="709"/>
        <w:spacing w:line="360" w:lineRule="auto"/>
        <w:rPr>
          <w:b w:val="0"/>
          <w:bCs w:val="0"/>
          <w:sz w:val="28"/>
        </w:rPr>
      </w:pPr>
      <w:r/>
      <w:bookmarkStart w:id="4" w:name="_Toc176798802"/>
      <w:r>
        <w:rPr>
          <w:b w:val="0"/>
          <w:bCs w:val="0"/>
          <w:sz w:val="28"/>
        </w:rPr>
        <w:t xml:space="preserve">2. Земельные ресурсы</w:t>
      </w:r>
      <w:bookmarkEnd w:id="4"/>
      <w:r>
        <w:rPr>
          <w:b w:val="0"/>
          <w:bCs w:val="0"/>
          <w:sz w:val="28"/>
        </w:rPr>
      </w:r>
      <w:r>
        <w:rPr>
          <w:b w:val="0"/>
          <w:bCs w:val="0"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Земельный фонд Чувашской Республики составляет 1 834 тыс. га. На земли сельскохозяйственного назначения в регионе приходится 1 005 тыс. га, в том числе на сельскохозяйственные угодья – 933,4 тыс. га, из них пашня – 734,2 тыс. га.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период 2015–2023 гг. в Чувашской Республике было введено в оборот порядка 130 тыс. га неиспользуемых земель. При этом за указанный период было дополнительно выявлено 104 тыс. га, что в 2,3 раза больше, чем неиспользуемых земель на начало 2015 года.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1 января 2024 года в республике оставалось 19,8 тыс. га необрабатываемых земель, из которых в 2024 году запланировано к введению в оборот порядка 11,9 тыс. га.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</w:t>
      </w:r>
      <w:r>
        <w:rPr>
          <w:rFonts w:ascii="Times New Roman" w:hAnsi="Times New Roman" w:cs="Times New Roman"/>
          <w:sz w:val="28"/>
          <w:szCs w:val="28"/>
        </w:rPr>
        <w:t xml:space="preserve"> году в Чувашской Республике было введено в эксплуатацию 190 га мелиорируемых земель. Общий объем инвестиций сельскохозяйственных товаропроизводителей, направленных на указанные цели, составил 139,2 млн рублей, объем выплаченных субсидий – 11,9 млн рублей.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на возмещение части затрат на выполнение мероприятий по повышению плодородия почв в регионе были выплачены субсидии в сумме 9,7 млн рублей. Известкование кислых почв в Чувашской Республике было проведено на площади 2,0 тыс. га.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Чуваш</w:t>
      </w:r>
      <w:r>
        <w:rPr>
          <w:rFonts w:ascii="Times New Roman" w:hAnsi="Times New Roman" w:cs="Times New Roman"/>
          <w:sz w:val="28"/>
          <w:szCs w:val="28"/>
        </w:rPr>
        <w:t xml:space="preserve">ская Республика находится в зоне с умеренно континентальным климатом: с теплым летом и умеренно холодной зимой. К неблагоприятным сторонам климата относятся неравномерное распределение снега на территории зимой, осенне-весенние заморозки, засухи и суховеи.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Одной из острых проблем земледелия Чувашской Республики является прогрессирующая деградация почвенного покрова и снижение плодородия почв в результате антропогенного воздействия и естественного природно-климатических факторов.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последние годы в результате процессов эрозии произошло сокращение содержания в почве гумуса – важнейшего компонента, обуславливающего плодородие всех типов почв, с 4,35 до 4,25 процента.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Дополнительные проблемы связаны с повышением кислотности почв. Удельный вес кислых почв</w:t>
      </w:r>
      <w:r>
        <w:rPr>
          <w:rFonts w:ascii="Times New Roman" w:hAnsi="Times New Roman" w:cs="Times New Roman"/>
          <w:sz w:val="28"/>
          <w:szCs w:val="28"/>
        </w:rPr>
        <w:t xml:space="preserve"> достигает порядка 50 процентов всех пахотных угодий, что связано с использованием больших объемов физиологических кислых минеральных удобрений, вымыванием питательных элементов (в частности, карбонатов магния и кальция) из почвы, отчуждением их с урожаем.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к системе земледелия предъявляются 3 основные требования: эффективность, ресурсосбережение и экологическая безопасность. Этим требованиям отвечает система биологизированного земледелия. При </w:t>
      </w:r>
      <w:r>
        <w:rPr>
          <w:rFonts w:ascii="Times New Roman" w:hAnsi="Times New Roman" w:cs="Times New Roman"/>
          <w:sz w:val="28"/>
          <w:szCs w:val="28"/>
        </w:rPr>
        <w:t xml:space="preserve">биологизации</w:t>
      </w:r>
      <w:r>
        <w:rPr>
          <w:rFonts w:ascii="Times New Roman" w:hAnsi="Times New Roman" w:cs="Times New Roman"/>
          <w:sz w:val="28"/>
          <w:szCs w:val="28"/>
        </w:rPr>
        <w:t xml:space="preserve"> земледелия мобилизация ресурсов почвенного плодородия и его воспроизводство осуществляется за счет возврата нужного количества и качества свежего органического вещества.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Чувашской Республике имеются успешные примеры применения </w:t>
      </w:r>
      <w:r>
        <w:rPr>
          <w:rFonts w:ascii="Times New Roman" w:hAnsi="Times New Roman" w:cs="Times New Roman"/>
          <w:sz w:val="28"/>
          <w:szCs w:val="28"/>
        </w:rPr>
        <w:t xml:space="preserve">биологизации</w:t>
      </w:r>
      <w:r>
        <w:rPr>
          <w:rFonts w:ascii="Times New Roman" w:hAnsi="Times New Roman" w:cs="Times New Roman"/>
          <w:sz w:val="28"/>
          <w:szCs w:val="28"/>
        </w:rPr>
        <w:t xml:space="preserve"> в производстве сельскохозяйственной продукции. В ООО «Агрофирма «Слава картофелю», специализирующимся на производстве растениеводческой продукции (кар</w:t>
      </w:r>
      <w:r>
        <w:rPr>
          <w:rFonts w:ascii="Times New Roman" w:hAnsi="Times New Roman" w:cs="Times New Roman"/>
          <w:sz w:val="28"/>
          <w:szCs w:val="28"/>
        </w:rPr>
        <w:t xml:space="preserve">тофеля и зерна) нет животноводческой отрасли, поэтому для продолжения успешного и эффективного производства картофеля и зерна и для прекращения деградации почвы и ее плодородия, которые являются фундаментом урожая, с 2013 года агрофирма начала интенсивную </w:t>
      </w:r>
      <w:r>
        <w:rPr>
          <w:rFonts w:ascii="Times New Roman" w:hAnsi="Times New Roman" w:cs="Times New Roman"/>
          <w:sz w:val="28"/>
          <w:szCs w:val="28"/>
        </w:rPr>
        <w:t xml:space="preserve">биологизацию</w:t>
      </w:r>
      <w:r>
        <w:rPr>
          <w:rFonts w:ascii="Times New Roman" w:hAnsi="Times New Roman" w:cs="Times New Roman"/>
          <w:sz w:val="28"/>
          <w:szCs w:val="28"/>
        </w:rPr>
        <w:t xml:space="preserve"> земледелия путем введения грамотных севооборотов, масштабного использования соломы и стерни з</w:t>
      </w:r>
      <w:r>
        <w:rPr>
          <w:rFonts w:ascii="Times New Roman" w:hAnsi="Times New Roman" w:cs="Times New Roman"/>
          <w:sz w:val="28"/>
          <w:szCs w:val="28"/>
        </w:rPr>
        <w:t xml:space="preserve">ерновых культур, сидерации пашни (бобовой культурой, донником желтым, капустой, редькой масличной). Благодаря использованию соломы и широкого внедрения сидерации в земледелии ООО «Агрофирма «Слава картофелю» достигнут положительный баланс по азоту и калию.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земледелия считается </w:t>
      </w:r>
      <w:r>
        <w:rPr>
          <w:rFonts w:ascii="Times New Roman" w:hAnsi="Times New Roman" w:cs="Times New Roman"/>
          <w:sz w:val="28"/>
          <w:szCs w:val="28"/>
        </w:rPr>
        <w:t xml:space="preserve">биологизированной</w:t>
      </w:r>
      <w:r>
        <w:rPr>
          <w:rFonts w:ascii="Times New Roman" w:hAnsi="Times New Roman" w:cs="Times New Roman"/>
          <w:sz w:val="28"/>
          <w:szCs w:val="28"/>
        </w:rPr>
        <w:t xml:space="preserve">, если доля биологического азота в урожае превышает 70%.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Длительные исследования эффективности зеленого удобрения (один из главных факторов </w:t>
      </w:r>
      <w:r>
        <w:rPr>
          <w:rFonts w:ascii="Times New Roman" w:hAnsi="Times New Roman" w:cs="Times New Roman"/>
          <w:sz w:val="28"/>
          <w:szCs w:val="28"/>
        </w:rPr>
        <w:t xml:space="preserve">биологизации</w:t>
      </w:r>
      <w:r>
        <w:rPr>
          <w:rFonts w:ascii="Times New Roman" w:hAnsi="Times New Roman" w:cs="Times New Roman"/>
          <w:sz w:val="28"/>
          <w:szCs w:val="28"/>
        </w:rPr>
        <w:t xml:space="preserve">) в Волго-Вятской зоне показали, что энергоемкость сидеральных паров в 2,3 раза ниже энергоемкости унавоженного чистого пара (40 т/га навоза). Этим и определяется огромное энерго- и ресурсосберегающее значение сидерации.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использования сидератов увеличилась урожайность зерновых культур до 37,6 ц/га (раньше она не превышала 27 ц/га);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перспективном периоде до 2030 года одной из основных задач Чувашской Республики в части пов</w:t>
      </w:r>
      <w:r>
        <w:rPr>
          <w:rFonts w:ascii="Times New Roman" w:hAnsi="Times New Roman" w:cs="Times New Roman"/>
          <w:sz w:val="28"/>
          <w:szCs w:val="28"/>
        </w:rPr>
        <w:t xml:space="preserve">ышения эффективности использования земель сельскохозяйственного назначения является расширение практики биологизированного земледелия путем использования грамотных севооборотов, соломы зерновых культур, интенсивной сидерации, что создаст условия значительн</w:t>
      </w:r>
      <w:r>
        <w:rPr>
          <w:rFonts w:ascii="Times New Roman" w:hAnsi="Times New Roman" w:cs="Times New Roman"/>
          <w:sz w:val="28"/>
          <w:szCs w:val="28"/>
        </w:rPr>
        <w:t xml:space="preserve">ой корректировки технологии возделывания практически всех полевых культур в сторону уменьшения материальных и финансовых затрат в виде минеральных удобрений, пестицидов, семенного материала и пр. и условия для расширенного воспроизводства плодородия почвы.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Прогнозные значения целевых показателей за 2025–2030 годы представлены в Приложении 2.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ind w:firstLine="709"/>
        <w:spacing w:line="360" w:lineRule="auto"/>
        <w:rPr>
          <w:b w:val="0"/>
          <w:bCs w:val="0"/>
          <w:sz w:val="28"/>
        </w:rPr>
      </w:pPr>
      <w:r/>
      <w:bookmarkStart w:id="5" w:name="_Toc176798803"/>
      <w:r>
        <w:rPr>
          <w:b w:val="0"/>
          <w:bCs w:val="0"/>
          <w:sz w:val="28"/>
        </w:rPr>
        <w:t xml:space="preserve">3. Водные ресурсы</w:t>
      </w:r>
      <w:bookmarkEnd w:id="5"/>
      <w:r>
        <w:rPr>
          <w:b w:val="0"/>
          <w:bCs w:val="0"/>
          <w:sz w:val="28"/>
        </w:rPr>
      </w:r>
      <w:r>
        <w:rPr>
          <w:b w:val="0"/>
          <w:bCs w:val="0"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площадь пресноводных объектов свободных и пригодных для осуществления аквакультуры в Чувашской Республике составляла 9,8 тыс. га.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период 2019–2023 гг. в регионе было осуществлено строительство новых (реконструкция и модернизация действующих) объектов рыбоводства на общей площади 334,7 га, в том числе в 2023 году – 68,5 га.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производители товарной рыбы в Чувашской Республике являются: КФХ Афанасьева А.Ю. Козловского муниципального округа, ООО Рыбхоз «</w:t>
      </w:r>
      <w:r>
        <w:rPr>
          <w:rFonts w:ascii="Times New Roman" w:hAnsi="Times New Roman" w:cs="Times New Roman"/>
          <w:sz w:val="28"/>
          <w:szCs w:val="28"/>
        </w:rPr>
        <w:t xml:space="preserve">Киря</w:t>
      </w:r>
      <w:r>
        <w:rPr>
          <w:rFonts w:ascii="Times New Roman" w:hAnsi="Times New Roman" w:cs="Times New Roman"/>
          <w:sz w:val="28"/>
          <w:szCs w:val="28"/>
        </w:rPr>
        <w:t xml:space="preserve">» Порецкого муниципального округа.</w:t>
      </w:r>
      <w:r>
        <w:rPr>
          <w:rFonts w:ascii="Times New Roman" w:hAnsi="Times New Roman" w:cs="Times New Roman"/>
          <w:strike/>
          <w:sz w:val="28"/>
          <w:szCs w:val="28"/>
        </w:rPr>
      </w:r>
      <w:r>
        <w:rPr>
          <w:rFonts w:ascii="Times New Roman" w:hAnsi="Times New Roman" w:cs="Times New Roman"/>
          <w:strike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последние годы прудовое рыбоводство базируется на поликультурном разведении карпа и растительноядных рыб (толстолобик, белый амур).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Современные технологии сельскохозяйственного рыбоводства позволяют в короткие сроки не только к</w:t>
      </w:r>
      <w:r>
        <w:rPr>
          <w:rFonts w:ascii="Times New Roman" w:hAnsi="Times New Roman" w:cs="Times New Roman"/>
          <w:sz w:val="28"/>
          <w:szCs w:val="28"/>
        </w:rPr>
        <w:t xml:space="preserve">оличественно увеличить объемы производства живой рыбы, но и снизить ее себестоимость. Продукция рыбоводства обладает не только абсолютной конкурентоспособностью по сравнению с завозной рыбой, но также и потенциалом для реализации ее за пределы республики.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перспективном периоде сохранение действующих мер государственной поддержки рыбово</w:t>
      </w:r>
      <w:r>
        <w:rPr>
          <w:rFonts w:ascii="Times New Roman" w:hAnsi="Times New Roman" w:cs="Times New Roman"/>
          <w:sz w:val="28"/>
          <w:szCs w:val="28"/>
        </w:rPr>
        <w:t xml:space="preserve">дства в Чувашской Республике и реализация запланированных инвестиционных проектов в рыбохозяйственном комплексе региона до 2030 года с общей суммой внебюджетных инвестиций 103,9 млн руб. будет способствовать развитию потенциала данной отрасли в республике.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ind w:firstLine="709"/>
        <w:spacing w:line="360" w:lineRule="auto"/>
        <w:rPr>
          <w:b w:val="0"/>
          <w:bCs w:val="0"/>
          <w:sz w:val="28"/>
        </w:rPr>
      </w:pPr>
      <w:r/>
      <w:bookmarkStart w:id="6" w:name="_Toc176798804"/>
      <w:r>
        <w:rPr>
          <w:b w:val="0"/>
          <w:bCs w:val="0"/>
          <w:sz w:val="28"/>
        </w:rPr>
        <w:t xml:space="preserve">4. Растениеводство</w:t>
      </w:r>
      <w:bookmarkEnd w:id="6"/>
      <w:r>
        <w:rPr>
          <w:b w:val="0"/>
          <w:bCs w:val="0"/>
          <w:sz w:val="28"/>
        </w:rPr>
      </w:r>
      <w:r>
        <w:rPr>
          <w:b w:val="0"/>
          <w:bCs w:val="0"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Чувашской Республике по отрасли растениеводства более 60% объема производства составляет зерно, на овощи и картофель приходится до 30% от общего объема производства отрасли растениеводства в регионе.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Помимо традиционных овощей в республике производится 68,8% российского лука–севка, что составляет 49% от общей потребности страны в целом.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Производство сельскохозяйственной продукции на 1 га посевной площади в республике в 1,5 раза превышает средний показатель по России.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1 января 2024 года </w:t>
      </w:r>
      <w:r>
        <w:rPr>
          <w:rFonts w:ascii="Times New Roman" w:hAnsi="Times New Roman" w:cs="Times New Roman"/>
          <w:sz w:val="28"/>
          <w:szCs w:val="28"/>
        </w:rPr>
        <w:t xml:space="preserve">общая площадь сельскохозяйственных угодий наземного сельскохозяйственного назначения составляла 933,4 тыс. га, в том числе пашни 734,2 тыс. га, многолетних насаждений – 10,0 тыс. га, сенокосов – 31,5 тыс. га, пастбищ – 151,6 тыс. га, залежей – 6,1 тыс. га.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Посевы сельскохозяйственных культур в 2023 году составили 546,0 тыс. га (100,06% к уровню 2022 г.), в том числе: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зерновые и зернобобовые – 301,3 тыс. га (55,2% от общей посевной площади сельскохозяйственных культур в регионе в 2023 году);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кормовые культуры – 187,1 тыс. га (34,3%);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технические культуры – 35,0 тыс. га (6,4%);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картофель – 17,8 тыс. га (3,3%);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овощи – 4,9 тыс. га (0,9%).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валовый сбор составил: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зерновых – 975 тыс. тонн (96,7% к 2022 году);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картофеля – 338 тыс. тонн (102,8%);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овощей открытого и закрытого грунта – 144,4 тыс. тонн (101,0%);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масличные культуры – 37,4 тыс. тонн (115,9%).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объем производства зе</w:t>
      </w:r>
      <w:r>
        <w:rPr>
          <w:rFonts w:ascii="Times New Roman" w:hAnsi="Times New Roman" w:cs="Times New Roman"/>
          <w:sz w:val="28"/>
          <w:szCs w:val="28"/>
        </w:rPr>
        <w:t xml:space="preserve">рновых и зернобобовых культур приходится на Алатырский (10,64% от общего объема производства зерновых и зернобобовых культур региона), Яльчикский (8,61%), Канашский (6,80%), Цивильский (6,85%) и Урмарский (6,52%) муниципальные округа Чувашской Республики.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объемам производства картофеля в Чувашской Республике лидерами являются Батыревский (11,38% от общего объема производства картофеля в регионе), Комсомольский (9,58%), Козловский (7,21%), Чебоксарский (6,78%) и Яльчикский (6,53%) муниципальные округа.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объемам производства овощей – Батыревский (10,24% от объема производства овощей в регионе), Козловский (10,46%), Чебоксарский (9,58%), Моргаушский (8,37%) и Ядринский (6,68%) муниципальные округа.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республике обеспечивается эффективное использование имеющихся земельных ресурсов.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2023 года регион занимал в ПФО: 1 место – по картофелю, хмелю; 2 место – по овощам; 3 место – по зерну.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площадь плодово–ягодных насаждений в Чувашской Республике составляла 3,2 тыс. га, снизившись по сравнению с 2022 годом на 0,4 тыс. га. Основные площади плодово–ягодных насаждений в регионе </w:t>
      </w:r>
      <w:r>
        <w:rPr>
          <w:rFonts w:ascii="Times New Roman" w:hAnsi="Times New Roman" w:cs="Times New Roman"/>
          <w:sz w:val="28"/>
          <w:szCs w:val="28"/>
        </w:rPr>
        <w:t xml:space="preserve">приходятся на Моргаушский (18,95% от общей площади плодово-ягодных насаждений республики в 2023 году), Чебоксарский (14,68%), Батыревский (7,09%) и Канашский (5,41%) муниципальные округа.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Валовый сбор плодово-ягодных насаждений по итогам 2023 года составил 43,1 тыс. тонн. Темп роста валовых сборов плодов и ягод в Чувашской Республике за период 2018–2023 гг. составил 122,55%, в том числе ягод – 107,35%; хмеля – 145,3%.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валовые с</w:t>
      </w:r>
      <w:r>
        <w:rPr>
          <w:rFonts w:ascii="Times New Roman" w:hAnsi="Times New Roman" w:cs="Times New Roman"/>
          <w:sz w:val="28"/>
          <w:szCs w:val="28"/>
        </w:rPr>
        <w:t xml:space="preserve">боры плодов и ягод в регионе приходятся на следующие муниципальные округа: Чебоксарский (18,20% от общего объема валовых сборов плодов и ягод республике в 2023 году), Моргаушский (7,38%), Канашский (7,15%), Цивильский (5,71%) и Мариинско-Посадский (5,51%).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последние несколько лет значительно выросли показатели урожайности плодов, ягод и хмеля в регионе.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2030 году при сохранении действующих объемов государственной поддержки в Чувашской Республике общий объем валовых сборов составит: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зерновых и зернобобовых культур – 1 008,5 тыс. тонн;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картофеля – 339,9 тыс. тонн;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овощей – 147,1 тыс. тонн;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масличных культур – 45,7 тыс. тонн;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плодов и ягод - 50 тыс. тонн, в том числе семечковых культур – 29 тыс. тонн, косточковых культур – 9,3 тыс. тонн, ягод – 11,7 тыс. тонн.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Достижению стратегических задач региона в отрасли растениеводства в перспективном периоде </w:t>
      </w:r>
      <w:r>
        <w:rPr>
          <w:rFonts w:ascii="Times New Roman" w:hAnsi="Times New Roman" w:cs="Times New Roman"/>
          <w:sz w:val="28"/>
          <w:szCs w:val="28"/>
        </w:rPr>
        <w:t xml:space="preserve">до 2030 года будет способствовать дальнейшее развитие импортозамещающих производств в сельском хозяйстве, включая овощеводство, хмелеводство и ягодоводство на основе ресурсосберегающих земледельческих технологий и использования высокопродуктивного отечеств</w:t>
      </w:r>
      <w:r>
        <w:rPr>
          <w:rFonts w:ascii="Times New Roman" w:hAnsi="Times New Roman" w:cs="Times New Roman"/>
          <w:sz w:val="28"/>
          <w:szCs w:val="28"/>
        </w:rPr>
        <w:t xml:space="preserve">енного посевного материала; возделывание новых культур, способных повысить эффективность сельскохозяйственного производства и заполнить возникающие рыночные ниши, в том числе высокомаржинальных культур (горчица, рапс, соя); экологически регламентированное </w:t>
      </w:r>
      <w:r>
        <w:rPr>
          <w:rFonts w:ascii="Times New Roman" w:hAnsi="Times New Roman" w:cs="Times New Roman"/>
          <w:sz w:val="28"/>
          <w:szCs w:val="28"/>
        </w:rPr>
        <w:t xml:space="preserve">использование в сельскохозяйственном производстве земельных, водных и других возобновляемых природных ресурсов, а также повышение плодородия почв до оптимального уровня; поддержка элитного семеноводства сельскохозяйственных товаропроизводителей республики.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Прогнозные значения целевых показателей растениеводства за 2025–2030 годы представлены в Приложении 2.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ind w:firstLine="709"/>
        <w:spacing w:line="360" w:lineRule="auto"/>
        <w:rPr>
          <w:b w:val="0"/>
          <w:bCs w:val="0"/>
          <w:sz w:val="28"/>
        </w:rPr>
      </w:pPr>
      <w:r/>
      <w:bookmarkStart w:id="7" w:name="_Toc176798805"/>
      <w:r>
        <w:rPr>
          <w:b w:val="0"/>
          <w:bCs w:val="0"/>
          <w:sz w:val="28"/>
        </w:rPr>
        <w:t xml:space="preserve">5. Хмелеводство</w:t>
      </w:r>
      <w:bookmarkEnd w:id="7"/>
      <w:r>
        <w:rPr>
          <w:b w:val="0"/>
          <w:bCs w:val="0"/>
          <w:sz w:val="28"/>
        </w:rPr>
      </w:r>
      <w:r>
        <w:rPr>
          <w:b w:val="0"/>
          <w:bCs w:val="0"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Хмелеводство является визитной карточкой Чувашской Республики.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Чувашская Республика – самый северный регион возделывания хмеля в мире. Благодаря такому расположению и достаточно морозным зимам происходит гибель большинства </w:t>
      </w:r>
      <w:r>
        <w:rPr>
          <w:rFonts w:ascii="Times New Roman" w:hAnsi="Times New Roman" w:cs="Times New Roman"/>
          <w:sz w:val="28"/>
          <w:szCs w:val="28"/>
        </w:rPr>
        <w:t xml:space="preserve">зимующих форм вредителей хмеля. Если в основных хмелепроизводящих странах производится до 12 химических обработок за вегетационный период, то в Чувашии только 2–3, что позволяет говорить об экологической чистоте чувашского хмеля, в отличии от европейского.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данным внешнеторгового оборота страны общий объем импорта хмеля и хмелепродуктов в Россию составляет 4 458 тонн в год. П</w:t>
      </w:r>
      <w:r>
        <w:rPr>
          <w:rFonts w:ascii="Times New Roman" w:hAnsi="Times New Roman" w:cs="Times New Roman"/>
          <w:sz w:val="28"/>
          <w:szCs w:val="28"/>
        </w:rPr>
        <w:t xml:space="preserve">роизводство хмеля в Российской Федерации составляет 4,9% от общего объема потребляемого хмеля по России, остальные 95,1% завозятся из–за рубежа. Основным хмелепроизводящим регионом России является Чувашская Республика. В 2023 году на территории Чувашской Р</w:t>
      </w:r>
      <w:r>
        <w:rPr>
          <w:rFonts w:ascii="Times New Roman" w:hAnsi="Times New Roman" w:cs="Times New Roman"/>
          <w:sz w:val="28"/>
          <w:szCs w:val="28"/>
        </w:rPr>
        <w:t xml:space="preserve">еспублике действовало 10 организаций, заявивших о возможности выращивать хмель. Фактически производством занималось 8 хозяйств. По данным Росстата площадь хмельников региона составляла 183 га, валовый сбор – 189 тонн, что составляет 4% потребности России.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Чувашская Республика обладает значительным потенциалом для возрождения хмелеводства в России. Так, Чувашский научно–исследовательский институт сельского хозяйства – филиал ФГБНУ «Федеральный аграрный научный центр </w:t>
      </w:r>
      <w:r>
        <w:rPr>
          <w:rFonts w:ascii="Times New Roman" w:hAnsi="Times New Roman" w:cs="Times New Roman"/>
          <w:sz w:val="28"/>
          <w:szCs w:val="28"/>
        </w:rPr>
        <w:t xml:space="preserve">Северо</w:t>
      </w:r>
      <w:r>
        <w:rPr>
          <w:rFonts w:ascii="Times New Roman" w:hAnsi="Times New Roman" w:cs="Times New Roman"/>
          <w:sz w:val="28"/>
          <w:szCs w:val="28"/>
        </w:rPr>
        <w:t xml:space="preserve">–Востока имени Н.В. </w:t>
      </w:r>
      <w:r>
        <w:rPr>
          <w:rFonts w:ascii="Times New Roman" w:hAnsi="Times New Roman" w:cs="Times New Roman"/>
          <w:sz w:val="28"/>
          <w:szCs w:val="28"/>
        </w:rPr>
        <w:t xml:space="preserve">Рудницкого» поддерживает одну из трех мировых, «золотую» коллекцию около 250 сортов хмеля.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Переработка хмеля в хмелепродукцию путем гранулирования осуществляется на предприятиях региона АО «Чувашхмельпром» и ООО «</w:t>
      </w:r>
      <w:r>
        <w:rPr>
          <w:rFonts w:ascii="Times New Roman" w:hAnsi="Times New Roman" w:cs="Times New Roman"/>
          <w:sz w:val="28"/>
          <w:szCs w:val="28"/>
        </w:rPr>
        <w:t xml:space="preserve">Агроресурсы</w:t>
      </w:r>
      <w:r>
        <w:rPr>
          <w:rFonts w:ascii="Times New Roman" w:hAnsi="Times New Roman" w:cs="Times New Roman"/>
          <w:sz w:val="28"/>
          <w:szCs w:val="28"/>
        </w:rPr>
        <w:t xml:space="preserve">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Существенное внимание в республике уделяется подготовке кадров для отрасли хмелеводства. ФГБОУ ВО «Чувашский государственный аграрный университет» осуществляет подготовку специалистов по данному направлению.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базе университета создан Центр компетенций «Чувашия – центр производства хмеля» (далее – Центр компетенций), на базе которого проводятся передовые научные исследования в производства, переработки и селекции «зеленого золота». </w:t>
      </w:r>
      <w:r>
        <w:rPr>
          <w:rFonts w:ascii="Times New Roman" w:hAnsi="Times New Roman" w:cs="Times New Roman"/>
          <w:sz w:val="28"/>
          <w:szCs w:val="28"/>
        </w:rPr>
        <w:t xml:space="preserve">Ученые Центра компетенций создали два новых сорта чувашского хмеля: «Ароматный» и «Сувар», которые включены в Госреестр селекционных достижений. Также заложен маточник сортов хмеля перспективной селекции площадью 2,1 га с возможностью увеличения до 6 га.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была разработана система фитосанитарного мониторинга основных (семи) бактериальных и вирусных болезней хмеля с использованием метода ПЦР–анализа, в период</w:t>
      </w:r>
      <w:r>
        <w:rPr>
          <w:rFonts w:ascii="Times New Roman" w:hAnsi="Times New Roman" w:cs="Times New Roman"/>
          <w:sz w:val="28"/>
          <w:szCs w:val="28"/>
        </w:rPr>
        <w:t xml:space="preserve"> 2024–2025 гг. будут подготовлены тест–системы еще на пять основных заболеваний хмеля. Также разработана первая отечественная методика определения сортовой принадлежности посадочного материала хмеля, которая очень востребована хмелеводческими хозяйствами.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Отдельно в Чувашской Республике решаются задачи по технической обеспеченности отрасли хмелеводства. В подразделении компании «</w:t>
      </w:r>
      <w:r>
        <w:rPr>
          <w:rFonts w:ascii="Times New Roman" w:hAnsi="Times New Roman" w:cs="Times New Roman"/>
          <w:sz w:val="28"/>
          <w:szCs w:val="28"/>
        </w:rPr>
        <w:t xml:space="preserve">Техмашхолдинг</w:t>
      </w:r>
      <w:r>
        <w:rPr>
          <w:rFonts w:ascii="Times New Roman" w:hAnsi="Times New Roman" w:cs="Times New Roman"/>
          <w:sz w:val="28"/>
          <w:szCs w:val="28"/>
        </w:rPr>
        <w:t xml:space="preserve">» – завод «</w:t>
      </w:r>
      <w:r>
        <w:rPr>
          <w:rFonts w:ascii="Times New Roman" w:hAnsi="Times New Roman" w:cs="Times New Roman"/>
          <w:sz w:val="28"/>
          <w:szCs w:val="28"/>
        </w:rPr>
        <w:t xml:space="preserve">Техма</w:t>
      </w:r>
      <w:r>
        <w:rPr>
          <w:rFonts w:ascii="Times New Roman" w:hAnsi="Times New Roman" w:cs="Times New Roman"/>
          <w:sz w:val="28"/>
          <w:szCs w:val="28"/>
        </w:rPr>
        <w:t xml:space="preserve">–Агромаш» (г. Чебоксары) ведется производств</w:t>
      </w:r>
      <w:r>
        <w:rPr>
          <w:rFonts w:ascii="Times New Roman" w:hAnsi="Times New Roman" w:cs="Times New Roman"/>
          <w:sz w:val="28"/>
          <w:szCs w:val="28"/>
        </w:rPr>
        <w:t xml:space="preserve">о новой отечественной машины для уборки хмеля (хмелеуборочного комбайна) и хмелесушильной установки. Тем самым, будет завершен процесс создания всего комплекса машин и оборудования для выращивания, уборки и переработки хмеля. Хмелеводческими предприятиями </w:t>
      </w:r>
      <w:r>
        <w:rPr>
          <w:rFonts w:ascii="Times New Roman" w:hAnsi="Times New Roman" w:cs="Times New Roman"/>
          <w:sz w:val="28"/>
          <w:szCs w:val="28"/>
        </w:rPr>
        <w:t xml:space="preserve">республики также апробируется техника, произведенная в Китайской Народной Республике.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продвижения продукции хмеля в Чувашской Республике в 2024 году в третий раз состоится чебоксарский фестиваль «Зеленое золото России–2024». Деловая программа в рамках фестиваля проводится в целях обсуждения акт</w:t>
      </w:r>
      <w:r>
        <w:rPr>
          <w:rFonts w:ascii="Times New Roman" w:hAnsi="Times New Roman" w:cs="Times New Roman"/>
          <w:sz w:val="28"/>
          <w:szCs w:val="28"/>
        </w:rPr>
        <w:t xml:space="preserve">уальных вопросов развития хмелеводства в стране, селекции хмеля, развития рынка пивоваренного хмеля и пивоварения. В 2023 году Фестиваль посетило более 45 тыс. жителей и гостей республики, приняли участие 51 участник, в том числе 21 пивоваренная компания.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Чувашской Республикой осуществляются мероприятия по привлечению инвестиций в регион для развития отрасли хмелеводства. Так, 6 октября 2023 года</w:t>
      </w:r>
      <w:r>
        <w:rPr>
          <w:rFonts w:ascii="Times New Roman" w:hAnsi="Times New Roman" w:cs="Times New Roman"/>
          <w:sz w:val="28"/>
          <w:szCs w:val="28"/>
        </w:rPr>
        <w:t xml:space="preserve"> на Всероссийской агропромышленной выставке «Золотая осень – 2023» было подписано соглашение между Чувашской Республикой и ООО «Пивоваренная компания «Балтика», в рамках которого планируется развивать производство хмеля на территории Чувашской Республики.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</w:t>
      </w:r>
      <w:r>
        <w:rPr>
          <w:rFonts w:ascii="Times New Roman" w:hAnsi="Times New Roman" w:cs="Times New Roman"/>
          <w:sz w:val="28"/>
          <w:szCs w:val="28"/>
        </w:rPr>
        <w:t xml:space="preserve">х развития отрасли хмелеводства на перспективу до 2030 года Правительством Чувашской Республики разработан проект индивидуальной программы социально-экономического развития (далее – ИПСЭР) Чувашской Республики до 2030 года «Развитие отрасли хмелеводства».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ИПСЭР 2.0 в 2025–2030 годах планируется: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закладка хмельников, строительство хмелешпалер, уход за хмельниками;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закупка хмелеуборочных комбайнов и хмелесушилок, закупка тракторов, спецтехники, оборудования по переработке (</w:t>
      </w:r>
      <w:r>
        <w:rPr>
          <w:rFonts w:ascii="Times New Roman" w:hAnsi="Times New Roman" w:cs="Times New Roman"/>
          <w:sz w:val="28"/>
          <w:szCs w:val="28"/>
        </w:rPr>
        <w:t xml:space="preserve">грануляторов</w:t>
      </w:r>
      <w:r>
        <w:rPr>
          <w:rFonts w:ascii="Times New Roman" w:hAnsi="Times New Roman" w:cs="Times New Roman"/>
          <w:sz w:val="28"/>
          <w:szCs w:val="28"/>
        </w:rPr>
        <w:t xml:space="preserve">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финансирование Центра компетенций.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Средства, </w:t>
      </w:r>
      <w:r>
        <w:rPr>
          <w:rFonts w:ascii="Times New Roman" w:hAnsi="Times New Roman" w:cs="Times New Roman"/>
          <w:sz w:val="28"/>
          <w:szCs w:val="28"/>
        </w:rPr>
        <w:t xml:space="preserve">выделяемые в рамках Индивидуальной программы социально–экономического развития Чувашской Республики до 2030 года, планируется направлять в виде грантов на хмельники «под ключ» в рамках замкнутого цикла на реализацию проектов на 20 га, 60 га и 90 га. Кроме </w:t>
      </w:r>
      <w:r>
        <w:rPr>
          <w:rFonts w:ascii="Times New Roman" w:hAnsi="Times New Roman" w:cs="Times New Roman"/>
          <w:sz w:val="28"/>
          <w:szCs w:val="28"/>
        </w:rPr>
        <w:t xml:space="preserve">средств, выделяемых в рамках ИПСЭР, будут сохранены все действующие меры господдержки с учетом софинансирования.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мероприятий по развитию хмелеводства в регионе планируется как на базе 10 действующих хмелеводческих хозяйст</w:t>
      </w:r>
      <w:r>
        <w:rPr>
          <w:rFonts w:ascii="Times New Roman" w:hAnsi="Times New Roman" w:cs="Times New Roman"/>
          <w:sz w:val="28"/>
          <w:szCs w:val="28"/>
        </w:rPr>
        <w:t xml:space="preserve">в Чувашской Республики, так и за счет привлечения в отрасль новых инвесторов, а также индивидуальных предпринимателей. Так, новые хмельники в 2024 году закладывает на территории республики ООО «Пивоваренная компания «Балтика», ООО «Хмель Отчизны» и другие.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Планируется доведение площади хмельников в плодоносящем возрасте до 2 000 га к 2032 году, что позвол</w:t>
      </w:r>
      <w:r>
        <w:rPr>
          <w:rFonts w:ascii="Times New Roman" w:hAnsi="Times New Roman" w:cs="Times New Roman"/>
          <w:sz w:val="28"/>
          <w:szCs w:val="28"/>
        </w:rPr>
        <w:t xml:space="preserve">ит собрать 3,7 тыс. тонн хмеля. Для организации производства и переработки предполагается сформировать парк техники и оборудования. Для внедрения инновационных технологий предусмотрено финансирование Центра компетенций «Чувашия – центр производства хмеля».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2030 году при достаточном уровне государственной поддержки имеется возможность импортозамещения Чувашией до 50% потребности перерабатывающих предприятий России в сырье – хмеле.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ind w:firstLine="709"/>
        <w:spacing w:line="360" w:lineRule="auto"/>
        <w:rPr>
          <w:b w:val="0"/>
          <w:bCs w:val="0"/>
          <w:sz w:val="28"/>
        </w:rPr>
      </w:pPr>
      <w:r/>
      <w:bookmarkStart w:id="8" w:name="_Toc176798806"/>
      <w:r>
        <w:rPr>
          <w:b w:val="0"/>
          <w:bCs w:val="0"/>
          <w:sz w:val="28"/>
        </w:rPr>
        <w:t xml:space="preserve">6. Животноводство</w:t>
      </w:r>
      <w:bookmarkEnd w:id="8"/>
      <w:r>
        <w:rPr>
          <w:b w:val="0"/>
          <w:bCs w:val="0"/>
          <w:sz w:val="28"/>
        </w:rPr>
      </w:r>
      <w:r>
        <w:rPr>
          <w:b w:val="0"/>
          <w:bCs w:val="0"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/>
      <w:bookmarkStart w:id="9" w:name="_Hlk175330762"/>
      <w:r>
        <w:rPr>
          <w:rFonts w:ascii="Times New Roman" w:hAnsi="Times New Roman" w:cs="Times New Roman"/>
          <w:sz w:val="28"/>
          <w:szCs w:val="28"/>
        </w:rPr>
        <w:t xml:space="preserve">Основными отраслями животноводства в Чувашской Республике являются мясомолочное скотоводство, свиноводство, птицеводство и пчеловодство. В республике также имеются специализированные предприятия, занимающиеся прудовым рыбоводством.</w:t>
      </w:r>
      <w:bookmarkEnd w:id="9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Производство животноводческой продукции в хозяйствах всех категориях за 2023 год составило: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скота и птицы в живом весе – 118,7 тыс. тонн (101,3% к 2022 году);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молока – 478,1 тыс. тонн (103,1%);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яиц – 351,9 млн. штук (97,9%).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долю сельскохозяйственных организаций приходится 36,7 % от общего поголовья крупного рогатого скота (далее – КРС) в Чувашской </w:t>
      </w:r>
      <w:r>
        <w:rPr>
          <w:rFonts w:ascii="Times New Roman" w:hAnsi="Times New Roman" w:cs="Times New Roman"/>
          <w:sz w:val="28"/>
          <w:szCs w:val="28"/>
        </w:rPr>
        <w:t xml:space="preserve">Республики (доля хозяйств населения и КФХ составляет 51,4% и 11,9%, соответственно); 82,3% от общего поголовья свиней (доля хозяйств населения и КФХ</w:t>
      </w:r>
      <w:r>
        <w:rPr>
          <w:rFonts w:ascii="Times New Roman" w:hAnsi="Times New Roman" w:cs="Times New Roman"/>
          <w:sz w:val="28"/>
          <w:szCs w:val="28"/>
        </w:rPr>
        <w:t xml:space="preserve"> составляла 17,4% и 0,3%, соответственно); 0,3% от общего поголовья овец и коз (доля хозяйств населения и КФХ составляла 95,8% и 3,9%, соответственно); 77,1% от общего поголовья птицы (доля хозяйств населения и КФХ составляла 17,8% и 5,1%, соответственно).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(по сравнению с 2022 годом) отмечается увеличение производства таких продуктов животноводства по всем категориям хозяйств, как производство скота и птицы на убой (в живом весе), молока, при одновременном снижении объемов производства яиц.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1 января 2024 года поголовье скота и птицы в хозяйствах всех категориях составило: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крупного рогатого скота – 197,2 тыс. голов (99,3% к 2022 г.), в том числе коров – 86,6 тыс. голов (99,7%);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свиней – 119,3 тыс. голов (95,0%);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овец и коз – 142,6 тыс. голов (95,1%);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птицы – 4 739,9 тыс. голов (89,4%).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разрезе муниципальных округов Чувашской Республики лидирующие позиции: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 численности КРС занимают Вурнарский (8,52% от общей численности поголовья КРС в регионе), Батыревский (9,65%), Чебоксарский (9,55%), Моргаушский (7,28%) и Комсомольский (7,28%) муниципальные округа;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 численности поголовья свиней – Цивильский (31,56% от общей численности поголовья свиней в регионе), Батыревский (16,61%), Вурнарский (13,82%), Чебоксарский (13,72%) и Ибресинский (8,38%) муниципальные округа;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 численности овец и коз – Цивильский (9,89% от общей численности поголовья овец и коз в регионе), Канашский (8,51%), Чебоксарский (7,26%), Урмарский (7,08%) и Моргаушский (7,1%) муниципальные округа;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 численности поголовья птицы – Чебоксарский (56,05% от общей численности поголовья птицы в регионе) и Моргаушский (23,7%) муниципальные округа.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разрезе категорий хозяйств Чувашской Республики наблюдается разнонаправленн</w:t>
      </w:r>
      <w:r>
        <w:rPr>
          <w:rFonts w:ascii="Times New Roman" w:hAnsi="Times New Roman" w:cs="Times New Roman"/>
          <w:sz w:val="28"/>
          <w:szCs w:val="28"/>
        </w:rPr>
        <w:t xml:space="preserve">ая динамика численности поголовья в зависимости от категории хозяйства и вида скота и птицы. Так, отмечается рост поголовья коров у сельскохозяйственных организаций и КФХ, при снижении численности поголовья в хозяйствах населения. В свою очередь, снижение </w:t>
      </w:r>
      <w:r>
        <w:rPr>
          <w:rFonts w:ascii="Times New Roman" w:hAnsi="Times New Roman" w:cs="Times New Roman"/>
          <w:sz w:val="28"/>
          <w:szCs w:val="28"/>
        </w:rPr>
        <w:t xml:space="preserve">численности поголовья свиней, коз и овец в целом за период анализа происходило у всех категорий хозяйств. Положительная динамика поголовья птиц отмечалась у КФХ и хозяйств населения, при одновременном снижении показателя у сельскохозяйственных организаций.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средний надой молока на 1 корову в Чувашской Республ</w:t>
      </w:r>
      <w:r>
        <w:rPr>
          <w:rFonts w:ascii="Times New Roman" w:hAnsi="Times New Roman" w:cs="Times New Roman"/>
          <w:sz w:val="28"/>
          <w:szCs w:val="28"/>
        </w:rPr>
        <w:t xml:space="preserve">ике составлял 7 430 кг (на 6,3% больше, чем в 2022 году), при этом удельный вес племенных коров составлял 46,2%, снизившись по сравнению с 2022 годом на 0,9 п.п. Средняя яйценоскость кур–несушек по итогам 2023 года составляла 326 штук (100,9% к 2022 году).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/>
      <w:bookmarkStart w:id="10" w:name="_Hlk175331253"/>
      <w:r>
        <w:rPr>
          <w:rFonts w:ascii="Times New Roman" w:hAnsi="Times New Roman" w:cs="Times New Roman"/>
          <w:sz w:val="28"/>
          <w:szCs w:val="28"/>
        </w:rPr>
        <w:t xml:space="preserve">Особое внимание в Чувашской Республике уделяется развитию племенного животноводства. В настоящее время в государственном племенном регистре зарегистрировано 25 организаций</w:t>
      </w:r>
      <w:r>
        <w:rPr>
          <w:rFonts w:ascii="Times New Roman" w:hAnsi="Times New Roman" w:cs="Times New Roman"/>
          <w:sz w:val="28"/>
          <w:szCs w:val="28"/>
        </w:rPr>
        <w:t xml:space="preserve">, осуществляющих деятельность в области племенного животноводства, в том числе: крупного рогатого скота молочного направления продуктивности – 14, мясного направления продуктивности – 1, сельскохозяйственной птицы – 2, лошадей – 1, рыб – 1, центр информаци</w:t>
      </w:r>
      <w:r>
        <w:rPr>
          <w:rFonts w:ascii="Times New Roman" w:hAnsi="Times New Roman" w:cs="Times New Roman"/>
          <w:sz w:val="28"/>
          <w:szCs w:val="28"/>
        </w:rPr>
        <w:t xml:space="preserve">онного обеспечения – 1, лаборатории селекционного контроля качества молока – 2, организация по искусственному осеменению сельскохозяйственных животных – 1, организация по трансплантации эмбрионов сельскохозяйственных животных – 1, ассистентская служба – 1.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1 января 2024 года в республике имеется 12 914 голов племенных коров (+4,5 % к наличию на 1 января 2023 года). Удельный вес племенного </w:t>
      </w:r>
      <w:r>
        <w:rPr>
          <w:rFonts w:ascii="Times New Roman" w:hAnsi="Times New Roman" w:cs="Times New Roman"/>
          <w:sz w:val="28"/>
          <w:szCs w:val="28"/>
        </w:rPr>
        <w:t xml:space="preserve">маточного поголовья составляет 47%, уменьшилась на 0,9% (было 47,9% на 1 января 2023 года).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Племенная база молочного</w:t>
      </w:r>
      <w:r>
        <w:rPr>
          <w:rFonts w:ascii="Times New Roman" w:hAnsi="Times New Roman" w:cs="Times New Roman"/>
          <w:sz w:val="28"/>
          <w:szCs w:val="28"/>
        </w:rPr>
        <w:t xml:space="preserve"> скотоводства представлена животными, относящимися к голштинской и черно-пестрой породам. Средняя молочная продуктивность племенных коров за 2023 год составил 8391 кг (+7,8 % к аналогичному периоду 2022 года и 112,9% к республиканскому значению, 7430 кг).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Охват искусственным осеменением коров в племенных хозяйствах составляет 100%.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Мясное скотоводство представлено животными герефордской породы, коневодство – русской рысистой, птицеводство – гусями </w:t>
      </w:r>
      <w:r>
        <w:rPr>
          <w:rFonts w:ascii="Times New Roman" w:hAnsi="Times New Roman" w:cs="Times New Roman"/>
          <w:sz w:val="28"/>
          <w:szCs w:val="28"/>
        </w:rPr>
        <w:t xml:space="preserve">линдовской</w:t>
      </w:r>
      <w:r>
        <w:rPr>
          <w:rFonts w:ascii="Times New Roman" w:hAnsi="Times New Roman" w:cs="Times New Roman"/>
          <w:sz w:val="28"/>
          <w:szCs w:val="28"/>
        </w:rPr>
        <w:t xml:space="preserve"> породы и курами кросса росс 308, рыбоводство – карпами чувашской чешуйчатой породы.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получения экономически рентабельного поголовья крупного рогатого скота и ядра для пл</w:t>
      </w:r>
      <w:r>
        <w:rPr>
          <w:rFonts w:ascii="Times New Roman" w:hAnsi="Times New Roman" w:cs="Times New Roman"/>
          <w:sz w:val="28"/>
          <w:szCs w:val="28"/>
        </w:rPr>
        <w:t xml:space="preserve">еменной работы планируется создание регионального проектного офиса по развитию геномной селекции коров. Основными задачами, которого являются молекулярно-генетический анализ, сбор молочных и экстерьерных данных, обучающие программы профильных специалистов.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племенное животноводство потенциально может стать ключевым драйвером развития отрасли животноводства в Чувашской Республике.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Птицеводство – наиболее индустриализированная отрасль животноводства Чувашской Республики, оно представлено как мясным, так и яичным направлением.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23"/>
        <w:ind w:firstLine="709"/>
        <w:jc w:val="both"/>
        <w:spacing w:line="360" w:lineRule="auto"/>
        <w:rPr>
          <w:rFonts w:eastAsiaTheme="minorHAnsi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sz w:val="28"/>
          <w:szCs w:val="28"/>
          <w:lang w:eastAsia="en-US"/>
          <w14:ligatures w14:val="standardContextual"/>
        </w:rPr>
        <w:t xml:space="preserve">На территории Чувашской Республики в настоящее время функционируют:</w:t>
      </w:r>
      <w:r>
        <w:rPr>
          <w:rFonts w:eastAsiaTheme="minorHAnsi"/>
          <w:sz w:val="28"/>
          <w:szCs w:val="28"/>
          <w:lang w:eastAsia="en-US"/>
          <w14:ligatures w14:val="standardContextual"/>
        </w:rPr>
      </w:r>
      <w:r>
        <w:rPr>
          <w:rFonts w:eastAsiaTheme="minorHAnsi"/>
          <w:sz w:val="28"/>
          <w:szCs w:val="28"/>
          <w:lang w:eastAsia="en-US"/>
          <w14:ligatures w14:val="standardContextual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2 птицефабрики яичного птицеводства: ОАО «Птицефабрика «Моргаушская», ООО «Племенной птицеводческий завод «Канашский»;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3 крупных КФХ яичного птицеводства: КФХ Михайлов С.В., КФХ ИП </w:t>
      </w:r>
      <w:r>
        <w:rPr>
          <w:rFonts w:ascii="Times New Roman" w:hAnsi="Times New Roman" w:cs="Times New Roman"/>
          <w:sz w:val="28"/>
          <w:szCs w:val="28"/>
        </w:rPr>
        <w:t xml:space="preserve">Сумкова</w:t>
      </w:r>
      <w:r>
        <w:rPr>
          <w:rFonts w:ascii="Times New Roman" w:hAnsi="Times New Roman" w:cs="Times New Roman"/>
          <w:sz w:val="28"/>
          <w:szCs w:val="28"/>
        </w:rPr>
        <w:t xml:space="preserve"> К.Н., КФХ Ершова А.Н.;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6 птицефабрик мясного направления: ООО «Мега ЮРМА», ОП «</w:t>
      </w:r>
      <w:r>
        <w:rPr>
          <w:rFonts w:ascii="Times New Roman" w:hAnsi="Times New Roman" w:cs="Times New Roman"/>
          <w:sz w:val="28"/>
          <w:szCs w:val="28"/>
        </w:rPr>
        <w:t xml:space="preserve">Атлашевское</w:t>
      </w:r>
      <w:r>
        <w:rPr>
          <w:rFonts w:ascii="Times New Roman" w:hAnsi="Times New Roman" w:cs="Times New Roman"/>
          <w:sz w:val="28"/>
          <w:szCs w:val="28"/>
        </w:rPr>
        <w:t xml:space="preserve">», ООО «Птицефабрика «</w:t>
      </w:r>
      <w:r>
        <w:rPr>
          <w:rFonts w:ascii="Times New Roman" w:hAnsi="Times New Roman" w:cs="Times New Roman"/>
          <w:sz w:val="28"/>
          <w:szCs w:val="28"/>
        </w:rPr>
        <w:t xml:space="preserve">Акашевская</w:t>
      </w:r>
      <w:r>
        <w:rPr>
          <w:rFonts w:ascii="Times New Roman" w:hAnsi="Times New Roman" w:cs="Times New Roman"/>
          <w:sz w:val="28"/>
          <w:szCs w:val="28"/>
        </w:rPr>
        <w:t xml:space="preserve">», ООО «ВДС», ООО «Тамбовский бройлер» ОП «Чувашское» (ГАП «Ресурс»).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а также ООО «</w:t>
      </w:r>
      <w:r>
        <w:rPr>
          <w:rFonts w:ascii="Times New Roman" w:hAnsi="Times New Roman" w:cs="Times New Roman"/>
          <w:sz w:val="28"/>
          <w:szCs w:val="28"/>
        </w:rPr>
        <w:t xml:space="preserve">Вурнарец</w:t>
      </w:r>
      <w:r>
        <w:rPr>
          <w:rFonts w:ascii="Times New Roman" w:hAnsi="Times New Roman" w:cs="Times New Roman"/>
          <w:sz w:val="28"/>
          <w:szCs w:val="28"/>
        </w:rPr>
        <w:t xml:space="preserve">» – племенной завод по разведению гусей </w:t>
      </w:r>
      <w:r>
        <w:rPr>
          <w:rFonts w:ascii="Times New Roman" w:hAnsi="Times New Roman" w:cs="Times New Roman"/>
          <w:sz w:val="28"/>
          <w:szCs w:val="28"/>
        </w:rPr>
        <w:t xml:space="preserve">Линдовской</w:t>
      </w:r>
      <w:r>
        <w:rPr>
          <w:rFonts w:ascii="Times New Roman" w:hAnsi="Times New Roman" w:cs="Times New Roman"/>
          <w:sz w:val="28"/>
          <w:szCs w:val="28"/>
        </w:rPr>
        <w:t xml:space="preserve"> породы и ООО «Вурнарский инкубаторно-птицеводческая станция».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Производство яиц во всех категориях хозяйств за 2023 год составил 351,9 млн штук (97,9% по отношению к 2022 году).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Производство мяса птицы в хозяйствах всех категорий за 2023 год составил 58 тыс. тонн (101,1% по отношению к 2022 году) или 48,7% от общего производства скота и птицы на убой в живом весе в 2023 году.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Важным условием успешного развития отрасли животноводства является кормовая база.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данным</w:t>
      </w:r>
      <w:r>
        <w:rPr>
          <w:rFonts w:ascii="Times New Roman" w:hAnsi="Times New Roman" w:cs="Times New Roman"/>
          <w:sz w:val="28"/>
          <w:szCs w:val="28"/>
        </w:rPr>
        <w:t xml:space="preserve"> Территориального органа федеральной службы государственной статистики по Чувашской Республике в Чувашской Республике производством кормов для сельскохозяйственных животных (кроме муки и гранул люцерны) занимаются 118 крупных и средних, малых предприятий.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республике действуют 2 крупных комбикормовых завода: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обособленное подразделение «Алатырский комбикормовый завод» – по приготовлению комбикормов для кормления выращиваемого поголовья птицы,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ООО «Агрофирма Велес» – изготавливает полнорационные комбикорма для всех видов сельскохозяйственных животных.</w:t>
      </w:r>
      <w:bookmarkEnd w:id="10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стратегическими задачами региона в отрасли животноводства в перспективном периоде до 2030 года являются: наращивание объемов производства мяса и молока за счет улучшения генетического потенциала животных, сохранения государственной поддержки </w:t>
      </w:r>
      <w:r>
        <w:rPr>
          <w:rFonts w:ascii="Times New Roman" w:hAnsi="Times New Roman" w:cs="Times New Roman"/>
          <w:sz w:val="28"/>
          <w:szCs w:val="28"/>
        </w:rPr>
        <w:t xml:space="preserve">племенных организаций, создания благоприятных условий для привлечения инвестиций в указанн</w:t>
      </w:r>
      <w:r>
        <w:rPr>
          <w:rFonts w:ascii="Times New Roman" w:hAnsi="Times New Roman" w:cs="Times New Roman"/>
          <w:sz w:val="28"/>
          <w:szCs w:val="28"/>
        </w:rPr>
        <w:t xml:space="preserve">ую сферу деятельности, внедрения энергосберегающих технологий; ежегодное увеличение скотомест, в том числе в среднесрочной перспективе; развитие мясного птицеводства за счет реализации инвестиционных проектов; перевод системы животноводства на высокоинтенс</w:t>
      </w:r>
      <w:r>
        <w:rPr>
          <w:rFonts w:ascii="Times New Roman" w:hAnsi="Times New Roman" w:cs="Times New Roman"/>
          <w:sz w:val="28"/>
          <w:szCs w:val="28"/>
        </w:rPr>
        <w:t xml:space="preserve">ивные формы производства: использование энергонасыщенных кормов, модернизацию всех технологических процессов, активное использование ветеринарных препаратов для профилактики и борьбы с болезнями животных; укрепление племенной базы, повышение на этой основе</w:t>
      </w:r>
      <w:r>
        <w:rPr>
          <w:rFonts w:ascii="Times New Roman" w:hAnsi="Times New Roman" w:cs="Times New Roman"/>
          <w:sz w:val="28"/>
          <w:szCs w:val="28"/>
        </w:rPr>
        <w:t xml:space="preserve"> генетического потенциала всех видов сельскохозяйственных животных; формирование мясного скотоводства, создание специализированных хозяйств по откорму крупного рогатого скота мясных пород, что позволит увеличить объемы производства высококачественной говяд</w:t>
      </w:r>
      <w:r>
        <w:rPr>
          <w:rFonts w:ascii="Times New Roman" w:hAnsi="Times New Roman" w:cs="Times New Roman"/>
          <w:sz w:val="28"/>
          <w:szCs w:val="28"/>
        </w:rPr>
        <w:t xml:space="preserve">ины; увеличение поголовья и продуктивности скота за счет роста поголовья коров в крестьянских (фермерских) хозяйств, претендующих на получение государственной поддержки в виде грантов; проведение необходимой технической и технологической модернизации ферм.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Прогнозные значения целевых показателей за 2025–2030 годы представлены в Приложении 2.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ind w:firstLine="709"/>
        <w:spacing w:line="360" w:lineRule="auto"/>
        <w:rPr>
          <w:b w:val="0"/>
          <w:bCs w:val="0"/>
          <w:sz w:val="28"/>
        </w:rPr>
      </w:pPr>
      <w:r/>
      <w:bookmarkStart w:id="11" w:name="_Toc176798807"/>
      <w:r>
        <w:rPr>
          <w:b w:val="0"/>
          <w:bCs w:val="0"/>
          <w:sz w:val="28"/>
        </w:rPr>
        <w:t xml:space="preserve">7. Техническая оснащенность агропромышленного комплекса</w:t>
      </w:r>
      <w:bookmarkEnd w:id="11"/>
      <w:r>
        <w:rPr>
          <w:b w:val="0"/>
          <w:bCs w:val="0"/>
          <w:sz w:val="28"/>
        </w:rPr>
      </w:r>
      <w:r>
        <w:rPr>
          <w:b w:val="0"/>
          <w:bCs w:val="0"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/>
      <w:bookmarkStart w:id="12" w:name="_Hlk175331409"/>
      <w:r>
        <w:rPr>
          <w:rFonts w:ascii="Times New Roman" w:hAnsi="Times New Roman" w:cs="Times New Roman"/>
          <w:sz w:val="28"/>
          <w:szCs w:val="28"/>
        </w:rPr>
        <w:t xml:space="preserve">В настоящее вре</w:t>
      </w:r>
      <w:r>
        <w:rPr>
          <w:rFonts w:ascii="Times New Roman" w:hAnsi="Times New Roman" w:cs="Times New Roman"/>
          <w:sz w:val="28"/>
          <w:szCs w:val="28"/>
        </w:rPr>
        <w:t xml:space="preserve">мя количество выбывающей сельскохозяйственной техники в Чувашской Республике превышает количество приобретаемой техники. Доля сельскохозяйственной техники со сроком службы более 10 лет составляет 45%, при этом средняя нагрузка на неё превышает оптимальную.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2020 года в регионе было принято решение о выделении средств из респуб</w:t>
      </w:r>
      <w:r>
        <w:rPr>
          <w:rFonts w:ascii="Times New Roman" w:hAnsi="Times New Roman" w:cs="Times New Roman"/>
          <w:sz w:val="28"/>
          <w:szCs w:val="28"/>
        </w:rPr>
        <w:t xml:space="preserve">ликанского бюджета Чувашской Республики на увеличение субсидирования затрат при приобретении сельскохозяйственной техники с 15% до 40% (с 2023 года – до 45% на отдельные виды техники). Кроме того был расширен перечень субсидируемой техники, включена также </w:t>
      </w:r>
      <w:r>
        <w:rPr>
          <w:rFonts w:ascii="Times New Roman" w:hAnsi="Times New Roman" w:cs="Times New Roman"/>
          <w:sz w:val="28"/>
          <w:szCs w:val="28"/>
        </w:rPr>
        <w:t xml:space="preserve">сельскохозяйственная техника, произведенная на территории стран единой таможенной территории Таможенного союза.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помощью государственной поддержки всего за четыре года (2020–2023 годы) приобретено</w:t>
      </w:r>
      <w:r>
        <w:rPr>
          <w:rFonts w:ascii="Times New Roman" w:hAnsi="Times New Roman" w:cs="Times New Roman"/>
          <w:sz w:val="28"/>
          <w:szCs w:val="28"/>
        </w:rPr>
        <w:t xml:space="preserve"> 3 293 единицы сельскохозяйственной техники, в том числе 798 тракторов, 186 зерно– и 37 кормоуборочных комбайнов, прочей техники 2 272 единиц. Благодаря чему выросла доля техники со сроком службы до 10 лет, снижена нагрузка на сельскохозяйственную технику.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lang w:eastAsia="ru-RU"/>
        </w:rPr>
        <w:drawing>
          <wp:inline distT="0" distB="0" distL="0" distR="0">
            <wp:extent cx="5940425" cy="5319395"/>
            <wp:effectExtent l="0" t="0" r="3175" b="14604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 – Динамика увеличения парка сельскохозяйственной техники в Чувашской Республике, ед.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по господдержке аграрии Чувашии приобрели 608 единиц сельскохозяйственной техники и оборудования на сумму более 2,38 млрд рублей.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Показатель энергообеспеченности в республике увеличен с 111 л.с.</w:t>
      </w:r>
      <w:r>
        <w:rPr>
          <w:rFonts w:ascii="Times New Roman" w:hAnsi="Times New Roman" w:cs="Times New Roman"/>
          <w:sz w:val="28"/>
          <w:szCs w:val="28"/>
        </w:rPr>
        <w:t xml:space="preserve"> на 100 га посевной площади в 2019 году до 163 л.с. в 2023 году (с учетом техники личных подсобных хозяйств и филиальной), превысив средний показатель энергообеспеченности по Приволжскому федеральному округу (138,3 л. с. в 2023 году) и России (155,3 л.с.).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регионе также улучшен возрастной состав сельскохозяйственной техники практически по всем видам.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142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lang w:eastAsia="ru-RU"/>
        </w:rPr>
        <w:drawing>
          <wp:inline distT="0" distB="0" distL="0" distR="0">
            <wp:extent cx="5940425" cy="3886200"/>
            <wp:effectExtent l="0" t="0" r="3175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2 – Динамика изменения старовозрастной сельскохозяйственной техники (более 10 лет) в Чувашской Республике, в % к общему количеству по соответствующему виду техники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благодаря региональной поддержке доля старовозрастной сельскохозяйственной техники (более 10 лет) снизилась за период 2020 – 2023 гг. по следующим видам техники: машины для внесения органических </w:t>
      </w:r>
      <w:r>
        <w:rPr>
          <w:rFonts w:ascii="Times New Roman" w:hAnsi="Times New Roman" w:cs="Times New Roman"/>
          <w:sz w:val="28"/>
          <w:szCs w:val="28"/>
        </w:rPr>
        <w:t xml:space="preserve">удобрений – на 16,2%, бороны дисковые – на 13,1%, трактора – на 10,3 %, плуги – на 7,7%, жатки валковые – на 4,9% и пр.</w:t>
      </w:r>
      <w:bookmarkEnd w:id="12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сохранении регионом действующих об</w:t>
      </w:r>
      <w:r>
        <w:rPr>
          <w:rFonts w:ascii="Times New Roman" w:hAnsi="Times New Roman" w:cs="Times New Roman"/>
          <w:sz w:val="28"/>
          <w:szCs w:val="28"/>
        </w:rPr>
        <w:t xml:space="preserve">ъемов субсидирования затрат на приобретение сельскохозяйственной техники, в Чувашской Республике до 2030 года будет: приобретено новой сельскохозяйственной техники в количестве не менее 4,9 тыс. ед.; снижена доля старовозрастной сельскохозяйственной техник</w:t>
      </w:r>
      <w:r>
        <w:rPr>
          <w:rFonts w:ascii="Times New Roman" w:hAnsi="Times New Roman" w:cs="Times New Roman"/>
          <w:sz w:val="28"/>
          <w:szCs w:val="28"/>
        </w:rPr>
        <w:t xml:space="preserve">и (более 10 лет) с 45% в среднем по региону в 2023 году до 40% в 2030 году; показатель энергообеспеченности в республике увеличен со 163 л.с. на 100 га в 2023 году (с учетом техники личных подсобных хозяйств и филиальной) до 200 л.с. на 100 га в 2030 году.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ind w:firstLine="709"/>
        <w:spacing w:line="360" w:lineRule="auto"/>
        <w:rPr>
          <w:b w:val="0"/>
          <w:bCs w:val="0"/>
          <w:sz w:val="28"/>
        </w:rPr>
      </w:pPr>
      <w:r/>
      <w:bookmarkStart w:id="13" w:name="_Toc176798808"/>
      <w:r>
        <w:rPr>
          <w:b w:val="0"/>
          <w:bCs w:val="0"/>
          <w:sz w:val="28"/>
        </w:rPr>
        <w:t xml:space="preserve">8. Развитие малых форм хозяйствования</w:t>
      </w:r>
      <w:bookmarkEnd w:id="13"/>
      <w:r>
        <w:rPr>
          <w:b w:val="0"/>
          <w:bCs w:val="0"/>
          <w:sz w:val="28"/>
        </w:rPr>
      </w:r>
      <w:r>
        <w:rPr>
          <w:b w:val="0"/>
          <w:bCs w:val="0"/>
          <w:sz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обеспечения продовольственной безопасности Чувашской Республики важную роль играют малые формы хозяйствования, в республике зарегистрировано – 1 506 фермерских хозяйств.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2012 года в Чувашской Республике реализуются мероприятия по поддержке </w:t>
      </w:r>
      <w:r>
        <w:rPr>
          <w:rFonts w:ascii="Times New Roman" w:hAnsi="Times New Roman" w:cs="Times New Roman"/>
          <w:sz w:val="28"/>
          <w:szCs w:val="28"/>
        </w:rPr>
        <w:t xml:space="preserve">малых форм хозяйствования в сельском хозяйстве (фермеров, сельскохозяйственных потребительских кооперативов). Всего за двенадцать лет (2012–2023 годы) грантовой поддержкой в регионе воспользовались 650 фермеров и кооперативов, в том числе в 2023 году – 63.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2019 года в Чувашской Республике в рамках национального проекта «Малое и среднее предпринимательство и поддержка индивидуальной предпринимательской инициативы» нача</w:t>
      </w:r>
      <w:r>
        <w:rPr>
          <w:rFonts w:ascii="Times New Roman" w:hAnsi="Times New Roman" w:cs="Times New Roman"/>
          <w:sz w:val="28"/>
          <w:szCs w:val="28"/>
        </w:rPr>
        <w:t xml:space="preserve">та реализация регионального проекта «Создание системы поддержки фермеров и развитие сельской кооперации», а с 2021 года данный региональный проект трансформирован в состав регионального проекта «Акселерация субъектов малого и среднего предпринимательства».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Главная задача регионального проекта – вовлечение граждан, проживающих на селе в малое и среднее предпринимательство, а также развитие сельскохозяйственных потребительских кооперативов, что </w:t>
      </w:r>
      <w:r>
        <w:rPr>
          <w:rFonts w:ascii="Times New Roman" w:hAnsi="Times New Roman" w:cs="Times New Roman"/>
          <w:sz w:val="28"/>
          <w:szCs w:val="28"/>
        </w:rPr>
        <w:t xml:space="preserve">предусматривает реализацию дополнительных мероприят</w:t>
      </w:r>
      <w:r>
        <w:rPr>
          <w:rFonts w:ascii="Times New Roman" w:hAnsi="Times New Roman" w:cs="Times New Roman"/>
          <w:sz w:val="28"/>
          <w:szCs w:val="28"/>
        </w:rPr>
        <w:t xml:space="preserve">ий по грантовой поддержке крестьянских (фермерских) хозяйств, предоставлению субсидий сельскохозяйственным потребительским кооперативам и достижение показателей эффективности центров компетенций в сфере сельскохозяйственной кооперации и поддержки фермеров.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2019–2023 годы в Чувашской Республике вовлечено в субъекты малого и среднего предпринимательства 1 343 человека.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2019 года успешно функционирует Центр компетен</w:t>
      </w:r>
      <w:r>
        <w:rPr>
          <w:rFonts w:ascii="Times New Roman" w:hAnsi="Times New Roman" w:cs="Times New Roman"/>
          <w:sz w:val="28"/>
          <w:szCs w:val="28"/>
        </w:rPr>
        <w:t xml:space="preserve">ций в сфере сельскохозяйственной кооперации и поддержки фермеров в Чувашской Республике, который предоставляет консультационную и методологическую поддержку сельхозтоваропроизводителям Чувашской Республики – субъектам малого и среднего предпринимательства.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Начиная с 2022 года в регионе действует государственная поддержка самозанятых граждан, ведущих личное подсобное хозяйство.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Государственная </w:t>
      </w:r>
      <w:r>
        <w:rPr>
          <w:rFonts w:ascii="Times New Roman" w:hAnsi="Times New Roman" w:cs="Times New Roman"/>
          <w:sz w:val="28"/>
          <w:szCs w:val="28"/>
        </w:rPr>
        <w:t xml:space="preserve">поддержка предоставляется в рамках федерального и республиканского механизма. В рамках федерального механизма средства предоставляются на реализацию овощей открытого грунта, картофеля, содержание молочных коров, коров мясной породы, содержание овец и коз.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республиканского механизма субсидии предоставляются на при</w:t>
      </w:r>
      <w:r>
        <w:rPr>
          <w:rFonts w:ascii="Times New Roman" w:hAnsi="Times New Roman" w:cs="Times New Roman"/>
          <w:sz w:val="28"/>
          <w:szCs w:val="28"/>
        </w:rPr>
        <w:t xml:space="preserve">обретение коров, коз, овец, приобретение сельхозтехники и оборудования, приобретение материалов для занятия пчеловодством, проведение агрохимического обследования почв, приобретение минеральных удобрений, приобретение семени племенных быков–производителей.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два года (2022–2023 годы) государственная поддержка оказана 2,3 тыс. самозанятым гражданам, ведущим личное подсобное хозяйство.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перспективном периоде до 2030 года развитию сельскохозяйственной кооперации в Чув</w:t>
      </w:r>
      <w:r>
        <w:rPr>
          <w:rFonts w:ascii="Times New Roman" w:hAnsi="Times New Roman" w:cs="Times New Roman"/>
          <w:sz w:val="28"/>
          <w:szCs w:val="28"/>
        </w:rPr>
        <w:t xml:space="preserve">ашской Республики будет способствовать реализация таких мероприятий, как: вовлечение граждан, проживающих на селе в малое и среднее предпринимательство через реализацию дополнительных мероприятий по грантовой поддержке крестьянских (фермерских) хозяйств и </w:t>
      </w:r>
      <w:r>
        <w:rPr>
          <w:rFonts w:ascii="Times New Roman" w:hAnsi="Times New Roman" w:cs="Times New Roman"/>
          <w:sz w:val="28"/>
          <w:szCs w:val="28"/>
        </w:rPr>
        <w:t xml:space="preserve">субсидированию личных подсобных хозяйств; развитие сельскохозяйственных потребительских кооперативов путем предоставления субсидий и грантов сельскохозяйственным потребительским кооперативам, а также путем государственной поддержки л</w:t>
      </w:r>
      <w:r>
        <w:rPr>
          <w:rFonts w:ascii="Times New Roman" w:hAnsi="Times New Roman" w:cs="Times New Roman"/>
          <w:sz w:val="28"/>
          <w:szCs w:val="28"/>
        </w:rPr>
        <w:t xml:space="preserve">ичных подсобных хозяйств через субсидирование; консультационная и методологическая поддержка субъектов малого и среднего предпринимательства Чувашской Республики, оказываемая центром компетенций в сфере сельскохозяйственной кооперации и поддержки фермеров.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ind w:firstLine="709"/>
        <w:spacing w:line="360" w:lineRule="auto"/>
        <w:rPr>
          <w:b w:val="0"/>
          <w:bCs w:val="0"/>
          <w:sz w:val="28"/>
          <w:szCs w:val="28"/>
        </w:rPr>
      </w:pPr>
      <w:r/>
      <w:bookmarkStart w:id="14" w:name="_Toc176798809"/>
      <w:r>
        <w:rPr>
          <w:b w:val="0"/>
          <w:bCs w:val="0"/>
          <w:sz w:val="28"/>
          <w:szCs w:val="28"/>
        </w:rPr>
        <w:t xml:space="preserve">9. Цифровизация сельского хозяйства</w:t>
      </w:r>
      <w:bookmarkEnd w:id="14"/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 числе проектов цифровой трансформации (предусмотрены в Стратегии в области цифровой трансформации и Программе цифровой трансформации), реализуемых в Чувашской Республике, ряд проектов осуществляются Минсельхозом Чувашии, в том числе: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– в 2022 году Минсельхозом Чувашии реализован внутренний проект «Внедрение информационных систем учета похозяйственных книг, маркировки и цифровых сервисов аналитики животных в сельском хозяйстве и ветеринарии»;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2 – с 2023 года Минсельхозом Чувашии инициирован еще один проект по мо</w:t>
      </w:r>
      <w:r>
        <w:rPr>
          <w:rFonts w:ascii="Times New Roman" w:hAnsi="Times New Roman" w:cs="Times New Roman"/>
          <w:sz w:val="28"/>
          <w:szCs w:val="28"/>
        </w:rPr>
        <w:t xml:space="preserve">дернизации информационной системы учета похозяйственных книг, маркировки и цифровых сервисов аналитики животных в сельском хозяйстве и ветеринарии, в соответствии с которым на данной платформе будет расширен функционал и отражаться региональная отчетность: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аналитическая информация собираемая Министерством Чувашии (по форме 24–СХ – сведения о животноводстве, оперативны</w:t>
      </w:r>
      <w:r>
        <w:rPr>
          <w:rFonts w:ascii="Times New Roman" w:hAnsi="Times New Roman" w:cs="Times New Roman"/>
          <w:sz w:val="28"/>
          <w:szCs w:val="28"/>
        </w:rPr>
        <w:t xml:space="preserve">е данные о посевных работах, заготовка кормов, уборка урожая, заработная плата, реализация инвестиционных проектов, отпускные и закупочные цены на сельскохозяйственное сырье и продовольствие, выработка продукции пищевыми и перерабатывающими предприятиями);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производственно–финансовые планы сельхозорганизаций и крестьянских (фермерских) хозяйств.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Вся оперативная информация обновляется в режиме реального времени и может быть использована для анализа текущей ситуации и принятия решений на основе актуальных данных. 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– по внедрению личного кабинета для самозанятых граждан (государственная поддержка граждан, ведущих личное подсобное хозяйство, и применяющих специальный налоговый режим «Налог на профессиональный доход») (внедрена в 2022 году).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Переход на специальный налоговый режим «Налог на профессиональный доход» является одним из оптимальных вариантов налогообложения для ЛПХ. В таком случае гражданин считается «самозанятым».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стимулирования вовлечения в «самозанятые» вводятся меры государственной поддержки, как на федер</w:t>
      </w:r>
      <w:r>
        <w:rPr>
          <w:rFonts w:ascii="Times New Roman" w:hAnsi="Times New Roman" w:cs="Times New Roman"/>
          <w:sz w:val="28"/>
          <w:szCs w:val="28"/>
        </w:rPr>
        <w:t xml:space="preserve">альном уровне, так и дополнительно республиканские меры господдержки – в рамках Государственной программы Чувашской Республики «Развитие сельского хозяйства и регулирование рынка сельскохозяйственной продукции, сырья и продовольствия Чувашской Республики».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Перевед</w:t>
      </w:r>
      <w:r>
        <w:rPr>
          <w:rFonts w:ascii="Times New Roman" w:hAnsi="Times New Roman" w:cs="Times New Roman"/>
          <w:sz w:val="28"/>
          <w:szCs w:val="28"/>
        </w:rPr>
        <w:t xml:space="preserve">ена в электронный формат услуга по господдержке самозанятых личных подсобных хозяйств. Это позволило упростить работу по подготовке документов, формированию сводного реестра получателей и контролю за освоением средств федерального и регионального бюджетов.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услуга осуществляется через инвестиционный портал Чувашской Республики. Благодаря информационной системе у самозанятых появилась возможность загружать документы дистанционно, не выходя из дома, в личном кабинете;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– система Управления комплексным развитием сельских территорий (1С Предприятие, «АИС Субсидии АПК», «Свод отчетов 3.0», «Камин», </w:t>
      </w:r>
      <w:r>
        <w:rPr>
          <w:rFonts w:ascii="Times New Roman" w:hAnsi="Times New Roman" w:cs="Times New Roman"/>
          <w:sz w:val="28"/>
          <w:szCs w:val="28"/>
        </w:rPr>
        <w:t xml:space="preserve">Бюджет–СМАРТ Про, </w:t>
      </w:r>
      <w:r>
        <w:rPr>
          <w:rFonts w:ascii="Times New Roman" w:hAnsi="Times New Roman" w:cs="Times New Roman"/>
          <w:sz w:val="28"/>
          <w:szCs w:val="28"/>
        </w:rPr>
        <w:t xml:space="preserve">СводСмарт</w:t>
      </w:r>
      <w:r>
        <w:rPr>
          <w:rFonts w:ascii="Times New Roman" w:hAnsi="Times New Roman" w:cs="Times New Roman"/>
          <w:sz w:val="28"/>
          <w:szCs w:val="28"/>
        </w:rPr>
        <w:t xml:space="preserve">, «Бюджетное государственное учреждение», СУФД-IC), предназначенная для: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автоматизации формирования заявочной документации во время заявочной кампании, проводимой Минсельхозом России в рамках государственной программы Российской Федерации «Комплексное развитие сельских территорий» (далее – госпрограмма);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автоматизации системы формирования планов реализации проектов в рамках мероприятий госпрограммы;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автоматизации формирования отчетов о строительной готовности, квартальных, годовых отчетов мероприятий госпрограммы;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автоматизации мониторинга оценки достижения контрольных точек;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– автоматизации мониторинга реализации строящихся объектов в рамках мероприятий госпрограммы;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– государственная система «Электронный бю</w:t>
      </w:r>
      <w:r>
        <w:rPr>
          <w:rFonts w:ascii="Times New Roman" w:hAnsi="Times New Roman" w:cs="Times New Roman"/>
          <w:sz w:val="28"/>
          <w:szCs w:val="28"/>
        </w:rPr>
        <w:t xml:space="preserve">джет», предназначенная для обеспечения прозрачности, открытости и подотчётности деятельности государственных органов и органов управления государственными внебюджетными фондами, органов местного самоуправления, государственных и муниципальных учреждений, а</w:t>
      </w:r>
      <w:r>
        <w:rPr>
          <w:rFonts w:ascii="Times New Roman" w:hAnsi="Times New Roman" w:cs="Times New Roman"/>
          <w:sz w:val="28"/>
          <w:szCs w:val="28"/>
        </w:rPr>
        <w:t xml:space="preserve"> также для повышения качества их финансового менеджмента за счёт формирования единого информационного пространства и применения информационных и телекоммуникационных технологий в сфере управления государственными и муниципальными (общественными) финансами.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позволяет автоматизацию заключения соглашения о предоставлении субсидий из федерального бюджета бюджету субъекта Российской Федерации, автоматизацию прослеживаемости выполнения условий </w:t>
      </w:r>
      <w:r>
        <w:rPr>
          <w:rFonts w:ascii="Times New Roman" w:hAnsi="Times New Roman" w:cs="Times New Roman"/>
          <w:sz w:val="28"/>
          <w:szCs w:val="28"/>
        </w:rPr>
        <w:t xml:space="preserve">Соглашения на основании отчетов о расходах и о достижении результатов использования субсидий, автоматизацию заключения соглашения о предоставления субсидий за счет средств федерального бюджета с получателями субсидий, автоматизацию заключения соглашения о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субсидий за счет средств федерального бюджета с администрациями муниципальных округов;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– Единая фед</w:t>
      </w:r>
      <w:r>
        <w:rPr>
          <w:rFonts w:ascii="Times New Roman" w:hAnsi="Times New Roman" w:cs="Times New Roman"/>
          <w:sz w:val="28"/>
          <w:szCs w:val="28"/>
        </w:rPr>
        <w:t xml:space="preserve">еральная информационная система о землях сельскохозяйственного назначения и землях, используемых или предоставленных для ведения сельского хозяйства в составе земель иных категорий предназначена для обеспечения актуальными и достоверными сведениями о таких</w:t>
      </w:r>
      <w:r>
        <w:rPr>
          <w:rFonts w:ascii="Times New Roman" w:hAnsi="Times New Roman" w:cs="Times New Roman"/>
          <w:sz w:val="28"/>
          <w:szCs w:val="28"/>
        </w:rPr>
        <w:t xml:space="preserve"> землях, включая данные об их местоположении, состоянии и фактическом использовании. Система введена в эксплуатацию в 2018 году, с 2022 года республика непосредственно в системе осуществляет ввод регионального сегмента данных о сельскохозяйственных землях.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– Федеральная государственная информационная система «Зерно» –предназначена для обеспечения прослеживаемости партий зерна и продуктов его переработки (для этого в системе оформляются товаросопроводительные документы на партию зерна или продуктов</w:t>
      </w:r>
      <w:r>
        <w:rPr>
          <w:rFonts w:ascii="Times New Roman" w:hAnsi="Times New Roman" w:cs="Times New Roman"/>
          <w:sz w:val="28"/>
          <w:szCs w:val="28"/>
        </w:rPr>
        <w:t xml:space="preserve"> его переработки – СДИЗ), а также для автоматизации процессов сбора, обработки, хранения и анализа информации, связанной с производством, перевозкой, реализацией, хранением, обработкой, переработкой и утилизацией зерна и продуктов его переработки на внутре</w:t>
      </w:r>
      <w:r>
        <w:rPr>
          <w:rFonts w:ascii="Times New Roman" w:hAnsi="Times New Roman" w:cs="Times New Roman"/>
          <w:sz w:val="28"/>
          <w:szCs w:val="28"/>
        </w:rPr>
        <w:t xml:space="preserve">ннем и внешнем рынках и при закупках зерна в интервенционный госфонд. Это позволяет российскому бизнесу эффективно работать в условиях прозрачности рынка зерна, а государству – отслеживать вклад регионов в обеспечение продовольственной безопасности страны.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– Федеральная государственная система в области семеново</w:t>
      </w:r>
      <w:r>
        <w:rPr>
          <w:rFonts w:ascii="Times New Roman" w:hAnsi="Times New Roman" w:cs="Times New Roman"/>
          <w:sz w:val="28"/>
          <w:szCs w:val="28"/>
        </w:rPr>
        <w:t xml:space="preserve">дства сельскохозяйственных растений (ФГИС Семеноводство») разработана в целях обеспечения прослеживаемости оборота семян сельскохозяйственных растений, учета семян сельскохозяйственных растений при их производстве, хранении, транспортировке, реализации, вк</w:t>
      </w:r>
      <w:r>
        <w:rPr>
          <w:rFonts w:ascii="Times New Roman" w:hAnsi="Times New Roman" w:cs="Times New Roman"/>
          <w:sz w:val="28"/>
          <w:szCs w:val="28"/>
        </w:rPr>
        <w:t xml:space="preserve">лючая оказание услуг в области семеноводства, при осуществлении сделок с семенами сельскохозяйственных растений, а также в целях анализа, обработки представленных в эту систему сведений и информации и контроля за достоверностью таких сведений и информации.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i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9 – создание системы отслеживания продукции, производимой в АПК</w:t>
      </w:r>
      <w:r>
        <w:rPr>
          <w:rFonts w:ascii="Times New Roman" w:hAnsi="Times New Roman" w:cs="Times New Roman"/>
          <w:i/>
          <w:sz w:val="26"/>
          <w:szCs w:val="26"/>
          <w14:ligatures w14:val="none"/>
        </w:rPr>
      </w:r>
      <w:r>
        <w:rPr>
          <w:rFonts w:ascii="Times New Roman" w:hAnsi="Times New Roman" w:cs="Times New Roman"/>
          <w:i/>
          <w:sz w:val="26"/>
          <w:szCs w:val="26"/>
          <w14:ligatures w14:val="none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 1 июля 2018 года бюджетными учреждениями ветеринарии Чувашской Республики оформление ветеринарных сопроводительных документов проводится в электронной форме с использованием Федеральной государственной информационной системы «Меркурий».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i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10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система точного земледелия</w:t>
      </w:r>
      <w:r>
        <w:rPr>
          <w:rFonts w:ascii="Times New Roman" w:hAnsi="Times New Roman" w:cs="Times New Roman"/>
          <w:i/>
          <w:sz w:val="26"/>
          <w:szCs w:val="26"/>
          <w14:ligatures w14:val="none"/>
        </w:rPr>
      </w:r>
      <w:r>
        <w:rPr>
          <w:rFonts w:ascii="Times New Roman" w:hAnsi="Times New Roman" w:cs="Times New Roman"/>
          <w:i/>
          <w:sz w:val="26"/>
          <w:szCs w:val="26"/>
          <w14:ligatures w14:val="none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хозяйствах Чувашской Республики оснащено аппаратурой спутниковой навигации (навигационными системами GPS и ГЛОНАСС) – 620 ед. транспортных средств, зарегистрированных на территории Чувашской Республики 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используемых для нужд сельского хозяйства, или 11% от общего количества используемой сельхозтехники. Это позволяет сельскохозяйственному транспорту не только производить высокоточный посев семян, но и оптимизировать многие процессы аграрного производства. 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республике ставятся актуальные задачи по дальнейшему внедрению автоматизированного управления агротехнологиями, в том числе с использованием результатов космической деятельности. 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11 –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информационная система «Чувашия онлайн» 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Формирование и представление администрациями муни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ципальных округов Чувашской Республики заявок на участие в конкурсном отборе инициативных проектов для реализации на территории муниципальных округов Чувашской Республики в 2025 году будет осуществляться посредством информационной системы «Чувашия онлайн».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Производится модернизация информационной системы «Чувашия онлайн» для автоматизации заявочного процесса на реализацию инициативных проектов на селе и новый конкурсный отбор на 2025 год объявить уже на данной площадке. 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Кроме этого, продолжается тестирование электронного голосования за проекты через «Госуслуги», что позволит конкурсантам получить дополнительные баллы, также будут учитывать другие критерии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информационное сопровождение, фотоотчеты в формате «до» и «после».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Минсельхоз России совместно с ФГБУ «Центр цифровой трансформации в сфере АПК»</w:t>
      </w:r>
      <w:r>
        <w:rPr>
          <w:rFonts w:ascii="Times New Roman" w:hAnsi="Times New Roman" w:cs="Times New Roman"/>
          <w:sz w:val="28"/>
          <w:szCs w:val="28"/>
        </w:rPr>
        <w:t xml:space="preserve"> также запустил в 2023 году динамический рейтинг цифровой трансформации сферы АПК в регионах. По итогам рейтинга за IV квартал 2023 года Чувашская Республика заняла 5–е место и вошла в топ–5 регионов рейтинга цифровой трансформации АПК по итогам 2023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Достижению стратегических задач региона в сфере цифровизации агропромышленного комплекса в перспективном периоде до 2030 года будет способствовать реализация мероприятий по</w:t>
      </w:r>
      <w:r>
        <w:rPr>
          <w:rFonts w:ascii="Times New Roman" w:hAnsi="Times New Roman" w:cs="Times New Roman"/>
          <w:sz w:val="28"/>
          <w:szCs w:val="28"/>
        </w:rPr>
        <w:t xml:space="preserve"> поддержке сельскохозяйственных товаропроизводителей, внедряющих высокие технологии и роботизацию процессов производства; оказание содействия субъектам АПК в переходе к Agriculture 4.0; организация системы подготовки профильных ИТ–специалистов для работы в</w:t>
      </w:r>
      <w:r>
        <w:rPr>
          <w:rFonts w:ascii="Times New Roman" w:hAnsi="Times New Roman" w:cs="Times New Roman"/>
          <w:sz w:val="28"/>
          <w:szCs w:val="28"/>
        </w:rPr>
        <w:t xml:space="preserve"> агропромышленном комплексе региона; оказание содействия в обучении руководителей и специалистов в сфере АПК, непосредственно связанных с внедрением в практическую деятельность предприятий цифровых технологий, и повышении квалификации на постоянной основе.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ind w:firstLine="709"/>
        <w:spacing w:line="360" w:lineRule="auto"/>
        <w:rPr>
          <w:b w:val="0"/>
          <w:bCs w:val="0"/>
          <w:sz w:val="28"/>
        </w:rPr>
      </w:pPr>
      <w:r/>
      <w:bookmarkStart w:id="15" w:name="_Toc176798810"/>
      <w:r>
        <w:rPr>
          <w:b w:val="0"/>
          <w:bCs w:val="0"/>
          <w:sz w:val="28"/>
        </w:rPr>
        <w:t xml:space="preserve">10. Пищевая и перерабатывающая промышленность</w:t>
      </w:r>
      <w:bookmarkEnd w:id="15"/>
      <w:r>
        <w:rPr>
          <w:b w:val="0"/>
          <w:bCs w:val="0"/>
          <w:sz w:val="28"/>
        </w:rPr>
      </w:r>
      <w:r>
        <w:rPr>
          <w:b w:val="0"/>
          <w:bCs w:val="0"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Пищевая промышленность республики представлена 239 предпри</w:t>
      </w:r>
      <w:r>
        <w:rPr>
          <w:rFonts w:ascii="Times New Roman" w:hAnsi="Times New Roman" w:cs="Times New Roman"/>
          <w:sz w:val="28"/>
          <w:szCs w:val="28"/>
        </w:rPr>
        <w:t xml:space="preserve">ятиями, в которых работает более 10 тысяч человек. Доля пищевой промышленности региона, которая занимает 3 место среди других отраслей обрабатывающей промышленности Чувашской Республики, составляет 13,2% в общем объеме производства обрабатывающих отраслей.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объем производства пищевой промышленности превысил 51 млрд рублей, увеличившись на 19,4% по сравнению с 2022 годом.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Чувашской Республике развиты следующие отрасли: молочная и мясная, кондитерская, хлебопекарная, мукомольно-крупяная и производство напитков.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Производство молока и молочной продукции в регионе осуществляют 28 организаций. В отрасли занято 845 человек. Среднегодовая мощность составляет 300 тыс. тонн при загрузке 91,4 %.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существующих мерах поддержки к 2030 году объем производства готовой молочной продукции увеличится на 92,2 тыс. тонн. Среднегодовой уровень использования производственной мощности в молочной отрасли увеличится до 99%.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Производство мяса и мясной продукции в регионе осуществляют 12 организаций. В отрасли занято 1708 человек. Среднегодовая мощность составляет 179,6 тыс. тонн при загрузке 50,0%. 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существующих мерах поддержки к 2030 году объем производства готовой мясной продукции увеличится на 35 тыс. тонн. Среднегодовой уровень использования производственной мощности в мясной отрасли увеличится до 53,7%.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Производство муки и крупы в регионе осуществляют 5 организации. В отрасли занято 530 человек. Среднегодовая мощность составляет 193,0 тыс. тонн при загрузке 79,9%. </w:t>
      </w:r>
      <w:r/>
    </w:p>
    <w:p>
      <w:pPr>
        <w:ind w:firstLine="709"/>
        <w:jc w:val="both"/>
        <w:spacing w:after="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Крупнейшим предприятием отрасли в регионе является АО «</w:t>
      </w:r>
      <w:r>
        <w:rPr>
          <w:rFonts w:ascii="Times New Roman" w:hAnsi="Times New Roman" w:cs="Times New Roman"/>
          <w:sz w:val="28"/>
          <w:szCs w:val="28"/>
        </w:rPr>
        <w:t xml:space="preserve">Чувашхлебопродукт</w:t>
      </w:r>
      <w:r>
        <w:rPr>
          <w:rFonts w:ascii="Times New Roman" w:hAnsi="Times New Roman" w:cs="Times New Roman"/>
          <w:sz w:val="28"/>
          <w:szCs w:val="28"/>
        </w:rPr>
        <w:t xml:space="preserve">» объем производства муки – 90,6% от всей произведенной в регионе продукции, объем производства крупы – 12,1% соответственно. 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существующих мерах поддержки к 2030 году объем производства мукомольно-крупяной продукции увеличится на 26 тыс. тонн. Среднегодовой уровень использования производственной мощности составит 86%.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Производство кондитерских изделий в регионе осуществляют 22 организации. В отр</w:t>
      </w:r>
      <w:r>
        <w:rPr>
          <w:rFonts w:ascii="Times New Roman" w:hAnsi="Times New Roman" w:cs="Times New Roman"/>
          <w:sz w:val="28"/>
          <w:szCs w:val="28"/>
        </w:rPr>
        <w:t xml:space="preserve">асли занято 2870 человек. Мощности предприятий отрасли позволяют выпускать 66,2 тыс. тонн готовой продукции при загрузке 75,5%. Крупнейшим предприятием отрасли в регионе является АО «АККОНД» (доля предприятия в общем объеме производства составляет 88,2%). 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Производство хлеба и хлебобулочных изделий в регионе осуществляют 69 организаций. В отрасли занято 1285 человек. Среднегодовая мощность составляет 176,7 тыс. тонн при загрузке 35,7%.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существующих мерах поддержки к 2030 году объем производства хлебобулочной продукции увеличится на 1,5 тыс. тонн. Среднегодовой уровень использования производственной мощности в хлебопекарной отрасли увеличится до 37%.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Производство алкогольной продукции с</w:t>
      </w:r>
      <w:r>
        <w:rPr>
          <w:rFonts w:ascii="Times New Roman" w:hAnsi="Times New Roman" w:cs="Times New Roman"/>
          <w:sz w:val="28"/>
          <w:szCs w:val="28"/>
        </w:rPr>
        <w:t xml:space="preserve"> объемной долей этилового спирта свыше 9% (далее – водка) в республике осуществляют ООО «Чебоксарский ликеро-водочный завод», ООО «Спиртовой завод «Ядринский», а производство пива (алкогольного) – ОАО «Чебоксарская пивоваренная фирма «Букет Чувашии», ООО «</w:t>
      </w:r>
      <w:r>
        <w:rPr>
          <w:rFonts w:ascii="Times New Roman" w:hAnsi="Times New Roman" w:cs="Times New Roman"/>
          <w:sz w:val="28"/>
          <w:szCs w:val="28"/>
        </w:rPr>
        <w:t xml:space="preserve">Вител</w:t>
      </w:r>
      <w:r>
        <w:rPr>
          <w:rFonts w:ascii="Times New Roman" w:hAnsi="Times New Roman" w:cs="Times New Roman"/>
          <w:sz w:val="28"/>
          <w:szCs w:val="28"/>
        </w:rPr>
        <w:t xml:space="preserve">», ООО «Экипаж», ООО «Хмельник», ООО «Импульс».</w:t>
      </w:r>
      <w:r/>
    </w:p>
    <w:p>
      <w:pPr>
        <w:ind w:firstLine="709"/>
        <w:jc w:val="both"/>
        <w:spacing w:after="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Мощности по производству пива у ОАО «Букет Чувашии» – 8,0 млн дал. в год, ООО «Чебоксарский ликеро-водочный завод» – 4,0 млн дал в год, ООО «Спиртовой завод «Ядринский» – 1,1 млн дал в год. </w:t>
      </w:r>
      <w:r/>
    </w:p>
    <w:p>
      <w:pPr>
        <w:ind w:firstLine="709"/>
        <w:jc w:val="both"/>
        <w:spacing w:after="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За 2023 год предприятиями республики выработано:</w:t>
      </w:r>
      <w:r/>
    </w:p>
    <w:p>
      <w:pPr>
        <w:ind w:firstLine="709"/>
        <w:jc w:val="both"/>
        <w:spacing w:after="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– водки – 1133,4 тыс. дал;</w:t>
      </w:r>
      <w:r/>
    </w:p>
    <w:p>
      <w:pPr>
        <w:ind w:firstLine="709"/>
        <w:jc w:val="both"/>
        <w:spacing w:after="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– пива (алкогольного) – 5 226,7 тыс. дал.</w:t>
      </w:r>
      <w:r/>
    </w:p>
    <w:p>
      <w:pPr>
        <w:ind w:firstLine="709"/>
        <w:jc w:val="both"/>
        <w:spacing w:after="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По оперативным данным за 2023 год, объем производства водки и </w:t>
      </w:r>
      <w:r>
        <w:rPr>
          <w:rFonts w:ascii="Times New Roman" w:hAnsi="Times New Roman" w:cs="Times New Roman"/>
          <w:sz w:val="28"/>
          <w:szCs w:val="28"/>
        </w:rPr>
        <w:t xml:space="preserve">ликероводочного</w:t>
      </w:r>
      <w:r>
        <w:rPr>
          <w:rFonts w:ascii="Times New Roman" w:hAnsi="Times New Roman" w:cs="Times New Roman"/>
          <w:sz w:val="28"/>
          <w:szCs w:val="28"/>
        </w:rPr>
        <w:t xml:space="preserve"> изде</w:t>
      </w:r>
      <w:r>
        <w:rPr>
          <w:rFonts w:ascii="Times New Roman" w:hAnsi="Times New Roman" w:cs="Times New Roman"/>
          <w:sz w:val="28"/>
          <w:szCs w:val="28"/>
        </w:rPr>
        <w:t xml:space="preserve">лия за 2023 год у ООО «Чебоксарский ликеро-водочной завод» составил 699,1 тыс. декалитров (что на 3,9 % меньше аналогичного периода 2022 года), ООО «Спиртовой завод «Ядринский составил 434,3 тыс. декалитров (на 25,3% меньше аналогичного периода 2022 года).</w:t>
      </w:r>
      <w:r/>
    </w:p>
    <w:p>
      <w:pPr>
        <w:ind w:firstLine="709"/>
        <w:jc w:val="both"/>
        <w:spacing w:after="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Производство безалкогольных напитков в регионе осуществляют 10 орг</w:t>
      </w:r>
      <w:r>
        <w:rPr>
          <w:rFonts w:ascii="Times New Roman" w:hAnsi="Times New Roman" w:cs="Times New Roman"/>
          <w:sz w:val="28"/>
          <w:szCs w:val="28"/>
        </w:rPr>
        <w:t xml:space="preserve">анизаций. Среднегодовая мощность составляет 20 445 тыс. дал. в год при загрузке 30,3%. Крупнейшим предприятием отрасли в регионе является ОАО «Букет Чувашии» – на долю предприятия приходится 36,9 % от всего произведенного безалкогольного напитка в регионе.</w:t>
      </w:r>
      <w:r/>
    </w:p>
    <w:p>
      <w:pPr>
        <w:ind w:firstLine="709"/>
        <w:jc w:val="both"/>
        <w:spacing w:after="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Производством минеральных вод в регионе занимается 9 организаций. Среднегодовая мощность составляет 72 126 тыс. </w:t>
      </w:r>
      <w:r>
        <w:rPr>
          <w:rFonts w:ascii="Times New Roman" w:hAnsi="Times New Roman" w:cs="Times New Roman"/>
          <w:sz w:val="28"/>
          <w:szCs w:val="28"/>
        </w:rPr>
        <w:t xml:space="preserve">полул</w:t>
      </w:r>
      <w:r>
        <w:rPr>
          <w:rFonts w:ascii="Times New Roman" w:hAnsi="Times New Roman" w:cs="Times New Roman"/>
          <w:sz w:val="28"/>
          <w:szCs w:val="28"/>
        </w:rPr>
        <w:t xml:space="preserve">. в год при загрузке 75,3%. Крупнейшим предприятием отрасли в регионе является ОАО «Букет Чувашии» – на долю предприятия приходится 65,7 % от всего произведенных минеральных вод в регионе.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перспективным выглядит создание кластера АПК и пищевого кластера с 46 компаниями, совокупной выручкой в 52 млрд руб. и 8 тыс. сотрудников.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части производственной инфраструктуры следует выделить два крупных зернохранилища, функционирующих на территории Чувашской Республики, три оптово-распределительных центра и один агропромышленный комплекс.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увеличение объемов производства плодов и ягод в Чувашии в перспективе до 2030 года, также обуславливает необходимость создания в республике собственных мощностей по глубокой переработке.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Достижению стратегических задач Чувашской Республики в сфере развития пищевой и перерабатывающей промышленности в перспективном периоде до 2030 года, в том числе с целью сохранения добавленной стоимости производства в регионе, будет спо</w:t>
      </w:r>
      <w:r>
        <w:rPr>
          <w:rFonts w:ascii="Times New Roman" w:hAnsi="Times New Roman" w:cs="Times New Roman"/>
          <w:sz w:val="28"/>
          <w:szCs w:val="28"/>
        </w:rPr>
        <w:t xml:space="preserve">собствовать государственная поддержка по созданию дополнительных мощностей по глубокой переработке молока, плодов и ягод; стимулирование загрузки свободных мощностей по переработке молока, плодов и ягод, имеющихся у потребительских кооперативов республики.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Прогнозные значения целевых показателей производства пищевой и перерабатывающей промышленности за 2025–2030 годы представлены в Приложении 2.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ind w:firstLine="709"/>
        <w:spacing w:line="360" w:lineRule="auto"/>
        <w:rPr>
          <w:b w:val="0"/>
          <w:bCs w:val="0"/>
          <w:sz w:val="28"/>
        </w:rPr>
      </w:pPr>
      <w:r/>
      <w:bookmarkStart w:id="16" w:name="_Toc176798811"/>
      <w:r>
        <w:rPr>
          <w:b w:val="0"/>
          <w:bCs w:val="0"/>
          <w:sz w:val="28"/>
        </w:rPr>
        <w:t xml:space="preserve">11. Оптовая и розничная торговля</w:t>
      </w:r>
      <w:bookmarkEnd w:id="16"/>
      <w:r>
        <w:rPr>
          <w:b w:val="0"/>
          <w:bCs w:val="0"/>
          <w:sz w:val="28"/>
        </w:rPr>
      </w:r>
      <w:r>
        <w:rPr>
          <w:b w:val="0"/>
          <w:bCs w:val="0"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оборот оптовой торговли по Чувашской Республике составил 354,4 млрд руб., увеличившись по сравнению с 2022 годом на</w:t>
      </w:r>
      <w:r>
        <w:rPr>
          <w:rFonts w:ascii="Times New Roman" w:hAnsi="Times New Roman" w:cs="Times New Roman"/>
          <w:sz w:val="28"/>
          <w:szCs w:val="28"/>
        </w:rPr>
        <w:t xml:space="preserve"> 57,94 млрд руб. или 19,54%. При этом по отношению к 2018 году оборот оптовой торговли по Чувашской Республике увеличился в 2 раза. Оборот организаций оптовой торговли составил в 2023 году 281,1 млрд. руб., увеличившись по сравнению с 2022 годом на 22,31%.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борот розничной торговли по Чувашской Республике увеличился по итогам 2023 года до 258,3 млрд руб. (+16,89% по сравнению с 2022 годом). При этом в целом за период 2018–2023 гг. темп роста оборота розничной торговли по Чувашской Республике составил 169,09%.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Основная доля оборота розничной торговли в республике приходится на торгующие организации и индивидуальных предпринимателей вне рынка – 96,7% в 2023 году. Доля продаж на розничных рынках и ярмарках составляет в регионе 3,3%.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Оборот розничной тор</w:t>
      </w:r>
      <w:r>
        <w:rPr>
          <w:rFonts w:ascii="Times New Roman" w:hAnsi="Times New Roman" w:cs="Times New Roman"/>
          <w:sz w:val="28"/>
          <w:szCs w:val="28"/>
        </w:rPr>
        <w:t xml:space="preserve">говли пищевыми продуктами, включая напитки, и табачными изделиями по Чувашской Республики составил в 2023 году 125,5 млрд руб., увеличившись по сравнению с 2022 годом на 15,29%. Темп роста анализируемого показателя за период 2018–2023 гг. составил 173,47%.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макроструктуре оборота розничной торговли по Чувашской Республике доля розничной торговли продовольственными товарами увеличилась с 47,4 % в 2018 году до 48,6% в 2023 году (+1,2 п.п.).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Чувашской Республике отмечается положительная динамика оборота розничной торговли в расчете на душу населени</w:t>
      </w:r>
      <w:r>
        <w:rPr>
          <w:rFonts w:ascii="Times New Roman" w:hAnsi="Times New Roman" w:cs="Times New Roman"/>
          <w:sz w:val="28"/>
          <w:szCs w:val="28"/>
        </w:rPr>
        <w:t xml:space="preserve">я: в 2023 году значение показателя составило 220,8 тыс. руб., увеличившись по сравнению с 2022 годом на 33,2 тыс. руб. или 17,74%. Темп роста оборота розничной торговли в расчете на душу населения в регионе в целом за период 2018–2023 гг. составил 175,87%.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доля розничных торговых сетей в формировании оборота розничной торговли в Чувашской Республике составила 37,7%, снизившись по </w:t>
      </w:r>
      <w:r>
        <w:rPr>
          <w:rFonts w:ascii="Times New Roman" w:hAnsi="Times New Roman" w:cs="Times New Roman"/>
          <w:sz w:val="28"/>
          <w:szCs w:val="28"/>
        </w:rPr>
        <w:t xml:space="preserve">сравнению с 2022 годом на 6,5 п.п., но увеличившись по сравнению с 2018 годом на 1,2 п.п.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в целом за период 2018–2023 гг. доля розничных торговых сетей в общем объеме оборота розничной торговли пищевыми продуктами, включая напитки, и табачными изделиями в регионе увеличилась с 50 % в 2018 году до 55% в 2023 году.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структуре розничных продаж товаров в</w:t>
      </w:r>
      <w:r>
        <w:rPr>
          <w:rFonts w:ascii="Times New Roman" w:hAnsi="Times New Roman" w:eastAsia="Times New Roman" w:cs="Times New Roman"/>
          <w:color w:val="000000"/>
          <w:lang w:eastAsia="ru-RU"/>
          <w14:ligatures w14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специализированных магазинах в Чувашской Республике наибольшая доля розничных продаж приходится на следующие товарные группы: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растительные масла – 44,6% от общего объема розничной продаж товаров данной группы в регионе;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алкогольные напитки – 17,9%;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молочные продукты и яйца – 12,1%;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мясо и мясные продукты – 10,8%;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свежие фрукты, овощи, картофель и орехи – 8,4%.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значительно за последние годы в регионе по объемам продаж в специализированных магазинах увеличилась товарная группа «растительные масла» – на 11,2 п.п.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Чувашской Республике функционируют 217 ярмарок, включая праздничные, где представлено более 14 тыс. торговых мест. Кроме того, на территории республики находятся 3 рынка с более чем 460 торговыми местами.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реалиях санкций создание условий для реализации продукции местных товаропроизводителей является наиболее актуальным. Так, в регионе ведутся работы по строительству логистического центра </w:t>
      </w:r>
      <w:r>
        <w:rPr>
          <w:rFonts w:ascii="Times New Roman" w:hAnsi="Times New Roman" w:cs="Times New Roman"/>
          <w:sz w:val="28"/>
          <w:szCs w:val="28"/>
        </w:rPr>
        <w:t xml:space="preserve">Агромаркет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Пехет</w:t>
      </w:r>
      <w:r>
        <w:rPr>
          <w:rFonts w:ascii="Times New Roman" w:hAnsi="Times New Roman" w:cs="Times New Roman"/>
          <w:sz w:val="28"/>
          <w:szCs w:val="28"/>
        </w:rPr>
        <w:t xml:space="preserve">», который расположен на цокольном этаже ТРЦ «Каскад» и будет включать в себя торговую площадь, предприятия общественного питания (фудкорт), складские помещения, логистические пункты и т. д.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создания данного логистического центра является: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повышение привлекательности для конечного потребителя за счет формирования цены реализуемых товаров напрямую от товаропроизводителя, минуя посредников;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инструмент поддержки местных сельхозтоваропроизводителей, предприятий пищевой и перерабатывающей промышленности, фермерских хозяйств и личных подворий;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стимулирование роста производства основных видов сельхозсырья и производства пищевых продуктов;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поддержка развития инфраструктуры агропродовольственного рынка.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стабилизации ценовой ситуации на продовольственном рынке продуктов питания, обеспече</w:t>
      </w:r>
      <w:r>
        <w:rPr>
          <w:rFonts w:ascii="Times New Roman" w:hAnsi="Times New Roman" w:cs="Times New Roman"/>
          <w:sz w:val="28"/>
          <w:szCs w:val="28"/>
        </w:rPr>
        <w:t xml:space="preserve">ния жителей республики качественной сельскохозяйственной продукцией, продукцией пищевой и перерабатывающей промышленности местного производства по инициативе Главы Чувашской Республики во всех городах и округах республики проводятся ярмарки выходного дня. 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 ярмарочных продажах принимают участие сельскохозяйственные организации, крестьянские (фермерские) хозяйства, граждане, ведущие личное подсобное хозяйство.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ознакомле</w:t>
      </w:r>
      <w:r>
        <w:rPr>
          <w:rFonts w:ascii="Times New Roman" w:hAnsi="Times New Roman" w:cs="Times New Roman"/>
          <w:sz w:val="28"/>
          <w:szCs w:val="28"/>
        </w:rPr>
        <w:t xml:space="preserve">ния представителей федеральных торговых сетей с местной продукцией, в том числе произведенными фермерскими хозяйствами, а также организации переговоров по поставкам продукции в Чувашской Республике организуются торгово-закупочные сессии «День поставщика». 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ССПК «</w:t>
      </w:r>
      <w:r>
        <w:rPr>
          <w:rFonts w:ascii="Times New Roman" w:hAnsi="Times New Roman" w:cs="Times New Roman"/>
          <w:sz w:val="28"/>
          <w:szCs w:val="28"/>
        </w:rPr>
        <w:t xml:space="preserve">Мелилотус</w:t>
      </w:r>
      <w:r>
        <w:rPr>
          <w:rFonts w:ascii="Times New Roman" w:hAnsi="Times New Roman" w:cs="Times New Roman"/>
          <w:sz w:val="28"/>
          <w:szCs w:val="28"/>
        </w:rPr>
        <w:t xml:space="preserve">» открыл первый фирменный магазин чувашского производителя чая, мёда и напитков в Чебоксарах.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В магазинах торговой сети Чувашпотребсоюза ежемесячно проводятся мероприятия, направленные на популяризацию продуктов питания местного производства: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– на полках магазинов размещены логотипы «Произведено в Чувашии», «Выбираю местное – покупаю родное», «Покупай свое, родное!»;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– проводятся дегустации товаров местного производства.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На п</w:t>
      </w:r>
      <w:r>
        <w:rPr>
          <w:rFonts w:ascii="Times New Roman" w:hAnsi="Times New Roman" w:cs="Times New Roman"/>
          <w:sz w:val="28"/>
          <w:szCs w:val="28"/>
        </w:rPr>
        <w:t xml:space="preserve">редприятиях розничной торговли республики проводятся рекламные кампании «Покупай свое, родное!» c дегустацией продукции и оформлением ценников с использованием логотипов «Произведено в Чувашии», «Выбираю местное – покупаю родное», «Покупай свое, родное!».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г. Чебоксары и г. Новочебоксарск функционируют Фер</w:t>
      </w:r>
      <w:r>
        <w:rPr>
          <w:rFonts w:ascii="Times New Roman" w:hAnsi="Times New Roman" w:cs="Times New Roman"/>
          <w:sz w:val="28"/>
          <w:szCs w:val="28"/>
        </w:rPr>
        <w:t xml:space="preserve">мерские торговые ряды, обеспечивающие доступность фермерской продукции местных сельскохозяйственных товаропроизводителей населению. Успешный проект открытия подобных фермерских рынков планируется внедрить во всех муниципальных округах Чувашской Республики.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В целях создания дополнительных услов</w:t>
      </w:r>
      <w:r>
        <w:rPr>
          <w:rFonts w:ascii="Times New Roman" w:hAnsi="Times New Roman" w:cs="Times New Roman"/>
          <w:sz w:val="28"/>
          <w:szCs w:val="28"/>
        </w:rPr>
        <w:t xml:space="preserve">ий для реализации произведенной сельскохозяйственной продукции местными сельхозтоваропроизводителями проводятся ярмарки сельскохозяйственной продукции, проект «Вкусная пятница» совместно с АО «Россельхозбанк», открыт Фермерский островок от корпорации МСП.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Дополнительно Минсельхозом Чувашии на постоянной основе п</w:t>
      </w:r>
      <w:r>
        <w:rPr>
          <w:rFonts w:ascii="Times New Roman" w:hAnsi="Times New Roman" w:cs="Times New Roman"/>
          <w:sz w:val="28"/>
          <w:szCs w:val="28"/>
        </w:rPr>
        <w:t xml:space="preserve">роводится мониторинг ассортимента выпускаемой продукции сельскохозяйственными товаропроизводителями, пищевыми и перерабатывающими предприятиями, информация о новинках размещается в социальных сетях министерства с целью освещения информации среди населения.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По итогам мониторинга проводятся мероприятия, направленные на устранение выявленных проблем в вопросах взаимодействия участников рынка. В 2023 году проведено 3 торгово-закупочных сессии (г. Канаш, г</w:t>
      </w:r>
      <w:r>
        <w:rPr>
          <w:rFonts w:ascii="Times New Roman" w:hAnsi="Times New Roman" w:cs="Times New Roman"/>
          <w:sz w:val="28"/>
          <w:szCs w:val="28"/>
        </w:rPr>
        <w:t xml:space="preserve">. Шумерля, г. Чебоксары) с участием представителей федеральных и региональных торговых сетей, в рамках которых проведены переговоры по поставкам продукции, организованы выставки новых видов продукции товаропроизводителей, в том числе фермерской продукции.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В Чувашской Республике также действует логистический центр ООО «Флоренция» в Чебоксарском муниципальном округе, который является агрегатором овощной продукции.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Компания поставляет овощи, зелень и грибы в распределительные центры крупных розничных сетей, таких как «Магнит», «Пятёрочка» и «Самокат».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Логистический центр предлагает продукцию как от крупных производителей из разных регионов страны, так и чувашских – огурцы и помидоры от ТД «</w:t>
      </w:r>
      <w:r>
        <w:rPr>
          <w:rFonts w:ascii="Times New Roman" w:hAnsi="Times New Roman" w:cs="Times New Roman"/>
          <w:sz w:val="28"/>
          <w:szCs w:val="28"/>
        </w:rPr>
        <w:t xml:space="preserve">Ольдеевский</w:t>
      </w:r>
      <w:r>
        <w:rPr>
          <w:rFonts w:ascii="Times New Roman" w:hAnsi="Times New Roman" w:cs="Times New Roman"/>
          <w:sz w:val="28"/>
          <w:szCs w:val="28"/>
        </w:rPr>
        <w:t xml:space="preserve">» и ТК «Новочебоксарский», также есть капуста, репчатый лук, морковь от местных сельхозтоваропроизводителей.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Агрегатор осуществляют закупку, калибровку, фасовку, упаковку и отправку продукции в распределительные центры. Ключевым условием является соответствие товара стандартам качества и его популярность среди покупателей.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Логистический центр обладает обширными производственными мощностями, включая склад площадью 3 520 кв. м, холодильные камеры объемом 2 300 куб. м и специализированное оборудование.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Достижению стратегических задач Чувашской Республики в сфере развития розничной торговли в перспективном периоде</w:t>
      </w:r>
      <w:r>
        <w:rPr>
          <w:rFonts w:ascii="Times New Roman" w:hAnsi="Times New Roman" w:cs="Times New Roman"/>
          <w:sz w:val="28"/>
          <w:szCs w:val="28"/>
        </w:rPr>
        <w:t xml:space="preserve"> будет способствовать увеличение доли продукции местных сельхозтоваропроизводителей в общем объеме овощной продукции, поставляемой в распределительные центры крупных розничных сетей действующим агрегатором ООО «Флоренция», за счет выращивания сельхозпродук</w:t>
      </w:r>
      <w:r>
        <w:rPr>
          <w:rFonts w:ascii="Times New Roman" w:hAnsi="Times New Roman" w:cs="Times New Roman"/>
          <w:sz w:val="28"/>
          <w:szCs w:val="28"/>
        </w:rPr>
        <w:t xml:space="preserve">ции в соответствии с предъявляемыми стандартами качества, а также создание нескольких агрегаторов специализированного производства, таких как овощной, молочный, мясной и отдельный агрегатор для картофеля, ориентированные на продукцию местного производства.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ind w:firstLine="709"/>
        <w:spacing w:line="360" w:lineRule="auto"/>
        <w:rPr>
          <w:b w:val="0"/>
          <w:bCs w:val="0"/>
          <w:sz w:val="28"/>
        </w:rPr>
      </w:pPr>
      <w:r/>
      <w:bookmarkStart w:id="17" w:name="_Toc176798812"/>
      <w:r>
        <w:rPr>
          <w:b w:val="0"/>
          <w:bCs w:val="0"/>
          <w:sz w:val="28"/>
        </w:rPr>
        <w:t xml:space="preserve">12. Транспортная инфраструктура</w:t>
      </w:r>
      <w:bookmarkEnd w:id="17"/>
      <w:r>
        <w:rPr>
          <w:b w:val="0"/>
          <w:bCs w:val="0"/>
          <w:sz w:val="28"/>
        </w:rPr>
      </w:r>
      <w:r>
        <w:rPr>
          <w:b w:val="0"/>
          <w:bCs w:val="0"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Транспортная инфраструктура Чувашской Республики характеризуется следующими показателями: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плотность железных дорог – 230 км на 10 тыс. км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территории – 18 место в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плотность автомобильных дорог с твердым покрытием 452 км на 1 тыс. км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территории –16 место в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перевозки грузов (автомобильный) – 6,5 млн тонн;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грузооборот (автомобильный) – 1,1 млрд тонн.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дорожная сеть Чувашской Республики составляет 12 100,8 км. На автодорогах республики эксплуатируются 323 моста и путепровода общей протяженностью 17 243,7 </w:t>
      </w:r>
      <w:r>
        <w:rPr>
          <w:rFonts w:ascii="Times New Roman" w:hAnsi="Times New Roman" w:cs="Times New Roman"/>
          <w:sz w:val="28"/>
          <w:szCs w:val="28"/>
        </w:rPr>
        <w:t xml:space="preserve">пог</w:t>
      </w:r>
      <w:r>
        <w:rPr>
          <w:rFonts w:ascii="Times New Roman" w:hAnsi="Times New Roman" w:cs="Times New Roman"/>
          <w:sz w:val="28"/>
          <w:szCs w:val="28"/>
        </w:rPr>
        <w:t xml:space="preserve">. м. По плотности автомобильных дорог с твердым покрытием, которая в республике составляет 452 км на 1 тыс. км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территории регион занимает 16–е место по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транспортные артерии – это ф</w:t>
      </w:r>
      <w:r>
        <w:rPr>
          <w:rFonts w:ascii="Times New Roman" w:hAnsi="Times New Roman" w:cs="Times New Roman"/>
          <w:sz w:val="28"/>
          <w:szCs w:val="28"/>
        </w:rPr>
        <w:t xml:space="preserve">едеральные дороги: магистральная автомобильная дорога М–7 «Волга» с западным и восточным подъездами к г. Чебоксары, обеспечивающая международные связи; федеральные дороги А–151 «Цивильск–Ульяновск», «Вятка», обеспечивающие межобластные транспортные связи.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Протяженность федеральных автодорог, проходящих по территории республики, 329,1 км. Чувашская Республика занимает одно из лидирующих мест в Приволжском федеральном округе по плотности автомобильных дорог с твердым покрытием.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своему значению и объему перевозимых грузов федеральные республиканские дороги выполняют функции опорных маршрутов, формирующих каркас транспортной сети.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Водный транспорт – территорию Чувашии пересекает крупнейшая речная магистраль Европы – Волга. Водными путями до Чувашской Республики можно добраться из Москвы, Санкт-Петербурга, Уфы, Астрахани и других российских городов.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Протяженность внутренних водных судоходных путей по территории Чувашской Республики составляет 407 км. В Чувашской Республике пассажирские и грузовые перевозки внутренним водным транспортом осуществляет АО «Чебоксарский речной порт».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Чебоксарский речной порт </w:t>
      </w:r>
      <w:r>
        <w:rPr>
          <w:rFonts w:ascii="Times New Roman" w:hAnsi="Times New Roman" w:cs="Times New Roman"/>
          <w:sz w:val="28"/>
          <w:szCs w:val="28"/>
        </w:rPr>
        <w:t xml:space="preserve">расположен на правом берегу Чебоксарского водохранилища в г. Чебоксары. В порту оборудован пассажирский причал длиной 427 метров (при возможности одновременной обработки 15 судов, в том числе шести транзитных (круизных), а также рейды для судов всех типов.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Авиационный транспорт – аэропорт Чебоксары – международный аэропорт федерального значения в столице Чувашской Республики. Являлся базовым аэропортом компании Авиалинии Чувашии. На сегодняшний день базовым оператором аэропорта является ОАО «МАЧ».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Международные транспортные коридоры – строительство участка трассы М–12 в республике, участок в Чувашии планируется к сдаче в 2024 году. Протяженность участка составляет 94 км.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Международный транспортный коридор «Европа–Западный Китай» проходит через Россию (Санкт–Петербург – Москва – Казань – Оренбург), Казахстан (</w:t>
      </w:r>
      <w:r>
        <w:rPr>
          <w:rFonts w:ascii="Times New Roman" w:hAnsi="Times New Roman" w:cs="Times New Roman"/>
          <w:sz w:val="28"/>
          <w:szCs w:val="28"/>
        </w:rPr>
        <w:t xml:space="preserve">Актоби</w:t>
      </w:r>
      <w:r>
        <w:rPr>
          <w:rFonts w:ascii="Times New Roman" w:hAnsi="Times New Roman" w:cs="Times New Roman"/>
          <w:sz w:val="28"/>
          <w:szCs w:val="28"/>
        </w:rPr>
        <w:t xml:space="preserve"> – Кызылорда – Шымкент – Алматы) и Китай (Урумчи – Ланьчжоу – Чжэнчжоу – Ляньюньган).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транспортная инфраструктура региона включает: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421,2 км – протяженность путей общего пользования;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116,6 км протяженность путей необщего пользования;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6 железнодорожных вокзалов – в городах Чебоксары, Канаш, Шумерля, Алатырь, населенных пунктах Урмары и Вурнары;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69 железнодорожных станций;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1 международный аэропорт г. Чебоксары имени А.Г. Николаева;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речной порт в г. Чебоксары;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грузовой порт в г. Новочебоксарск;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3 автовокзала – 2 в г. Чебоксары и 1 в г. Канаш;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диспетчерско-кассовые пункты в г. Алатырь, с. Аликово, с. Батырево, п. Вурнары, п. </w:t>
      </w:r>
      <w:r>
        <w:rPr>
          <w:rFonts w:ascii="Times New Roman" w:hAnsi="Times New Roman" w:cs="Times New Roman"/>
          <w:sz w:val="28"/>
          <w:szCs w:val="28"/>
        </w:rPr>
        <w:t xml:space="preserve">Ибреси</w:t>
      </w:r>
      <w:r>
        <w:rPr>
          <w:rFonts w:ascii="Times New Roman" w:hAnsi="Times New Roman" w:cs="Times New Roman"/>
          <w:sz w:val="28"/>
          <w:szCs w:val="28"/>
        </w:rPr>
        <w:t xml:space="preserve">, с. Комсомольское, с. Красноармейское, с. Красные </w:t>
      </w:r>
      <w:r>
        <w:rPr>
          <w:rFonts w:ascii="Times New Roman" w:hAnsi="Times New Roman" w:cs="Times New Roman"/>
          <w:sz w:val="28"/>
          <w:szCs w:val="28"/>
        </w:rPr>
        <w:t xml:space="preserve">Четаи</w:t>
      </w:r>
      <w:r>
        <w:rPr>
          <w:rFonts w:ascii="Times New Roman" w:hAnsi="Times New Roman" w:cs="Times New Roman"/>
          <w:sz w:val="28"/>
          <w:szCs w:val="28"/>
        </w:rPr>
        <w:t xml:space="preserve">, г. Новочебоксарск, п. Урмары, с. Шемурша, г. Шумерля, г. Ядрин, с. Яльчики, с. Янтиково;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крупнейшие железнодорожные станции: вокзал г. Чебоксары, вокзал г. Канаш;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крупнейшее локомотивное депо на станции в г. Канаш.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перспективе регионом рассматривается проект по созданию торгово–логистической инфраструктуры в странах Ближнего Востока и Индии (в настоящее время ведется работа по поиску партнеров, переговоры с коллегами из зарубежных стран).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Логистический проек</w:t>
      </w:r>
      <w:r>
        <w:rPr>
          <w:rFonts w:ascii="Times New Roman" w:hAnsi="Times New Roman" w:cs="Times New Roman"/>
          <w:sz w:val="28"/>
          <w:szCs w:val="28"/>
        </w:rPr>
        <w:t xml:space="preserve">т является составной частью международного транспортного коридора «Север–Юг». Он позволит обеспечить прямую доставку сборных грузов от портовых терминалов Средней Волги, Приволжья и Европейской России к Каспийскому морю и далее до портов Персидского залива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2030 году повышению потенциала транспортной инфраструктуры Чувашской Республики будет способствовать строи</w:t>
      </w:r>
      <w:r>
        <w:rPr>
          <w:rFonts w:ascii="Times New Roman" w:hAnsi="Times New Roman" w:cs="Times New Roman"/>
          <w:sz w:val="28"/>
          <w:szCs w:val="28"/>
        </w:rPr>
        <w:t xml:space="preserve">тельство в 2025–2027 гг. причальных стенок в г. Козловка и г. Мариинский Посад, благоустройство прибрежной территории в г. Мариинский Посад в рамках реализации мероприятия «Развитие обеспечивающей и туристской инфраструктуры в сфере промышленного, делового</w:t>
      </w:r>
      <w:r>
        <w:rPr>
          <w:rFonts w:ascii="Times New Roman" w:hAnsi="Times New Roman" w:cs="Times New Roman"/>
          <w:sz w:val="28"/>
          <w:szCs w:val="28"/>
        </w:rPr>
        <w:t xml:space="preserve"> и событийного туризма, а также в рамках промышленной реновации (в том числе придорожной инфраструктуры, улучшение благоустройства туристских территорий) проекта индивидуальной программы социально–экономического развития Чувашской Республики до 2030 года.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Комплексное строительство причальных стенок в г. Мариинский Посад и г. Козловка позволит решить ряд стратегических вопросов: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формирование необходимой инфраструктуры приема туристических и скоростных междугородних судов – к 2030 году планируется принимать 80 000 туристов ежегодно;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формирование инфраструктуры по приему гостей и туристов – благоустройство прилегающей территории обеспечит комфортность их пребывания;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улучшение экологической обстановки – современные технологии строительства причальной стенки, реконструкция инженерных сетей способствуют снижению экологической нагрузки на водоем и прилегающие территории;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обеспечение безопасности транспорта – новые причальные стенки будут отвечать всем современным требованиям безопасности, обеспечивая надежную швартовку и стоянку судов;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модернизаци</w:t>
      </w:r>
      <w:r>
        <w:rPr>
          <w:rFonts w:ascii="Times New Roman" w:hAnsi="Times New Roman" w:cs="Times New Roman"/>
          <w:sz w:val="28"/>
          <w:szCs w:val="28"/>
        </w:rPr>
        <w:t xml:space="preserve">я инженерных сетей и благоустройство территории –строительство причальной стенки сопряжено с модернизацией инженерных сетей и благоустройством прилегающей территории, что приведет к улучшению коммунального обслуживания и повышению качества городской среды;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устойчивый рост речного пассажиропотока – наличие современной причальной инфраструктуры позволит принимать большее количество речных судов, что, в свою очередь, способствует увеличению пассажиропотока и развитию речного транспорта в регионе.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ind w:firstLine="709"/>
        <w:spacing w:line="360" w:lineRule="auto"/>
        <w:rPr>
          <w:b w:val="0"/>
          <w:bCs w:val="0"/>
          <w:sz w:val="28"/>
        </w:rPr>
      </w:pPr>
      <w:r/>
      <w:bookmarkStart w:id="18" w:name="_Toc176798813"/>
      <w:r>
        <w:rPr>
          <w:b w:val="0"/>
          <w:bCs w:val="0"/>
          <w:sz w:val="28"/>
        </w:rPr>
        <w:t xml:space="preserve">13. Характеристика экспортного потенциала</w:t>
      </w:r>
      <w:bookmarkEnd w:id="18"/>
      <w:r>
        <w:rPr>
          <w:b w:val="0"/>
          <w:bCs w:val="0"/>
          <w:sz w:val="28"/>
        </w:rPr>
      </w:r>
      <w:r>
        <w:rPr>
          <w:b w:val="0"/>
          <w:bCs w:val="0"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 из приоритетных задач Чувашской Республики –</w:t>
      </w:r>
      <w:r>
        <w:rPr>
          <w:rFonts w:ascii="Times New Roman" w:hAnsi="Times New Roman" w:cs="Times New Roman"/>
          <w:sz w:val="28"/>
          <w:szCs w:val="28"/>
        </w:rPr>
        <w:t xml:space="preserve"> развитие экспортного потенциала агропромышленного комплекса. В 2023 году с территории региона было экспортировано продукции агропромышленного комплекса на сумму 51,28 млн. долларов США, что на 2,1% выше уровня 2022 года и в 2,1 раза выше уровня 2018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Лидирующие позиции в структуре </w:t>
      </w:r>
      <w:r>
        <w:rPr>
          <w:rFonts w:ascii="Times New Roman" w:hAnsi="Times New Roman" w:cs="Times New Roman"/>
          <w:sz w:val="28"/>
          <w:szCs w:val="28"/>
        </w:rPr>
        <w:t xml:space="preserve">экспортных поставок региона занимает пищевая продукция – 60,45% от общего объема экспорта Чувашской Республики. Основными категориями экспорта продукции АПК республики являются кондитерские изделия, шоколад, яйца птиц, масличные семена и мясная продукция.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Главными драйверами роста экспортного потенциала АПК Чувашской Республики в последние 2 – 3 года стали мясная и пищевая отрасли. При этом </w:t>
      </w:r>
      <w:r>
        <w:rPr>
          <w:rFonts w:ascii="Times New Roman" w:hAnsi="Times New Roman" w:cs="Times New Roman"/>
          <w:sz w:val="28"/>
          <w:szCs w:val="28"/>
        </w:rPr>
        <w:t xml:space="preserve">с 2022 года в структуре поставок стала увеличиваться доля мясной про</w:t>
      </w:r>
      <w:r>
        <w:rPr>
          <w:rFonts w:ascii="Times New Roman" w:hAnsi="Times New Roman" w:cs="Times New Roman"/>
          <w:sz w:val="28"/>
          <w:szCs w:val="28"/>
        </w:rPr>
        <w:t xml:space="preserve">дукции (24,3 % от общего экспорта региона), при одновременном сокращении доли пищевой. В Чувашской Республике в последние годы также наращиваются объемы экспортных поставок мучных кондитерских изделий, мяса птицы, шоколада, кофе, масличных семян и плодов.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средняя стоимость экспортной продукции АПК в Чувашской Республики более чем в 4 раза превышает среднероссийское значение, что связано с высокой долей переработанной продукции в структуре экспорта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Ключевыми странами, в которые экспортируется агропромышленная продукции из Чувашской Республики, являются: Китай, Беларусь, Казахстан, Азербайджан, Таджикистан, Германия.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разрезе экспортируемых групп товарной продукции основной экспорт приходится на следующие страны: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 экспортным поставкам мучных кондитерских изделий из Чувашской Республики – Китай, Таджикистан, Азербайджан;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мяса птицы – Китай;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шоколада – Азербайджан, Китай, Таджикистан;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масличных семян и плодов – Польша, Германия, Бельгия;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сахаристым кондитерским изделиям – Казахстан, Беларусь, Таджикистан;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семенам льна – Польша, Германия, Литва;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воды без сахара – Беларусь;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масла подсолнечного – Беларусь;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семян, плодов для посева – Италия, Беларусь, Казахстан;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гречихи, проса, прочее – Бельгия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картофеля – Казахстан;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майонеза и других соусов – Беларусь;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муки пшеничной или пшенично-ржаной – Таджикистан, Азербайджан;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овощей (кроме зернобобовых и картофеля) – Беларусь, Казахстан, Молдова;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живых животных – Казахстан.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перспективных стран для дальнейшего развития экспорта продукции АПК региона и наращивания поставок в настоящее время являются: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 части поставок мучных кондитерских изделий – Киргизия и Монголия;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фуражного ячменя – Иран, Саудовская Аравия;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гороха – Китай, Индия;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мяса птицы – Казахстан, Киргизия, Саудовская, Аравия, ОАЭ, Сербия, Азербайджан, Бахрейн, Монголия, Узбекистан, и Таджикистан;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шоколада – Армения, Монголия, Абхазия и Афганистан;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масличных семян и плодов – Бахрейн, Турция, Беларусь и Армения;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сахаристых кондитерских изделий – Монголия, Армения, Грузия и Афганистан;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семян льна – Египет, Казахстан и Армения;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воды без сахара – Казахстан, Монголия, Азербайджан, Туркменистан, Китай, Узбекистан, Молдова и Киргизия;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масла подсолнечного – Индия, Алжир, Азербайджан, Катар, Иордания, Грузия, Саудовская Аравия, ОАЭ, Джибути, Узбекистан, Мозамбик и Ливан.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долгосрочном периоде решению стратегической задачи региона по наращи</w:t>
      </w:r>
      <w:r>
        <w:rPr>
          <w:rFonts w:ascii="Times New Roman" w:hAnsi="Times New Roman" w:cs="Times New Roman"/>
          <w:sz w:val="28"/>
          <w:szCs w:val="28"/>
        </w:rPr>
        <w:t xml:space="preserve">ванию объемов экспорта в стоимостном выражении может способствовать развитие собственных производственных мощностей по глубокой переработке молока, плодов и ягод, что будет способствовать экспорту регионом продукции с более высокой добавленной стоимостью.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Прогнозные показатели региона по развитию экспортного потенциала представлены в Приложении 3.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ind w:firstLine="709"/>
        <w:spacing w:line="360" w:lineRule="auto"/>
        <w:rPr>
          <w:b w:val="0"/>
          <w:bCs w:val="0"/>
          <w:sz w:val="28"/>
        </w:rPr>
      </w:pPr>
      <w:r/>
      <w:bookmarkStart w:id="19" w:name="_Toc176798814"/>
      <w:r>
        <w:rPr>
          <w:b w:val="0"/>
          <w:bCs w:val="0"/>
          <w:sz w:val="28"/>
        </w:rPr>
        <w:t xml:space="preserve">14. Межрегиональная торговля</w:t>
      </w:r>
      <w:bookmarkEnd w:id="19"/>
      <w:r>
        <w:rPr>
          <w:b w:val="0"/>
          <w:bCs w:val="0"/>
          <w:sz w:val="28"/>
        </w:rPr>
      </w:r>
      <w:r>
        <w:rPr>
          <w:b w:val="0"/>
          <w:bCs w:val="0"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в топ 5 продовольственных товаров, ввезенных в Чувашскую Республику из других регионов, вошли: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мука – объем ввоза данной продукции составил 75,5 тыс. тонн, что на 25,38 % больше, чем 2022 году;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кондитерские изделия – объем ввоза данной продукции составил 53,7 тыс. тонн, что на 1,54% меньше, чем 2022 году;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мясо и мясо птицы, кроме субпродуктов – 16,9 тыс. тонн;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масла растительные – объем ввоза данной продукции составил 10,5 тыс. тонн, что на 5,25% больше, чем 2022 году;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изделия колбасные – объем ввоза данной продукции составил 4,1 тыс. тонн, что на 76,25% больше, чем 2022 году.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Наибольшие объемы в другие регионы вывозятся Чувашской Республикой по следующим видам продовольственных товаров: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мясо и мясо птицы, кроме субпродуктов – объем вывоза данной продукции составил 8,2 тыс. тонн, что на 54,52% больше, чем 2022 году;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консервы мясные – 7,1 тыс. тонн, что в 5,4 раза больше, чем 2022 году;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сахар белый свекловичный или тростниковый в твердом состоянии без вкусоароматических или красящих добавок – 6,2 тыс. тонн, что на 30,33% меньше, чем 2022 году;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кондитерские изделия – 5,2 тыс. тонн, что на 61,34% меньше, чем 2022 году;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изделия колбасные – 5 тыс. тонн, что на 3,48% меньше, чем 2022 году.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части межрегиональной торговли Чувашской Ре</w:t>
      </w:r>
      <w:r>
        <w:rPr>
          <w:rFonts w:ascii="Times New Roman" w:hAnsi="Times New Roman" w:cs="Times New Roman"/>
          <w:sz w:val="28"/>
          <w:szCs w:val="28"/>
        </w:rPr>
        <w:t xml:space="preserve">спублики картофелем объемы вывоза из республики превышают объемы ввоза из других регионов. При этом наибольшие объемы вывоза картофеля приходятся на Самарскую область, Московскую область, Республику Татарстан, Республику Башкортостан и Ульяновскую область.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Оборот межрегио</w:t>
      </w:r>
      <w:r>
        <w:rPr>
          <w:rFonts w:ascii="Times New Roman" w:hAnsi="Times New Roman" w:cs="Times New Roman"/>
          <w:sz w:val="28"/>
          <w:szCs w:val="28"/>
        </w:rPr>
        <w:t xml:space="preserve">нальной торговли овощами в Чувашской Республике демонстрирует положительную динамику. При этом объемы вывоза данной продукции из Чувашской Республики значительно превышают объемы ввоза из других регионов. Так, наибольшие объемы вывоза овощей из республики </w:t>
      </w:r>
      <w:r>
        <w:rPr>
          <w:rFonts w:ascii="Times New Roman" w:hAnsi="Times New Roman" w:cs="Times New Roman"/>
          <w:sz w:val="28"/>
          <w:szCs w:val="28"/>
        </w:rPr>
        <w:t xml:space="preserve">приходятся на г. Москва, Удмуртскую Республику, Татарстан, Кировскую и Московскую области.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регионами ввоза овощей в Чувашскую Республику являются Астраханская область, Волгоградская область, Пермский край и Ростовская область.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долгосрочном периоде одной из основных стратегических задач региона по развитию межрегиональной торговли является увеличение доли переработанной сельхозп</w:t>
      </w:r>
      <w:r>
        <w:rPr>
          <w:rFonts w:ascii="Times New Roman" w:hAnsi="Times New Roman" w:cs="Times New Roman"/>
          <w:sz w:val="28"/>
          <w:szCs w:val="28"/>
        </w:rPr>
        <w:t xml:space="preserve">родукции в общем объеме вывоза в другие регионы, решению указанной задачи будет способствовать развитие и увеличение собственных производственных мощностей в Чувашской Республике по глубокой переработке молока, плодов, ягод и овощей, в том числе картофеля.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ind w:firstLine="709"/>
        <w:spacing w:line="360" w:lineRule="auto"/>
        <w:rPr>
          <w:b w:val="0"/>
          <w:bCs w:val="0"/>
          <w:sz w:val="28"/>
          <w:szCs w:val="28"/>
        </w:rPr>
      </w:pPr>
      <w:r/>
      <w:bookmarkStart w:id="20" w:name="_Toc176798815"/>
      <w:r>
        <w:rPr>
          <w:b w:val="0"/>
          <w:bCs w:val="0"/>
          <w:sz w:val="28"/>
        </w:rPr>
        <w:t xml:space="preserve">15. Развитие сельских территорий</w:t>
      </w:r>
      <w:bookmarkEnd w:id="20"/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Чувашской Республике в сельской местности проживает 35,6% населения региона. Доля среднемесячных располагаемых ресурсов сельских домохозяйств к городским домохозяйствам составляет 78,83%.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Всего на комплексное развитие сельских территорий в рамках всех госпрограмм в 2023 году направлено 7 млрд. рублей, в том числе на госпрограмму КРСТ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1,9 млрд. рублей.</w:t>
      </w:r>
      <w:r>
        <w:rPr>
          <w:rFonts w:ascii="Times New Roman" w:hAnsi="Times New Roman" w:cs="Times New Roman"/>
          <w:color w:val="000000" w:themeColor="text1"/>
          <w:sz w:val="28"/>
          <w:szCs w:val="28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14:ligatures w14:val="none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развития сельских территорий в регионе благоустраиваются территории, реализуются инициативные проекты, обустраиваются коммуникации для компактной жилищной застройки, разрабатывается проектная документация. Так, в 2023 году: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мерами по улучшению жилищных условий (получение социальных выплат до 70% от стоимости строительства и приобретения жилья на селе) воспользовалась 61 семья;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сельской ипотекой под 3% воспользовались 209 семей, с льготной ставкой от 0,1 до 1% – 187 семей;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 рамках проектов компактной жилищной застройки построено 29,4 км сетей газоснабжения, 3,1 км – водоснабжения, 1,6 – электроснабжения.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в Чувашской Республике помимо</w:t>
      </w:r>
      <w:r>
        <w:rPr>
          <w:rFonts w:ascii="Times New Roman" w:hAnsi="Times New Roman" w:cs="Times New Roman"/>
          <w:sz w:val="28"/>
          <w:szCs w:val="28"/>
        </w:rPr>
        <w:t xml:space="preserve"> 17 опорных пунктов, входящих в федеральный список, определено дополнительно 78 опорных пунктов регионального уровня в целях обеспечения ускоренного развития инфраструктуры на территориях, где есть бизнес, рабочие места и хорошая демографическая ситуация.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развития сельских территорий в Чувашской Республике реализуются социальные и инфраструктурные проекты.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Начиная с 2017 года в Чувашской Республике реализуется республиканс</w:t>
      </w:r>
      <w:r>
        <w:rPr>
          <w:rFonts w:ascii="Times New Roman" w:hAnsi="Times New Roman" w:cs="Times New Roman"/>
          <w:sz w:val="28"/>
          <w:szCs w:val="28"/>
        </w:rPr>
        <w:t xml:space="preserve">кий механизм – инициативные проекты, который направлен на содействие решению вопросов местного значения, внедрение механизмов инициативного бюджетирования, дополнительное стимулирование и развитие взаимодействия органов местного самоуправления и населения.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за 2017–2023 годы по инициативе жителей республики реализовано</w:t>
      </w:r>
      <w:r>
        <w:rPr>
          <w:rFonts w:ascii="Times New Roman" w:hAnsi="Times New Roman" w:cs="Times New Roman"/>
          <w:sz w:val="28"/>
          <w:szCs w:val="28"/>
        </w:rPr>
        <w:t xml:space="preserve"> 4 712 проектов: отремонтировано 1 700 автомобильных дорог, 1 043 объекта коммунального хозяйства, 383 объекта мест захоронений, 401 объект мест массового отдыха населения, 341 детская и игровая площадка, 301 объект социально-культурной сферы, обустроено 2</w:t>
      </w:r>
      <w:r>
        <w:rPr>
          <w:rFonts w:ascii="Times New Roman" w:hAnsi="Times New Roman" w:cs="Times New Roman"/>
          <w:sz w:val="28"/>
          <w:szCs w:val="28"/>
        </w:rPr>
        <w:t xml:space="preserve">65 водных объектов для обеспечения пожарной безопасности, очищено 132 водоема (озер, прудов), отремонтировано 34 объекта мер пожарной безопасности, 110 объектов благоустройства территории населенных пунктов, обустроено 2 водных объекта (места для купания).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2024 год всего отобрано 1 490 проектов на общую сумму 2,5 млрд рублей, из них на 1 116 проектов предусмотрены средства бюджета республики в сумме 1,2 млрд рублей.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и представление администрациями муни</w:t>
      </w:r>
      <w:r>
        <w:rPr>
          <w:rFonts w:ascii="Times New Roman" w:hAnsi="Times New Roman" w:cs="Times New Roman"/>
          <w:sz w:val="28"/>
          <w:szCs w:val="28"/>
        </w:rPr>
        <w:t xml:space="preserve">ципальных округов Чувашской Республики заявок на участие в конкурсном отборе инициативных проектов для реализации на территории муниципальных округов Чувашской Республики в 2025 году будет осуществляться посредством информационной системы «Чувашия онлайн».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в рамках государственной программы Чувашской Республики «Комплексное разв</w:t>
      </w:r>
      <w:r>
        <w:rPr>
          <w:rFonts w:ascii="Times New Roman" w:hAnsi="Times New Roman" w:cs="Times New Roman"/>
          <w:sz w:val="28"/>
          <w:szCs w:val="28"/>
        </w:rPr>
        <w:t xml:space="preserve">итие сельских территорий Чувашской Республики» (далее – программа КРСТ) на реализацию проектов комплексного развития сельских территорий (сельских агломераций) направлено 534,3 млн рублей, в том числе 431,4 млн рублей за счет средств федерального бюджета.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Средства направлены на реализацию 4 проектов: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комплексное развитие г. Мариинский–Посад </w:t>
      </w:r>
      <w:r>
        <w:rPr>
          <w:rFonts w:ascii="Times New Roman" w:hAnsi="Times New Roman" w:cs="Times New Roman"/>
          <w:sz w:val="28"/>
          <w:szCs w:val="28"/>
        </w:rPr>
        <w:t xml:space="preserve">Мариинско</w:t>
      </w:r>
      <w:r>
        <w:rPr>
          <w:rFonts w:ascii="Times New Roman" w:hAnsi="Times New Roman" w:cs="Times New Roman"/>
          <w:sz w:val="28"/>
          <w:szCs w:val="28"/>
        </w:rPr>
        <w:t xml:space="preserve">–Посадского муниципального округа Чувашской Республики, в составе которого построена школа на 375 мест в г. Мариинский Посад Чувашской Республики;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комплексное развитие села Чурачики </w:t>
      </w:r>
      <w:r>
        <w:rPr>
          <w:rFonts w:ascii="Times New Roman" w:hAnsi="Times New Roman" w:cs="Times New Roman"/>
          <w:sz w:val="28"/>
          <w:szCs w:val="28"/>
        </w:rPr>
        <w:t xml:space="preserve">Чурачикского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Цивильского муниципального округа Чувашской Республики, в составе которого предусмотрено строительство следующих объектов: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Чурачикская</w:t>
      </w:r>
      <w:r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Цивильского муниципального округа Чувашской Республики;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водозаборного узла системы водоснабжения с. Чурачики ул. Озерная дом 18 Цивильского муниципального округа Чувашской Республики;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наружные сети интернета и кабельного телевидения по улице 40 лет Победы с. Чурачики Цивильского муниципального округа Чувашской Республики;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комплексное развитие с. </w:t>
      </w:r>
      <w:r>
        <w:rPr>
          <w:rFonts w:ascii="Times New Roman" w:hAnsi="Times New Roman" w:cs="Times New Roman"/>
          <w:sz w:val="28"/>
          <w:szCs w:val="28"/>
        </w:rPr>
        <w:t xml:space="preserve">Янгличи</w:t>
      </w:r>
      <w:r>
        <w:rPr>
          <w:rFonts w:ascii="Times New Roman" w:hAnsi="Times New Roman" w:cs="Times New Roman"/>
          <w:sz w:val="28"/>
          <w:szCs w:val="28"/>
        </w:rPr>
        <w:t xml:space="preserve"> и д. Средние </w:t>
      </w:r>
      <w:r>
        <w:rPr>
          <w:rFonts w:ascii="Times New Roman" w:hAnsi="Times New Roman" w:cs="Times New Roman"/>
          <w:sz w:val="28"/>
          <w:szCs w:val="28"/>
        </w:rPr>
        <w:t xml:space="preserve">Татмыши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Янгличского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Канашского муниципального округа Чувашской Республики», в составе которого предусмотрено строительство следующих объектов: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средняя общеобразовательная школа на 165 ученических мест с при-строем помещений для дошкольных групп на 40 мест в с. </w:t>
      </w:r>
      <w:r>
        <w:rPr>
          <w:rFonts w:ascii="Times New Roman" w:hAnsi="Times New Roman" w:cs="Times New Roman"/>
          <w:sz w:val="28"/>
          <w:szCs w:val="28"/>
        </w:rPr>
        <w:t xml:space="preserve">Янгличи</w:t>
      </w:r>
      <w:r>
        <w:rPr>
          <w:rFonts w:ascii="Times New Roman" w:hAnsi="Times New Roman" w:cs="Times New Roman"/>
          <w:sz w:val="28"/>
          <w:szCs w:val="28"/>
        </w:rPr>
        <w:t xml:space="preserve"> Канашского муниципального округа;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строительство блочно-модульной котельной </w:t>
      </w:r>
      <w:r>
        <w:rPr>
          <w:rFonts w:ascii="Times New Roman" w:hAnsi="Times New Roman" w:cs="Times New Roman"/>
          <w:sz w:val="28"/>
          <w:szCs w:val="28"/>
        </w:rPr>
        <w:t xml:space="preserve">Янгличского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дома культуры по адресу: Чувашская Республика, Канашский муниципальный округ, с. </w:t>
      </w:r>
      <w:r>
        <w:rPr>
          <w:rFonts w:ascii="Times New Roman" w:hAnsi="Times New Roman" w:cs="Times New Roman"/>
          <w:sz w:val="28"/>
          <w:szCs w:val="28"/>
        </w:rPr>
        <w:t xml:space="preserve">Янгличи</w:t>
      </w:r>
      <w:r>
        <w:rPr>
          <w:rFonts w:ascii="Times New Roman" w:hAnsi="Times New Roman" w:cs="Times New Roman"/>
          <w:sz w:val="28"/>
          <w:szCs w:val="28"/>
        </w:rPr>
        <w:t xml:space="preserve">, ул. Ленина, д.73;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ВОЛС от </w:t>
      </w:r>
      <w:r>
        <w:rPr>
          <w:rFonts w:ascii="Times New Roman" w:hAnsi="Times New Roman" w:cs="Times New Roman"/>
          <w:sz w:val="28"/>
          <w:szCs w:val="28"/>
        </w:rPr>
        <w:t xml:space="preserve">Среднетатмышского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Дома культуры МБУК «Централизованная клубная система» до МБДОУ «</w:t>
      </w:r>
      <w:r>
        <w:rPr>
          <w:rFonts w:ascii="Times New Roman" w:hAnsi="Times New Roman" w:cs="Times New Roman"/>
          <w:sz w:val="28"/>
          <w:szCs w:val="28"/>
        </w:rPr>
        <w:t xml:space="preserve">Среднетатмышский</w:t>
      </w:r>
      <w:r>
        <w:rPr>
          <w:rFonts w:ascii="Times New Roman" w:hAnsi="Times New Roman" w:cs="Times New Roman"/>
          <w:sz w:val="28"/>
          <w:szCs w:val="28"/>
        </w:rPr>
        <w:t xml:space="preserve"> детский сад «Солнышко» Канашского муниципального округа Чувашской Республики;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комплексное развитие села </w:t>
      </w:r>
      <w:r>
        <w:rPr>
          <w:rFonts w:ascii="Times New Roman" w:hAnsi="Times New Roman" w:cs="Times New Roman"/>
          <w:sz w:val="28"/>
          <w:szCs w:val="28"/>
        </w:rPr>
        <w:t xml:space="preserve">Ходары</w:t>
      </w:r>
      <w:r>
        <w:rPr>
          <w:rFonts w:ascii="Times New Roman" w:hAnsi="Times New Roman" w:cs="Times New Roman"/>
          <w:sz w:val="28"/>
          <w:szCs w:val="28"/>
        </w:rPr>
        <w:t xml:space="preserve"> Шумерлинского муниципального округа Чувашской Республики». В составе проекта построена </w:t>
      </w:r>
      <w:r>
        <w:rPr>
          <w:rFonts w:ascii="Times New Roman" w:hAnsi="Times New Roman" w:cs="Times New Roman"/>
          <w:sz w:val="28"/>
          <w:szCs w:val="28"/>
        </w:rPr>
        <w:t xml:space="preserve">блочно</w:t>
      </w:r>
      <w:r>
        <w:rPr>
          <w:rFonts w:ascii="Times New Roman" w:hAnsi="Times New Roman" w:cs="Times New Roman"/>
          <w:sz w:val="28"/>
          <w:szCs w:val="28"/>
        </w:rPr>
        <w:t xml:space="preserve">–модульная котельная МАОУ «</w:t>
      </w:r>
      <w:r>
        <w:rPr>
          <w:rFonts w:ascii="Times New Roman" w:hAnsi="Times New Roman" w:cs="Times New Roman"/>
          <w:sz w:val="28"/>
          <w:szCs w:val="28"/>
        </w:rPr>
        <w:t xml:space="preserve">Ходарская</w:t>
      </w:r>
      <w:r>
        <w:rPr>
          <w:rFonts w:ascii="Times New Roman" w:hAnsi="Times New Roman" w:cs="Times New Roman"/>
          <w:sz w:val="28"/>
          <w:szCs w:val="28"/>
        </w:rPr>
        <w:t xml:space="preserve"> СОШ им. И.Н. Ульянова».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2024 году в рамках программы КРСТ на реализацию проектов комплексного развития сельских территорий (сельских агломераций) планируется направить – 490,1 млн. рублей.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Достижению стратегических задач региона по устойчивому развитию сельских территорий в перспективном периоде до 2030 года будет способствовать обеспечение стабилизации численности сельского населения за счет создания новых рабочих мест; комфортных усло</w:t>
      </w:r>
      <w:r>
        <w:rPr>
          <w:rFonts w:ascii="Times New Roman" w:hAnsi="Times New Roman" w:cs="Times New Roman"/>
          <w:sz w:val="28"/>
          <w:szCs w:val="28"/>
        </w:rPr>
        <w:t xml:space="preserve">вий для проживания путем решения задач комплексного обустройства объектами социальной и инженерной инфраструктуры сельских поселений; удовлетворения потребностей сельского населения в благоустроенном жилье, в том числе молодых семей и молодых специалистов.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ind w:firstLine="709"/>
        <w:spacing w:line="360" w:lineRule="auto"/>
        <w:rPr>
          <w:b w:val="0"/>
          <w:bCs w:val="0"/>
          <w:sz w:val="28"/>
        </w:rPr>
      </w:pPr>
      <w:r/>
      <w:bookmarkStart w:id="21" w:name="undefined"/>
      <w:r/>
      <w:bookmarkStart w:id="22" w:name="_Toc176798816"/>
      <w:r>
        <w:rPr>
          <w:b w:val="0"/>
          <w:bCs w:val="0"/>
          <w:sz w:val="28"/>
        </w:rPr>
        <w:t xml:space="preserve">16. Подготовка кадров</w:t>
      </w:r>
      <w:bookmarkEnd w:id="21"/>
      <w:r/>
      <w:bookmarkEnd w:id="22"/>
      <w:r>
        <w:rPr>
          <w:b w:val="0"/>
          <w:bCs w:val="0"/>
          <w:sz w:val="28"/>
        </w:rPr>
        <w:t xml:space="preserve">  </w:t>
      </w:r>
      <w:r>
        <w:rPr>
          <w:b w:val="0"/>
          <w:bCs w:val="0"/>
          <w:sz w:val="28"/>
        </w:rPr>
      </w:r>
      <w:r>
        <w:rPr>
          <w:b w:val="0"/>
          <w:bCs w:val="0"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развития кадрового потенциала агропромышленного комплекса Чувашской</w:t>
      </w:r>
      <w:r>
        <w:rPr>
          <w:rFonts w:ascii="Times New Roman" w:hAnsi="Times New Roman" w:cs="Times New Roman"/>
          <w:sz w:val="28"/>
          <w:szCs w:val="28"/>
        </w:rPr>
        <w:t xml:space="preserve"> Республики в регионе реализуется комплексный подход «детский сад – школа – сельскохозяйственный техникум – аграрный вуз – учреждение допобразования – предприятие», в рамках которого на всех этапах прививаются знания об отрасли, необходимые навыки, умения.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в муниципальных округах Чувашской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при поддержке агробизнеса создано порядка 111 агролабораторий. В детских садах создают необходимые условия для всестороннего развития детей дошкольного возраста в соответствии с современными требованиями и развитием ранней профориентации для дошкольников.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2016 года ФГБОУ ВО «Чувашский государственный аграрный университет» совместно с Министерством сельского хозяйства Чувашской Республики реализуется программа «Специализиров</w:t>
      </w:r>
      <w:r>
        <w:rPr>
          <w:rFonts w:ascii="Times New Roman" w:hAnsi="Times New Roman" w:cs="Times New Roman"/>
          <w:sz w:val="28"/>
          <w:szCs w:val="28"/>
        </w:rPr>
        <w:t xml:space="preserve">анные классы естественнонаучного и инженерного направлений» (далее – агроклассы). Агроклассы были открыты во всех муниципальных округах. За период 2016–2023 гг. в агроклассы были зачислены 2 398 обучающихся, двухлетнее обучение завершили 1 854 обучающихся.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Первые выпускники работают в Министерстве сельского хозяйства Чувашской Республики, АО «Агрофирма «</w:t>
      </w:r>
      <w:r>
        <w:rPr>
          <w:rFonts w:ascii="Times New Roman" w:hAnsi="Times New Roman" w:cs="Times New Roman"/>
          <w:sz w:val="28"/>
          <w:szCs w:val="28"/>
        </w:rPr>
        <w:t xml:space="preserve">Ольдеевская</w:t>
      </w:r>
      <w:r>
        <w:rPr>
          <w:rFonts w:ascii="Times New Roman" w:hAnsi="Times New Roman" w:cs="Times New Roman"/>
          <w:sz w:val="28"/>
          <w:szCs w:val="28"/>
        </w:rPr>
        <w:t xml:space="preserve">», ООО «</w:t>
      </w:r>
      <w:r>
        <w:rPr>
          <w:rFonts w:ascii="Times New Roman" w:hAnsi="Times New Roman" w:cs="Times New Roman"/>
          <w:sz w:val="28"/>
          <w:szCs w:val="28"/>
        </w:rPr>
        <w:t xml:space="preserve">Воддорстрой</w:t>
      </w:r>
      <w:r>
        <w:rPr>
          <w:rFonts w:ascii="Times New Roman" w:hAnsi="Times New Roman" w:cs="Times New Roman"/>
          <w:sz w:val="28"/>
          <w:szCs w:val="28"/>
        </w:rPr>
        <w:t xml:space="preserve">», учатся в магистратуре. Более 120 </w:t>
      </w:r>
      <w:r>
        <w:rPr>
          <w:rFonts w:ascii="Times New Roman" w:hAnsi="Times New Roman" w:cs="Times New Roman"/>
          <w:sz w:val="28"/>
          <w:szCs w:val="28"/>
        </w:rPr>
        <w:t xml:space="preserve">агроклассников</w:t>
      </w:r>
      <w:r>
        <w:rPr>
          <w:rFonts w:ascii="Times New Roman" w:hAnsi="Times New Roman" w:cs="Times New Roman"/>
          <w:sz w:val="28"/>
          <w:szCs w:val="28"/>
        </w:rPr>
        <w:t xml:space="preserve"> получают образование в Чувашском ГАУ.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агроклассов успешно синхронизирована с региональным проектом – </w:t>
      </w:r>
      <w:r>
        <w:rPr>
          <w:rFonts w:ascii="Times New Roman" w:hAnsi="Times New Roman" w:cs="Times New Roman"/>
          <w:sz w:val="28"/>
          <w:szCs w:val="28"/>
        </w:rPr>
        <w:t xml:space="preserve">Учебно</w:t>
      </w:r>
      <w:r>
        <w:rPr>
          <w:rFonts w:ascii="Times New Roman" w:hAnsi="Times New Roman" w:cs="Times New Roman"/>
          <w:sz w:val="28"/>
          <w:szCs w:val="28"/>
        </w:rPr>
        <w:t xml:space="preserve">–Производственные Классы – 21 (УПК–21).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2024 году в них обучается 462 школьника 10–11 классов. В 2023 году в аграрный ВУЗ поступило 17% выпускников агроклассов.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</w:t>
      </w:r>
      <w:r>
        <w:rPr>
          <w:rFonts w:ascii="Times New Roman" w:hAnsi="Times New Roman" w:cs="Times New Roman"/>
          <w:sz w:val="28"/>
          <w:szCs w:val="28"/>
        </w:rPr>
        <w:t xml:space="preserve">023 году начался процесс объединения сельскохозяйственных техникумов Чувашской Республики с учетом введения новых специальностей и профессий, что приведет к созданию ведущей аграрной профессиональной организации, реализующей интегрированные программы разли</w:t>
      </w:r>
      <w:r>
        <w:rPr>
          <w:rFonts w:ascii="Times New Roman" w:hAnsi="Times New Roman" w:cs="Times New Roman"/>
          <w:sz w:val="28"/>
          <w:szCs w:val="28"/>
        </w:rPr>
        <w:t xml:space="preserve">чного уровня. Оптимизация ресурсов и достижение необходимого качества подготовки выпускников, соответствующего требованиям потребителей и заказчиков, станет неотъемлемым условием эффективного сетевого взаимодействия в системе профессионального образования.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Кабинета Министров Чувашской Республики от 27 декабря 2023 г. № 853 принято решение о реорганизации Цивильско</w:t>
      </w:r>
      <w:r>
        <w:rPr>
          <w:rFonts w:ascii="Times New Roman" w:hAnsi="Times New Roman" w:cs="Times New Roman"/>
          <w:sz w:val="28"/>
          <w:szCs w:val="28"/>
        </w:rPr>
        <w:t xml:space="preserve">го аграрно-технологического техникума Минобразования Чувашии в форме присоединения к нему Батыревского агропромышленного техникума Минобразования Чувашии, Мариинско-Посадского технологического техникума Минобразования Чувашии и Ядринского агротехнического </w:t>
      </w:r>
      <w:r>
        <w:rPr>
          <w:rFonts w:ascii="Times New Roman" w:hAnsi="Times New Roman" w:cs="Times New Roman"/>
          <w:sz w:val="28"/>
          <w:szCs w:val="28"/>
        </w:rPr>
        <w:t xml:space="preserve">техникума Минобразования Чувашии, сохранив его основные цели деятельности.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стратегический приоритет: преобразование Цивильского аграрно-технологического техникума Минобразования Чувашии в современный многоуровневый многопрофильный обр</w:t>
      </w:r>
      <w:r>
        <w:rPr>
          <w:rFonts w:ascii="Times New Roman" w:hAnsi="Times New Roman" w:cs="Times New Roman"/>
          <w:sz w:val="28"/>
          <w:szCs w:val="28"/>
        </w:rPr>
        <w:t xml:space="preserve">азовательно-производственный центр, занимающий лидирующие позиции среди профессиональных образовательных организаций аграрного профиля Российской Федерации и способствующий становлению инновационной социально ориентированной экономики Чувашской Республики.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единой аграрной профессиональной образовательной организации позволит решить многие вопросы дублирования специальностей и профессий, выстроить единую стратегию подготовки кадров для сельского хозяйства.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Цивильский аграрный техникум первым из аграрных техникумов стал победителем отбора в рамках федерального проекта «Профессионалитет».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2024 году в рамках федера</w:t>
      </w:r>
      <w:r>
        <w:rPr>
          <w:rFonts w:ascii="Times New Roman" w:hAnsi="Times New Roman" w:cs="Times New Roman"/>
          <w:sz w:val="28"/>
          <w:szCs w:val="28"/>
        </w:rPr>
        <w:t xml:space="preserve">льного проекта «Профессионалитет» на базе Цивильского аграрно-технологического техникума Минобразования Чувашии будет открыт образовательно-производственный центр (кластер) по направлению «Сельское хозяйство» совместно с ООО «Группа компаний «Эстет», ООО «</w:t>
      </w:r>
      <w:r>
        <w:rPr>
          <w:rFonts w:ascii="Times New Roman" w:hAnsi="Times New Roman" w:cs="Times New Roman"/>
          <w:sz w:val="28"/>
          <w:szCs w:val="28"/>
        </w:rPr>
        <w:t xml:space="preserve">Воддорстрой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федерального проекта «Профессионалитет» позволит выстроить единую стратегию подготовки кадров для сельского хозяйства Чувашской Республики.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Координацию работы по развитию кадрового потенциала АПК Минсельхоз Чувашии осуществляет в тесном взаимодействии с ФГБОУ ВО «Чувашский государственный аграрный университет».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ВУЗ является куратором проекта агроклассы, ведет разноплановую профориентационную деятельность и выступает площадкой для объединения ресурсов отраслевых работодателей и ожиданий студентов по направлению </w:t>
      </w:r>
      <w:r>
        <w:rPr>
          <w:rFonts w:ascii="Times New Roman" w:hAnsi="Times New Roman" w:cs="Times New Roman"/>
          <w:sz w:val="28"/>
          <w:szCs w:val="28"/>
        </w:rPr>
        <w:t xml:space="preserve">трудоустройства.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эффективной формой взаимодействия является система «техникум – вуз», так как тесное сотрудничество учреждений среднего профессионального образования и Чувашского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государственного аграрного университета дает возможность пополнять контингент студентов вуза молодежью, которая имеет высокий уровень мотивации профессионального выбора и ориентирована в отношении будущей специальности или направления высшего образования.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взаимного сотрудничества с учреждениями СПО и Чувашским ГАУ реализуется с 2018 года.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заключено 24 договора с учреждениями среднего профессионального образования Чувашской Республики (20) и соседних регионов (4).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проекта: формирование образовательного звена, соедин</w:t>
      </w:r>
      <w:r>
        <w:rPr>
          <w:rFonts w:ascii="Times New Roman" w:hAnsi="Times New Roman" w:cs="Times New Roman"/>
          <w:sz w:val="28"/>
          <w:szCs w:val="28"/>
        </w:rPr>
        <w:t xml:space="preserve">яющего среднее профессиональное образование с высшим аграрным образованием, адаптация студентов СПО и подготовка обучающихся к поступлению в образовательные организации аграрного профиля, подготовка квалифицированных кадров для агропромышленного комплекса.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Подготовку специалистов в Чувашской Республике с высшим профессиональным образованием для агропромышленного комплекса Чувашской Республики осуществляет ФГБОУ ВО «Чувашский государственный аграрный университет».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в ФГБОУ ВО «Чувашский  государственный аграрный университет» завершили обучение 543 выпускника, из них 285 человек по дневной форм</w:t>
      </w:r>
      <w:r>
        <w:rPr>
          <w:rFonts w:ascii="Times New Roman" w:hAnsi="Times New Roman" w:cs="Times New Roman"/>
          <w:sz w:val="28"/>
          <w:szCs w:val="28"/>
        </w:rPr>
        <w:t xml:space="preserve">е обучения, в том числе обучавшихся на бюджетной основе – 240 человек: по специальностям: агрономическим – 39 человек, зоотехническим – 25 человек, техническим – 77 человек, ветеринарным – 52 человек, технология продовольственных товаров – 38 человек и пр.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в рамках целевой контрактной подготовки специалистов академией подготовлено – 15 человек, в 2022 году – 16 человек. </w:t>
      </w:r>
      <w:r>
        <w:rPr>
          <w:rFonts w:ascii="Times New Roman" w:hAnsi="Times New Roman" w:cs="Times New Roman"/>
          <w:sz w:val="28"/>
          <w:szCs w:val="28"/>
        </w:rPr>
        <w:t xml:space="preserve">Трудоустроено в организации АПК – 146 человек, в том числе на целевой основе – 8 человек.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систему непрерывного аграрного образования вовлечены и сами пр</w:t>
      </w:r>
      <w:r>
        <w:rPr>
          <w:rFonts w:ascii="Times New Roman" w:hAnsi="Times New Roman" w:cs="Times New Roman"/>
          <w:sz w:val="28"/>
          <w:szCs w:val="28"/>
        </w:rPr>
        <w:t xml:space="preserve">едприятия АПК. Существенное значение для закрепления кадров в отрасли имеет развитие центров наставничества на аграрных предприятиях республики. В этих центрах молодежь проходит производственные стажировки, на их площадки выносится часть учебного процесса.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Передовые аграрные предприятия республики уже активно применяют новые механизмы для привлечения кадров: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приобретение и передача в собственность после отработки 10-ти лет на предприятии квартир (СХПК Коминтерн, ООО «Исток», ООО «ВДС»);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оплата ипотечных платежей по кредиту молодого специалиста (ЗАО «Батыревский», АО «Пионер») и пр.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Учебный центр «Нива» на сегодняшний день один из основных центров по подготовке специали</w:t>
      </w:r>
      <w:r>
        <w:rPr>
          <w:rFonts w:ascii="Times New Roman" w:hAnsi="Times New Roman" w:cs="Times New Roman"/>
          <w:sz w:val="28"/>
          <w:szCs w:val="28"/>
        </w:rPr>
        <w:t xml:space="preserve">стов агропромышленного комплекса. Учебный центр занимает лидирующие позиции в Чувашской Республике по подготовке трактористов – машинистов, обучая более 2 000 человек ежегодно. В 2023 году в нем обучилось 2 121 человек, что составляет порядка 70 % от общег</w:t>
      </w:r>
      <w:r>
        <w:rPr>
          <w:rFonts w:ascii="Times New Roman" w:hAnsi="Times New Roman" w:cs="Times New Roman"/>
          <w:sz w:val="28"/>
          <w:szCs w:val="28"/>
        </w:rPr>
        <w:t xml:space="preserve">о количества обучающихся. За последние пять лет с 2019 по 2023 года в УЦ «Нива» обучились 8 049 человек по программам профессиональной подготовки по профессиям рабочих и должностям служащих «Тракторист», в том числе водителей погрузчиков и экскаваторщиков.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2021 года в Чувашской Республике реализуется проект «Школа фермера». Образов</w:t>
      </w:r>
      <w:r>
        <w:rPr>
          <w:rFonts w:ascii="Times New Roman" w:hAnsi="Times New Roman" w:cs="Times New Roman"/>
          <w:sz w:val="28"/>
          <w:szCs w:val="28"/>
        </w:rPr>
        <w:t xml:space="preserve">ательный проект Россельхозбанка и Минсельхоза России строится индивидуально под специфику каждого региона. Всего за 2021-2023 годы в рамках проекта обучено 130 слушателей и в 2024 году проходят обучение еще 63 слушателя (всего 193), в т.ч. по направлениям: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Ягодоводство (44 слушателя);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Сыроделие (34 слушателей);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Аквакультура/рыбоводство (21 слушатель);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Сельский туризм (15 слушателей);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Овцеводство (13 слушателей);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Тепличное хозяйство (3 слушателя);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Овощеводство (18 слушателей);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Хмелеводство (9 слушателей);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Агротуризм (36 слушателей).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3 года (2021–2023 гг.) 39 из 130 обученных выпускников «Школы фермеров» получили гранты на развитие своего бизнеса на общую сумму около 254 млн рублей.</w:t>
      </w:r>
      <w:r>
        <w:rPr>
          <w:rFonts w:ascii="Times New Roman" w:hAnsi="Times New Roman" w:cs="Times New Roman"/>
          <w:strike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результате реализации проекта в этих отраслях Чувашии создаются новые рабочие места, новые региональные бренды фермерской продукции.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Руководством республики с 2022 года принято решение о разви</w:t>
      </w:r>
      <w:r>
        <w:rPr>
          <w:rFonts w:ascii="Times New Roman" w:hAnsi="Times New Roman" w:cs="Times New Roman"/>
          <w:sz w:val="28"/>
          <w:szCs w:val="28"/>
        </w:rPr>
        <w:t xml:space="preserve">тии института самозанятости, который позволяет решить проблему «серой занятости» на селе. В ЛПХ Чувашии производится 39% сельхозпродукции от общего республиканского объема, это сильная сторона республики, в том числе в части решения вопросов самозанятости.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данным Чувашстата, в 2023 году в сельском хозяйстве численность занятых в неформальном секторе составила 31,7 тыс. человек.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снижения и недопущения неформальной занятости в агропромышленном комплексе в республике осуществляются следующие мероприятия: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предоставляется государственная поддержка. Ежегодно вводятся новые направления господдержки, увеличивается сумма предоставляемых средств;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создаются комфортные условия для жизни и работы на селе. Реализуются мероприятия Госпрограммы Комплексного развития сельских территорий;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реализуются инвестиционные проекты для создания новых высокопроизводительных рабочих мест.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одним из механизмов управления процессом контроля за «серой» занятостью и своевременностью выплаты заработной платы работникам сельскохозяйственных организаций, крестьянских (фермерских) хозяйств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регионе является оценка ситуации при принятии решения по господдержке в области агропромышленного комплекса. Это происходит как на этапе рассмотрения заявочных документов на субсидии, так и на этапе реализации соглашений на субсидии после их заключения.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заключении соглашений обязательным условием является выполнение показателей результативности (это создание новых рабочих мест, доля посева элитными семенами в общей 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оле посевов, сохранение посевных площадей, сохранение поголовья коров, сохранение объемов производства молока и т.д.). При невыполнении этих показателей получатели субсидий пропорционально невыполненным обязательствам, обязаны возвратить субсидии в бюджет.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господдержку получили 1508 самозанятых граждан ведущих ЛПХ, в том числе: 621 – на приобретение 1143 коровы, 248 – на приобретение 311 единиц техники.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поддержки разви</w:t>
      </w:r>
      <w:r>
        <w:rPr>
          <w:rFonts w:ascii="Times New Roman" w:hAnsi="Times New Roman" w:cs="Times New Roman"/>
          <w:sz w:val="28"/>
          <w:szCs w:val="28"/>
        </w:rPr>
        <w:t xml:space="preserve">тия малых форм хозяйствования предоставляется грантовая поддержка по 5 направлениям. Тем самым вовлекаются граждане, проживающие на селе в малое и среднее предпринимательство. За 2019–2023 годы вовлечен в малое и среднее предпринимательство 1 343 субъекта.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Гранты предоставляются на развити</w:t>
      </w:r>
      <w:r>
        <w:rPr>
          <w:rFonts w:ascii="Times New Roman" w:hAnsi="Times New Roman" w:cs="Times New Roman"/>
          <w:sz w:val="28"/>
          <w:szCs w:val="28"/>
        </w:rPr>
        <w:t xml:space="preserve">е семейных ферм, на реализацию проектов создания и развития К(Ф)Х – это грант «Агростартап», также гранты предоставляются на поддержку сельскохозяйственных потребительских кооперативов. В 2023 году предоставлено 5 грантов семейным фермам, 35 – Агростартап.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Третий год (2021–2023 гг.) осуществляется республиканская форма господдержки в форме гранта на развитие перспективных направлений, так называемый грант «Перспектива». Грант предоставляется на развитие </w:t>
      </w:r>
      <w:r>
        <w:rPr>
          <w:rFonts w:ascii="Times New Roman" w:hAnsi="Times New Roman" w:cs="Times New Roman"/>
          <w:sz w:val="28"/>
          <w:szCs w:val="28"/>
        </w:rPr>
        <w:t xml:space="preserve">ягодоводства, сыроделия, товарной аквакультуры, овцеводства. Также в грант «Перспектива» с 2024 года планируется включить направление по развитию овощеводства, сельского туризма.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регионального проекта «Содействие занятости сельского населения» государственной программы Чувашской Республики «Комплексное развитие сельских терри</w:t>
      </w:r>
      <w:r>
        <w:rPr>
          <w:rFonts w:ascii="Times New Roman" w:hAnsi="Times New Roman" w:cs="Times New Roman"/>
          <w:sz w:val="28"/>
          <w:szCs w:val="28"/>
        </w:rPr>
        <w:t xml:space="preserve">торий Чувашской Республики» реализуются мероприятия по оказанию содействия индивидуальным предпринимателям и организациям, осуществляющим деятельность на сельских территориях, являющимся сельскохозяйственными товаропроизводителями, которые предусматривают: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возмещение 90% фактически понесенных затрат по заключенным ученическим договорам и договорам о целевом обучении с обучающимися в образовательных организациях Минсельхоза России, а также 30% в иных образовательных организациях;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возмещение заявителям 90% фактически понесенных затрат</w:t>
      </w:r>
      <w:r>
        <w:rPr>
          <w:rFonts w:ascii="Times New Roman" w:hAnsi="Times New Roman" w:cs="Times New Roman"/>
          <w:sz w:val="28"/>
          <w:szCs w:val="28"/>
        </w:rPr>
        <w:t xml:space="preserve">, связанных с оплатой труда и проживанием обучающихся в образовательных организациях Минсельхоза России, а также 30% иных образовательных организациях, привлеченных для прохождения практики, в том числе производственной практики, и практической подготовки.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Минсельхозом Чувашии </w:t>
      </w:r>
      <w:r>
        <w:rPr>
          <w:rFonts w:ascii="Times New Roman" w:hAnsi="Times New Roman" w:cs="Times New Roman"/>
          <w:sz w:val="28"/>
          <w:szCs w:val="28"/>
        </w:rPr>
        <w:t xml:space="preserve">в целях получения субсидий из федерального бюджета на данное направление в Минсельхоз России была направлена заявочная документация на 2024–2026 годы в сумме 828,0 тыс. рублей (федеральный бюджет – 819,7 тыс. рублей, региональный бюджет – 8,3 тыс. рублей).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на 2024 год на возмещение заявителям 90% фактически понесенных затрат, связанных с оплатой труда и проживанием обучающихся в образов</w:t>
      </w:r>
      <w:r>
        <w:rPr>
          <w:rFonts w:ascii="Times New Roman" w:hAnsi="Times New Roman" w:cs="Times New Roman"/>
          <w:sz w:val="28"/>
          <w:szCs w:val="28"/>
        </w:rPr>
        <w:t xml:space="preserve">ательных организациях Минсельхоза России, привлеченных для прохождения практики, в том числе производственной практики, и практической подготовки, предусмотрено 675,8 тыс. рублей (81,6% от заявленной суммы). Данные средства позволят обеспечить прохождение </w:t>
      </w:r>
      <w:r>
        <w:rPr>
          <w:rFonts w:ascii="Times New Roman" w:hAnsi="Times New Roman" w:cs="Times New Roman"/>
          <w:sz w:val="28"/>
          <w:szCs w:val="28"/>
        </w:rPr>
        <w:t xml:space="preserve">практики 40 обучающихся в Чувашском государственном аграрном университете.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Правила предоставления субсид</w:t>
      </w:r>
      <w:r>
        <w:rPr>
          <w:rFonts w:ascii="Times New Roman" w:hAnsi="Times New Roman" w:cs="Times New Roman"/>
          <w:sz w:val="28"/>
          <w:szCs w:val="28"/>
        </w:rPr>
        <w:t xml:space="preserve">ий из республиканского бюджета Чувашской Республики на оказание содействия сельскохозяйственным товаропроизводителям в обеспечении квалифицированными специалистами утверждены постановлением Кабинета Министров Чувашской Республики от 1 апреля 2024 г. № 152.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Достижению стратегических задач региона по развитию кадрового потенциала в перспективном периоде до 2030 года будет способствовать реализация следующих мероприятий: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расширение практики развития прямых связей аграрных образовательных учреждений с организациями агропромышленного комплекса;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 рамках федерального проекта «Содействие занятости населения» госпрограммы «Комплексное развитие сельских территорий» осуществл</w:t>
      </w:r>
      <w:r>
        <w:rPr>
          <w:rFonts w:ascii="Times New Roman" w:hAnsi="Times New Roman" w:cs="Times New Roman"/>
          <w:sz w:val="28"/>
          <w:szCs w:val="28"/>
        </w:rPr>
        <w:t xml:space="preserve">ение поддержки сельскохозяйственных товаропроизводителей в части обеспечения квалифицированными кадрами по таким направлениям, как возмещение сельхозтоваропроизводителям затрат, связанных с обучением, а также прохождением практики и проживанием студентов;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включен</w:t>
      </w:r>
      <w:r>
        <w:rPr>
          <w:rFonts w:ascii="Times New Roman" w:hAnsi="Times New Roman" w:cs="Times New Roman"/>
          <w:sz w:val="28"/>
          <w:szCs w:val="28"/>
        </w:rPr>
        <w:t xml:space="preserve">ие в планы социально–экономического развития опорных населенных пунктов и прилегающих сельских территорий финансирования создания инфраструктурных проектов, способствующих привлечению кадров на сельские территории и их закреплению на долговременной основе;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распространение положительных практик по привлечению кадров в организации агропромышленного комплекса;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проведение диагностики профессиональных компетенций для формирования практикоориентированной модели образования;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совершенствование системы подготовки и дополнительного профессионального образования кадров для агропромышленного комплекса.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ind w:firstLine="709"/>
        <w:spacing w:line="360" w:lineRule="auto"/>
        <w:rPr>
          <w:b w:val="0"/>
          <w:bCs w:val="0"/>
          <w:sz w:val="28"/>
        </w:rPr>
      </w:pPr>
      <w:r/>
      <w:bookmarkStart w:id="23" w:name="_Toc176798817"/>
      <w:r>
        <w:rPr>
          <w:b w:val="0"/>
          <w:bCs w:val="0"/>
          <w:sz w:val="28"/>
        </w:rPr>
        <w:t xml:space="preserve">17. Меры государственной поддержки</w:t>
      </w:r>
      <w:bookmarkEnd w:id="23"/>
      <w:r>
        <w:rPr>
          <w:b w:val="0"/>
          <w:bCs w:val="0"/>
          <w:sz w:val="28"/>
        </w:rPr>
      </w:r>
      <w:r>
        <w:rPr>
          <w:b w:val="0"/>
          <w:bCs w:val="0"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совокупный объем финансирования АПК Чувашской Республи</w:t>
      </w:r>
      <w:r>
        <w:rPr>
          <w:rFonts w:ascii="Times New Roman" w:hAnsi="Times New Roman" w:cs="Times New Roman"/>
          <w:sz w:val="28"/>
          <w:szCs w:val="28"/>
        </w:rPr>
        <w:t xml:space="preserve">ки и мероприятий по комплексному развитию сельских территорий составил 7,1 млрд руб., увеличившись по сравнению с 2022 годом на 1 млрд руб. или +16,40%. При этом темп роста объема государственной поддержки в регионе за период 2018–2023 гг. составил 236,8%.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объем финансирования АПК региона составил 5,2 млрд руб. (73,24% о</w:t>
      </w:r>
      <w:r>
        <w:rPr>
          <w:rFonts w:ascii="Times New Roman" w:hAnsi="Times New Roman" w:cs="Times New Roman"/>
          <w:sz w:val="28"/>
          <w:szCs w:val="28"/>
        </w:rPr>
        <w:t xml:space="preserve">т совокупного объема государственной поддержки в указанном периоде), увеличение по сравнению с 2022 годом составило 0,9 млрд руб. или 20,93%. На 2024 год запланированный объем финансирования сельского хозяйства Чувашской Республики составляет 4,4 млрд руб.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Государственная поддержка АПК региона распространяется на 9 направлений (растениеводство; </w:t>
      </w:r>
      <w:r>
        <w:rPr>
          <w:rFonts w:ascii="Times New Roman" w:hAnsi="Times New Roman" w:cs="Times New Roman"/>
          <w:sz w:val="28"/>
          <w:szCs w:val="28"/>
        </w:rPr>
        <w:t xml:space="preserve">животноводство; техническая модернизация; пищевая промышленность; плодородие и мелиорация; поддержка МФХ; льготное кредитование; поддержка самозанятых и агрострахование) и включает 78 мероприятий (в 2024 году, что на 3 мероприятия больше, чем в 2023 году).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объем финансирования мероприятий по направлени</w:t>
      </w:r>
      <w:r>
        <w:rPr>
          <w:rFonts w:ascii="Times New Roman" w:hAnsi="Times New Roman" w:cs="Times New Roman"/>
          <w:sz w:val="28"/>
          <w:szCs w:val="28"/>
        </w:rPr>
        <w:t xml:space="preserve">ю растениеводство составил в Чувашской Республике 1 019,4 млн рублей (или 19,16% от общего объема финансирования АПК в регионе в указанный период) – это наибольший объем поддержки, оказываемый регионом по направлению растениеводство, в период 2019–2023 гг.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господдержку по направлению растениеводство получили порядка 398 сельскохозяйственных товаропроизводителей региона.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Наибольший объем финансирования в регионе предоставляется на приобретение минераль</w:t>
      </w:r>
      <w:r>
        <w:rPr>
          <w:rFonts w:ascii="Times New Roman" w:hAnsi="Times New Roman" w:cs="Times New Roman"/>
          <w:sz w:val="28"/>
          <w:szCs w:val="28"/>
        </w:rPr>
        <w:t xml:space="preserve">ных удобрений, производство и реализация зерновых культур, стимулирование развития картофелеводства и овощеводства, в том числе проведение агротехнологических работ; производство овощей защищенного грунта; производство картофеля и овощей открытого грунта; </w:t>
      </w:r>
      <w:r>
        <w:rPr>
          <w:rFonts w:ascii="Times New Roman" w:hAnsi="Times New Roman" w:cs="Times New Roman"/>
          <w:sz w:val="28"/>
          <w:szCs w:val="28"/>
        </w:rPr>
        <w:t xml:space="preserve">развитие элитного семеноводства и отрасли хмелеводства в Чувашской Республике.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</w:t>
      </w:r>
      <w:r>
        <w:rPr>
          <w:rFonts w:ascii="Times New Roman" w:hAnsi="Times New Roman" w:cs="Times New Roman"/>
          <w:sz w:val="28"/>
          <w:szCs w:val="28"/>
        </w:rPr>
        <w:t xml:space="preserve">стоящее время в Чувашской Республике в рамках поддержки по направлению «Ягодоводство» действует 4 прямые меры господдержки: 2 гранта – грант «Агростартап» и грант «Перспектива» и 2 субсидии – субсидия на закладку и уход за многолетними насаждениями, и субс</w:t>
      </w:r>
      <w:r>
        <w:rPr>
          <w:rFonts w:ascii="Times New Roman" w:hAnsi="Times New Roman" w:cs="Times New Roman"/>
          <w:sz w:val="28"/>
          <w:szCs w:val="28"/>
        </w:rPr>
        <w:t xml:space="preserve">идия на закладку земляники садовой. Также производителям ягод наравне с другими сельхозтоваропроизводителями доступны и другие меры господдержки, такие как льготные инвестиционные кредиты, субсидия на возмещение части затрат на приобретение сельхозтехники.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Активная грантовая поддержка ягодоводства началась с 2021 года с введением республиканского гранта на развитие перспективных направлений сельхозпроизводства (направление «Ягодоводство»).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2019–2020 годы гранты на ягодоводство получили 3 фермера на сумму 5,5 млн руб., за 2021–2023 годы – уже 31 фермер на сумму 151,7 млн руб.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гранту «Агростартап» (3 или 4 млн. рублей, грант 90%) начиная с 2019 года предоставлено как по федеральному </w:t>
      </w:r>
      <w:r>
        <w:rPr>
          <w:rFonts w:ascii="Times New Roman" w:hAnsi="Times New Roman" w:cs="Times New Roman"/>
          <w:sz w:val="28"/>
          <w:szCs w:val="28"/>
        </w:rPr>
        <w:t xml:space="preserve">так и по республиканскому механизму 10 грантов на общую сумму 34,7 млн руб., по гранту «Перспектива» (4 или 5 млн рублей, грант 70%) полностью за счет республиканского бюджета,  начиная с 2021 года, предоставлено 22 гранта на сумму общую сумму 119 млн руб.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формы господдержки направлены в первую очередь на некрупных производителей ягод, на массового производителя, чтобы вовлечь в данный агробизнес наибольшее количество фермеров.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Основная нагрузка по господдержке данного направления приходится на региональный бюджет, это порядка 120 млн рублей или 76%.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республике на закладку и уход за многолетними насаждениями возмещается затраты по утвержденным ставкам, но не более 80% затрат на закладку ягодных культур таких как малина, крыжовник, смородина и т.п. За </w:t>
      </w:r>
      <w:r>
        <w:rPr>
          <w:rFonts w:ascii="Times New Roman" w:hAnsi="Times New Roman" w:cs="Times New Roman"/>
          <w:sz w:val="28"/>
          <w:szCs w:val="28"/>
        </w:rPr>
        <w:t xml:space="preserve">последние 3 года на закладку 57 га указанных культур предоставлена субсидия из федерального бюджета в размере 4,4 млн рублей.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Дополнительно в регионе, в 2022 году введена субсидия на закладку садовой земляники: возмещается часть затрат по </w:t>
      </w:r>
      <w:r>
        <w:rPr>
          <w:rFonts w:ascii="Times New Roman" w:hAnsi="Times New Roman" w:cs="Times New Roman"/>
          <w:sz w:val="28"/>
          <w:szCs w:val="28"/>
        </w:rPr>
        <w:t xml:space="preserve">ставке 1 238,4 тыс. рублей на 1 га, но не более 80% от затрат при условии закладки не менее 5 га. За 2 года действия этой субсидии произведено 7 выплат 4–м разным получателям: в 2022 году 24,5 млн руб. на 20 га, в 2023 году – 24,6 млн. руб. также на 20 га.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Производителям ягод в регионе также доступна субсидия на приобретение техники по ставке 35%. Только за 2023 год 4 производителя ягод получили субсидию на технику на об</w:t>
      </w:r>
      <w:r>
        <w:rPr>
          <w:rFonts w:ascii="Times New Roman" w:hAnsi="Times New Roman" w:cs="Times New Roman"/>
          <w:sz w:val="28"/>
          <w:szCs w:val="28"/>
        </w:rPr>
        <w:t xml:space="preserve">щую сумму 3,5 млн руб. Кроме того, производители могут получить льготный инвестиционный кредит на закладку и (или) уход за многолетними насаждениями по ставке до 5% в соответствии с постановлением Правительства Российской Федерации от 29.12.2016 г. № 1528.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объем финансирования мероприятий по направлению животноводство составил в Чувашской Республике 745 млн рублей (или 17,33% от общего объема финансирования АПК в регионе в указанный пе</w:t>
      </w:r>
      <w:r>
        <w:rPr>
          <w:rFonts w:ascii="Times New Roman" w:hAnsi="Times New Roman" w:cs="Times New Roman"/>
          <w:sz w:val="28"/>
          <w:szCs w:val="28"/>
        </w:rPr>
        <w:t xml:space="preserve">риод). В период 2019–2023 гг. – отмечается увеличение объема поддержки, оказываемой регионом по данному направлению, в 1,7 раза. В 2023 году господдержку по направлению животноводство получили порядка 186 сельскохозяйственных товаропроизводителей региона.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2024 год запланированный объем финансирования мероприятий по направлению животноводство в регионе составляет 634,2 млн руб.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Наибольший объем финансирования в отрасли животноводства предоставляется на поддержку собственного производства молока в Чувашской Республике. Данной мерой поддержки охвачены порядка 149 сельскохозяйственных </w:t>
      </w:r>
      <w:r>
        <w:rPr>
          <w:rFonts w:ascii="Times New Roman" w:hAnsi="Times New Roman" w:cs="Times New Roman"/>
          <w:sz w:val="28"/>
          <w:szCs w:val="28"/>
        </w:rPr>
        <w:t xml:space="preserve">товаропроизводителя в регионе. Субсидия предоставляется на финансовое обеспечение части затрат, связанных с производством, реализацией и / или отгрузкой на собственную переработку коровьего молока по ставке на 1 кг в физическом весе (размер ставки зависит </w:t>
      </w:r>
      <w:r>
        <w:rPr>
          <w:rFonts w:ascii="Times New Roman" w:hAnsi="Times New Roman" w:cs="Times New Roman"/>
          <w:sz w:val="28"/>
          <w:szCs w:val="28"/>
        </w:rPr>
        <w:t xml:space="preserve">от продуктивности коровы, например, 1,37 руб. за 1 кг при производстве молока до 5 000 кг в среднем от одной коровы в год; 2,10 руб. / 1 кг при среднем надое молока от 5 001 кг до 6 000 кг  и т.д.).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Существенная поддержка оказывается в регионе на развитие племенного животноводства – порядка 33,16% от общего объема финансирования по направлению животноводство в целом.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поддержки птицеводческих организаций постановлением Кабинета Министров Чувашской Республики от 7 августа 2024 г</w:t>
      </w:r>
      <w:r>
        <w:rPr>
          <w:rFonts w:ascii="Times New Roman" w:hAnsi="Times New Roman" w:cs="Times New Roman"/>
          <w:sz w:val="28"/>
          <w:szCs w:val="28"/>
        </w:rPr>
        <w:t xml:space="preserve">ода</w:t>
      </w:r>
      <w:r>
        <w:rPr>
          <w:rFonts w:ascii="Times New Roman" w:hAnsi="Times New Roman" w:cs="Times New Roman"/>
          <w:sz w:val="28"/>
          <w:szCs w:val="28"/>
        </w:rPr>
        <w:t xml:space="preserve"> с июля 2023 года введена новая форма государственной поддержки птицефабрик яичного производства в форме субсидирования из республи</w:t>
      </w:r>
      <w:r>
        <w:rPr>
          <w:rFonts w:ascii="Times New Roman" w:hAnsi="Times New Roman" w:cs="Times New Roman"/>
          <w:sz w:val="28"/>
          <w:szCs w:val="28"/>
        </w:rPr>
        <w:t xml:space="preserve">канского бюджета Чувашской Республики создания, модернизации птицефабрик яичного  направления, и приобретения не бывшего в употреблении технологического оборудования, применяемого для содержания птицы, производства и переработки яиц. Возмещение 30% затрат.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указанной формой поддержки воспользовалась ОАО «Птицефабрика «Моргаушская», которая р</w:t>
      </w:r>
      <w:r>
        <w:rPr>
          <w:rFonts w:ascii="Times New Roman" w:hAnsi="Times New Roman" w:cs="Times New Roman"/>
          <w:sz w:val="28"/>
          <w:szCs w:val="28"/>
        </w:rPr>
        <w:t xml:space="preserve">еализовала 3 инвестиционных проекта: «Модернизация птицефабрик яичного типа»; «Комплект клеточного оборудования для содержания промышленного стада кур-несушек в многоярусных батареях ТСВН на 100100 птицемест (2 шт.)», «Комплект оборудования клеточного выра</w:t>
      </w:r>
      <w:r>
        <w:rPr>
          <w:rFonts w:ascii="Times New Roman" w:hAnsi="Times New Roman" w:cs="Times New Roman"/>
          <w:sz w:val="28"/>
          <w:szCs w:val="28"/>
        </w:rPr>
        <w:t xml:space="preserve">щивания ремонтного молодняка кур-несушек ТСВС на 104160 птицемест», «Комплект вентиляционного оборудования для клеточного выращивания ремонтного молодняка» общей стоимостью 163,7 млн руб.  Предприятию оказана государственная поддержка в сумме 49,1 млн руб.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Обсуждается вопрос о распрост</w:t>
      </w:r>
      <w:r>
        <w:rPr>
          <w:rFonts w:ascii="Times New Roman" w:hAnsi="Times New Roman" w:cs="Times New Roman"/>
          <w:sz w:val="28"/>
          <w:szCs w:val="28"/>
        </w:rPr>
        <w:t xml:space="preserve">ранении данной формы поддержки на птицефабрики бройлерного направления (мясо птицы), что позволит дать импульс развитию бройлерного птицеводства и обеспечит ускоренное наращивание производства мяса птицы и в целом производства мяса по Чувашской Республике.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положительном решении данного вопроса, средства республиканского бюджета Чувашской Республики в 2025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2027 годах буду</w:t>
      </w:r>
      <w:r>
        <w:rPr>
          <w:rFonts w:ascii="Times New Roman" w:hAnsi="Times New Roman" w:cs="Times New Roman"/>
          <w:sz w:val="28"/>
          <w:szCs w:val="28"/>
        </w:rPr>
        <w:t xml:space="preserve">т направлены на модернизацию (техническое перевооружение) птицефабрик мясного направления, включая приобретение технологического оборудования, применяемого для содержания птицы, и специализированного автотранспортного средства для перевозки птиц (цыплят). 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Чувашской Республики производят мясо птицы две птицефабрики мясного направления (ООО «Мега ЮРМА», ОП «</w:t>
      </w:r>
      <w:r>
        <w:rPr>
          <w:rFonts w:ascii="Times New Roman" w:hAnsi="Times New Roman" w:cs="Times New Roman"/>
          <w:sz w:val="28"/>
          <w:szCs w:val="28"/>
        </w:rPr>
        <w:t xml:space="preserve">Атлашевское</w:t>
      </w:r>
      <w:r>
        <w:rPr>
          <w:rFonts w:ascii="Times New Roman" w:hAnsi="Times New Roman" w:cs="Times New Roman"/>
          <w:sz w:val="28"/>
          <w:szCs w:val="28"/>
        </w:rPr>
        <w:t xml:space="preserve">» ООО «Птицефабрика «</w:t>
      </w:r>
      <w:r>
        <w:rPr>
          <w:rFonts w:ascii="Times New Roman" w:hAnsi="Times New Roman" w:cs="Times New Roman"/>
          <w:sz w:val="28"/>
          <w:szCs w:val="28"/>
        </w:rPr>
        <w:t xml:space="preserve">Акашевская</w:t>
      </w:r>
      <w:r>
        <w:rPr>
          <w:rFonts w:ascii="Times New Roman" w:hAnsi="Times New Roman" w:cs="Times New Roman"/>
          <w:sz w:val="28"/>
          <w:szCs w:val="28"/>
        </w:rPr>
        <w:t xml:space="preserve">»). 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данным Росстата за шесть месяцев 2024 года в хозяйствах всех категорий Чувашской Республики произведено мяса птицы 12,9 тыс. тонн (85,1% к аналогичному периоду 2023 г.), в том числе на птицефабриках – 12,8 тыс. тонн. 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оперативным данным птицефабрик региона до конца 2024 года прогнозируется производство мяса птицы в объеме 50,3 тыс. тонн, 92% к объему производства 2023 года.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2024</w:t>
      </w:r>
      <w:r>
        <w:rPr>
          <w:rFonts w:ascii="Times New Roman" w:hAnsi="Times New Roman" w:cs="Times New Roman"/>
          <w:sz w:val="28"/>
          <w:szCs w:val="28"/>
        </w:rPr>
        <w:t xml:space="preserve"> году приступают к реализации крупных инвестиционных проектов</w:t>
      </w:r>
      <w:r>
        <w:rPr>
          <w:rFonts w:ascii="Times New Roman" w:hAnsi="Times New Roman" w:cs="Times New Roman"/>
          <w:sz w:val="28"/>
          <w:szCs w:val="28"/>
        </w:rPr>
        <w:t xml:space="preserve"> по реконструкции и модернизации существующих площадок по содержанию птиц ООО «Тамбовский бройлер» ОП «Чувашское» (ГАП «Ресурс»), ООО «Мега ЮРМА», ООО «ВДС» на общую сумму 3 214,5 млн рублей, в том числе стоимость технологического оборудования составляет 2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088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млн рублей. Потребность в субсидии исходя из возмещения 30% стоимости такого оборудования составляет 626,4 млн рублей.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Особое внимание в Чувашской Республике уделяется обновлению парка сельскохозяйственной техники и обеспеченности сельскохозяй</w:t>
      </w:r>
      <w:r>
        <w:rPr>
          <w:rFonts w:ascii="Times New Roman" w:hAnsi="Times New Roman" w:cs="Times New Roman"/>
          <w:sz w:val="28"/>
          <w:szCs w:val="28"/>
        </w:rPr>
        <w:t xml:space="preserve">ственных товаропроизводителей техникой и оборудованием. Так в 2023 году финансирование мероприятий по технической и технологической модернизации составило 1 001,3 млн руб. Субсидируется техника, произведенная и приобретенная в предыдущем и в текущем годах: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для производства продукции растениеводства и животноводства, при условии, что выручка от животноводства не менее 30% – субсидируется 45% затрат на приобретение;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для производства картофеля и овощей, при условии производства картофеля и овощей на площади не менее 10 га – субсидируется 45% затрат на приобретение;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для производства хмеля, при условии производства хмеля на площади не менее 2 га – субсидируется 50% затрат на приобретение хмелеуборочных комбайнов, хмелесушилок и пр., 45% затрат на приобретение иной техники (тракторы и т.д.).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2024 года субсидируется вся техн</w:t>
      </w:r>
      <w:r>
        <w:rPr>
          <w:rFonts w:ascii="Times New Roman" w:hAnsi="Times New Roman" w:cs="Times New Roman"/>
          <w:sz w:val="28"/>
          <w:szCs w:val="28"/>
        </w:rPr>
        <w:t xml:space="preserve">ика, связанная с производством хмеля иностранного производства; хмелеуборочный комбайн и хмелесушилка могут быть бывшими в употреблении; культиваторы для сплошной обработки почвы (глубоко рыхления); техника для овощей и картофеля иностранного производства.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Следует отметить, что высокие показатели региона по глубокой переработке сельскохозяйственной продукции, в том числе обусловлены существенной поддержкой сельскохозяйственных товаропро</w:t>
      </w:r>
      <w:r>
        <w:rPr>
          <w:rFonts w:ascii="Times New Roman" w:hAnsi="Times New Roman" w:cs="Times New Roman"/>
          <w:sz w:val="28"/>
          <w:szCs w:val="28"/>
        </w:rPr>
        <w:t xml:space="preserve">изводителей в части возмещения затрат (до 30%) по приобретению технологического оборудования (произведенного и приобретенного в предыдущем и в текущем году) для глубокой переработки молока, мяса, плодоовощной продукции, картофеля, рыбы и масличных культур.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Важной мерой поддержки в регионе является субсидирование прямых понесенных затрат на создание и / или модернизацию объектов АПК, в том числе на: создание (модернизацию) хранилищ различных</w:t>
      </w:r>
      <w:r>
        <w:rPr>
          <w:rFonts w:ascii="Times New Roman" w:hAnsi="Times New Roman" w:cs="Times New Roman"/>
          <w:sz w:val="28"/>
          <w:szCs w:val="28"/>
        </w:rPr>
        <w:t xml:space="preserve"> видов плодов, ягод, овощей и картофеля; мощностей для подработки зерна; комбикормовых предприятий и цехов; складских сооружений для хранения и переработки различных видов овощей; по переработке картофеля; объектов по производству кормов для аквакультуры.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Пищевыми и перерабатывающими предприятиями республики ведется постоянная работа по совершенствованию и модернизации технологических процессов, вводятся новые производственные линии, расширяется ассортимент выпускаемой продукции.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стимулирования данного направления переработки на 2024 год в рамках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Кабинета Министров Чувашской Республики от 21 мая 2024 года № 266 «Об утверждении Правил предоставления субсидий из республиканского бюджета Чувашской Республики на возмещение части затрат на обеспечение технической и технологической модерни</w:t>
      </w:r>
      <w:r>
        <w:rPr>
          <w:rFonts w:ascii="Times New Roman" w:hAnsi="Times New Roman" w:cs="Times New Roman"/>
          <w:sz w:val="28"/>
          <w:szCs w:val="28"/>
        </w:rPr>
        <w:t xml:space="preserve">зации сельскохозяйственного производства и о признании утратившими силу некоторых решений Кабинета Министров Чувашской Республики» молоко–, мясо- и маслоперерабатывающим предприятиям предусмотрена государственная поддержка на общую сумму 100,0 млн рублей.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постановления Кабинета Министров Чувашской Республики от 29 февраля 2</w:t>
      </w:r>
      <w:r>
        <w:rPr>
          <w:rFonts w:ascii="Times New Roman" w:hAnsi="Times New Roman" w:cs="Times New Roman"/>
          <w:sz w:val="28"/>
          <w:szCs w:val="28"/>
        </w:rPr>
        <w:t xml:space="preserve">024 года № 91 «Об утверждении Правил предоставления субсидий из республиканского бюджета Чувашской Республики на поддержку приоритетных направлений агропромышленного комплекса Чувашской Республики, о внесении изменений в постановление Кабинета Министров Чу</w:t>
      </w:r>
      <w:r>
        <w:rPr>
          <w:rFonts w:ascii="Times New Roman" w:hAnsi="Times New Roman" w:cs="Times New Roman"/>
          <w:sz w:val="28"/>
          <w:szCs w:val="28"/>
        </w:rPr>
        <w:t xml:space="preserve">вашской Республики от 11 февраля 2020 года № 43, признании утратившими силу некоторых решений Кабинета Министров Чувашской Республики» на 2024 год предусмотрена государственная поддержка молокоперерабатывающим предприятиям на общую сумму 39,1 млн рублей.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в </w:t>
      </w:r>
      <w:r>
        <w:rPr>
          <w:rFonts w:ascii="Times New Roman" w:hAnsi="Times New Roman" w:cs="Times New Roman"/>
          <w:sz w:val="28"/>
          <w:szCs w:val="28"/>
        </w:rPr>
        <w:t xml:space="preserve">рамках Постановления Кабинета Министров Чувашской Республики от 7 августа 2024 года № 443 «Об утверждении Правил предоставления субсидий из республиканского бюджета Чувашской Республики на возмещение части прямых понесенных затрат на создание и (или) модер</w:t>
      </w:r>
      <w:r>
        <w:rPr>
          <w:rFonts w:ascii="Times New Roman" w:hAnsi="Times New Roman" w:cs="Times New Roman"/>
          <w:sz w:val="28"/>
          <w:szCs w:val="28"/>
        </w:rPr>
        <w:t xml:space="preserve">низацию объектов агропромышленного комплекса, а также на приобретение техники и оборудования и о признании утратившими силу некоторых решений Кабинета Министров Чувашской Республики» предприятиям оказана государственная поддержка в размере 10,5 млн рублей.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значимую роль КФХ и хозяйств населения в АПК Чувашской Республики, существенная поддержка в регионе оказывается малым формам хозяйствования, в том числе грант на развит</w:t>
      </w:r>
      <w:r>
        <w:rPr>
          <w:rFonts w:ascii="Times New Roman" w:hAnsi="Times New Roman" w:cs="Times New Roman"/>
          <w:sz w:val="28"/>
          <w:szCs w:val="28"/>
        </w:rPr>
        <w:t xml:space="preserve">ие семейной фермы; грант на реализацию проекта создания и развития КФХ (Агростартап); грантовая поддержка СПоК на развитие материально–технической базы; грант Перспектива (ягодоводство, сыроделие, развитие товарной аквакультуры, агротуризм, хмелеводство).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года общая сумма поддержки самозанятых составила в регионе 130,6 млн руб. и охватила порядка 1 508 человек. В Чувашской Республике предусмотрена государственная поддержка самозанятых по следующим направлениям: реализац</w:t>
      </w:r>
      <w:r>
        <w:rPr>
          <w:rFonts w:ascii="Times New Roman" w:hAnsi="Times New Roman" w:cs="Times New Roman"/>
          <w:sz w:val="28"/>
          <w:szCs w:val="28"/>
        </w:rPr>
        <w:t xml:space="preserve">ия овощей, картофеля; содержание молочных коров, овец и коз, также субсидируется до 30% затрат на приобретение минеральных удобрений; до 40% – на приобретение техники и оборудования; материалов для пчеловодства, 50% – агрохимическое обследование почв и пр.</w:t>
      </w:r>
      <w:r>
        <w:rPr>
          <w:rFonts w:ascii="Times New Roman" w:hAnsi="Times New Roman" w:cs="Times New Roman"/>
          <w:strike/>
          <w:sz w:val="28"/>
          <w:szCs w:val="28"/>
        </w:rPr>
      </w:r>
      <w:r>
        <w:rPr>
          <w:rFonts w:ascii="Times New Roman" w:hAnsi="Times New Roman" w:cs="Times New Roman"/>
          <w:strike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условиях высо</w:t>
      </w:r>
      <w:r>
        <w:rPr>
          <w:rFonts w:ascii="Times New Roman" w:hAnsi="Times New Roman" w:cs="Times New Roman"/>
          <w:sz w:val="28"/>
          <w:szCs w:val="28"/>
        </w:rPr>
        <w:t xml:space="preserve">кой стоимости кредитных средств важной мерой поддержки является льготное кредитование. На цели льготного краткосрочного кредитования в регионе предусмотрено финансирование на 2024 год: по ставке до 6,8% по приоритетным направлениям (МФХ, селекция, генетика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, и по ставке до 10% по </w:t>
      </w:r>
      <w:r>
        <w:rPr>
          <w:rFonts w:ascii="Times New Roman" w:hAnsi="Times New Roman" w:cs="Times New Roman"/>
          <w:sz w:val="28"/>
          <w:szCs w:val="28"/>
        </w:rPr>
        <w:t xml:space="preserve">таким направлениям, как молочное скотоводство, птицеводство, производство яиц, товарная аквакультура, хранилища, мукомольное и хлебопекарное производство, первичная переработка животноводства, сельскохозяйственная техника и  маркировка молочной продукции.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республике также, в связи с отсутствием лимитов на льготное кредитование, в целях поддержания эффективной деятельности аграриев, обеспечения продовольственной безопасности Чувашской Республики предусматривается </w:t>
      </w:r>
      <w:r>
        <w:rPr>
          <w:rFonts w:ascii="Times New Roman" w:hAnsi="Times New Roman" w:cs="Times New Roman"/>
          <w:sz w:val="28"/>
          <w:szCs w:val="28"/>
        </w:rPr>
        <w:t xml:space="preserve">возмещение части затрат на уплату процентов по коммерческим кредитам,  полученным  на срок до одного года на проведение сезонных работ и до 8 лет на создание утилизационных заводов (цехов) и очистных сооружений. Заемщикам, являющимся субъектами малых форм </w:t>
      </w:r>
      <w:r>
        <w:rPr>
          <w:rFonts w:ascii="Times New Roman" w:hAnsi="Times New Roman" w:cs="Times New Roman"/>
          <w:sz w:val="28"/>
          <w:szCs w:val="28"/>
        </w:rPr>
        <w:t xml:space="preserve">хозяйствования, субсидии предоставляются в размере 70 процентов ключевой ставки. Для средних и крупных организаций АПК размер субсидии составляет 50 процентов ключевой ставки.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Чувашская Республика находится в зон</w:t>
      </w:r>
      <w:r>
        <w:rPr>
          <w:rFonts w:ascii="Times New Roman" w:hAnsi="Times New Roman" w:cs="Times New Roman"/>
          <w:sz w:val="28"/>
          <w:szCs w:val="28"/>
        </w:rPr>
        <w:t xml:space="preserve">е рискованного земледелия. На территории республики ежегодно фиксируются опасные агрометеорологические явления. Только за последние годы с 2017 по 2024 из–за опасных природных явлений сельхозтоваропроизводители понесли потери в размере более 1 млрд рублей.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Агрострахование на сегодня является единственным инструментом снижения рисков в сельскохозяйственном прои</w:t>
      </w:r>
      <w:r>
        <w:rPr>
          <w:rFonts w:ascii="Times New Roman" w:hAnsi="Times New Roman" w:cs="Times New Roman"/>
          <w:sz w:val="28"/>
          <w:szCs w:val="28"/>
        </w:rPr>
        <w:t xml:space="preserve">зводстве. В рамках поддержки приоритетных направлений агропромышленного комплекса Чувашской Республики субсидии предоставляются в виде возмещения части затрат на уплату страховых премий, начисленных по договорам сельскохозяйственного страхования (на случай</w:t>
      </w:r>
      <w:r>
        <w:rPr>
          <w:rFonts w:ascii="Times New Roman" w:hAnsi="Times New Roman" w:cs="Times New Roman"/>
          <w:sz w:val="28"/>
          <w:szCs w:val="28"/>
        </w:rPr>
        <w:t xml:space="preserve"> утраты (гибели) урожая сельскохозяйственных культур, гибели сельскохозяйственных животных в результате воздействие опасных для производства сельскохозяйственной продукции природных явлений и стихийных бедствий, чрезвычайной ситуации природного характера).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Субсидии предоставляются на уплату части страховых взносов – 50% при страховании от нескольких или одного из опасных природных явлений и (или) 70% при страховании от чрезвычайных ситуаций.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в Чувашской Республике было застраховано 36,9 тыс. га посевов яровых и озимых сельскохозяйственных культур, 86,5 тыс. в условных головах сельхозживотных. Субсидий выплачено на общую сумму 10,9 млн рублей.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об</w:t>
      </w:r>
      <w:r>
        <w:rPr>
          <w:rFonts w:ascii="Times New Roman" w:hAnsi="Times New Roman" w:cs="Times New Roman"/>
          <w:sz w:val="28"/>
          <w:szCs w:val="28"/>
        </w:rPr>
        <w:t xml:space="preserve">ъем финансирования мероприятий по КРСТ региона составил 1,9 млрд руб. (26,76% от совокупного объема государственной поддержки в указанном периоде), увеличившись по сравнению с 2022 годом на 0,1 млрд руб. или +5,56%. За период 2018–2023 гг. объем поддержки </w:t>
      </w:r>
      <w:r>
        <w:rPr>
          <w:rFonts w:ascii="Times New Roman" w:hAnsi="Times New Roman" w:cs="Times New Roman"/>
          <w:sz w:val="28"/>
          <w:szCs w:val="28"/>
        </w:rPr>
        <w:t xml:space="preserve">развития сельских территорий в республике увеличился в 6,3 раз: с 0,3 млрд руб. в 2018 году до 1,9 млрд руб. в 2023 году.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</w:t>
      </w:r>
      <w:r>
        <w:rPr>
          <w:rFonts w:ascii="Times New Roman" w:hAnsi="Times New Roman" w:cs="Times New Roman"/>
          <w:sz w:val="28"/>
          <w:szCs w:val="28"/>
        </w:rPr>
        <w:t xml:space="preserve">азвития сельских территорий в регионе благоустраиваются территории, реализуются инициативные проекты и проекты комплексного развития сельских территорий, обустраиваются коммуникации для компактной жилищной застройки, разрабатывается проектная документация.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/>
      <w:bookmarkStart w:id="24" w:name="_Hlk176815005"/>
      <w:r>
        <w:rPr>
          <w:rFonts w:ascii="Times New Roman" w:hAnsi="Times New Roman" w:cs="Times New Roman"/>
          <w:sz w:val="28"/>
          <w:szCs w:val="28"/>
        </w:rPr>
        <w:t xml:space="preserve">Кроме всех вышеперечисленных мер государственной поддержки, действующих в настоящее время в Чувашской Республике, по предложению сообщества аграриев рассматривается возможность о разработке новых механизмов и направлений, в том числе: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субсидированию части затрат на приобретение оборудования для тепличных комплексов;</w:t>
      </w:r>
      <w:r/>
    </w:p>
    <w:p>
      <w:pPr>
        <w:ind w:firstLine="709"/>
        <w:jc w:val="both"/>
        <w:spacing w:after="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субсидированию части затрат на проведение известкования почв за счет средств республиканского бюджета Чувашской Республики без прохождения отбора в Минсельхозе России;</w:t>
      </w:r>
      <w:r/>
    </w:p>
    <w:p>
      <w:pPr>
        <w:ind w:firstLine="709"/>
        <w:jc w:val="both"/>
        <w:spacing w:after="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субсидированию части затрат на приобретение широкозахватных мелиоративных машин и иной техники, используемой при проведении мелиоративных гидромелиоративных мероприятий;</w:t>
      </w:r>
      <w:r/>
    </w:p>
    <w:p>
      <w:pPr>
        <w:ind w:firstLine="709"/>
        <w:jc w:val="both"/>
        <w:spacing w:after="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субсидированию части затрат на приобретение оборудования для производства мясокостной муки;</w:t>
      </w:r>
      <w:r/>
    </w:p>
    <w:p>
      <w:pPr>
        <w:ind w:firstLine="709"/>
        <w:jc w:val="both"/>
        <w:spacing w:after="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субсидированию части затрат на приобретение оборудования для содержания птицы;</w:t>
      </w:r>
      <w:r/>
    </w:p>
    <w:p>
      <w:pPr>
        <w:ind w:firstLine="709"/>
        <w:jc w:val="both"/>
        <w:spacing w:after="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субсидированию части затрат на приобретение полуприцепов для перевозки птицы;</w:t>
      </w:r>
      <w:r/>
    </w:p>
    <w:p>
      <w:pPr>
        <w:ind w:firstLine="709"/>
        <w:jc w:val="both"/>
        <w:spacing w:after="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субсидированию части затрат на выращивание и (или) откорм крупного рогатого скота не старше 24 месяцев, направленного на убой на собственную переработку и (или) реализованного на убой перерабатывающим организациям в текущем финансовом году;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исключению из условий предоставления субсидий условия приобретения иностранного оборудования у официального представителя производителя технологического оборудования.</w:t>
      </w:r>
      <w:bookmarkEnd w:id="24"/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Благодаря системным мерам государственной поддержки АПК результаты работы сельскохозяйственной отрасли Чувашской Республики по всем направлениям демонстрируют положительную динамику: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так, в регионе уровень самообеспеченности значительно превышает пороговые показатели продовольственной безопасности по зерну, молоку, овощам, картофелю и яйцу;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республика находится на 3–м месте в ПФО по выходу продукции</w:t>
      </w:r>
      <w:r>
        <w:rPr>
          <w:rFonts w:ascii="Times New Roman" w:hAnsi="Times New Roman" w:cs="Times New Roman"/>
          <w:sz w:val="28"/>
          <w:szCs w:val="28"/>
        </w:rPr>
        <w:t xml:space="preserve"> на единицу площади: производство сельскохозяйственной продукции на 1 га посевной площади в республике в 1,5 раза превышает средний показатель по России. За последние несколько лет значительно выросли показатели урожайности плодов, ягод и хмеля в регионе;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–– за последние 9 лет в Чувашии было введено в оборот порядка 130 тыс. га неиспользуемых земель;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за последние 5 лет в регионе было осуществлено строительство новых (реконструкция и модернизация действующих) объектов рыбоводства на общей площади 334,7 га;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за последние четыре года в республике был значительно обновлен парк сельскохозяй</w:t>
      </w:r>
      <w:r>
        <w:rPr>
          <w:rFonts w:ascii="Times New Roman" w:hAnsi="Times New Roman" w:cs="Times New Roman"/>
          <w:sz w:val="28"/>
          <w:szCs w:val="28"/>
        </w:rPr>
        <w:t xml:space="preserve">ственной техники, снижена нагрузка на сельскохозяйственную технику. Показатель энергообеспеченности в республике увеличен до 163 л.с., превысив средний показатель энергообеспеченности по Приволжскому федеральному округу (138,3 л. с.) и России (155,3 л.с.);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за последние пять лет в Чувашской Республике вовлечено в субъекты малого и среднего предпринимательства 1 343 человека;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пищевыми и перерабатывающими предприятиями республики ведется постоянная работа по совершенствованию и модернизации технологических процессов, вводятся новые производственные линии, расширяется ассортимент выпускаемой продукции;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за последние</w:t>
      </w:r>
      <w:r>
        <w:rPr>
          <w:rFonts w:ascii="Times New Roman" w:hAnsi="Times New Roman" w:cs="Times New Roman"/>
          <w:sz w:val="28"/>
          <w:szCs w:val="28"/>
        </w:rPr>
        <w:t xml:space="preserve"> 6 лет объем экспорта продукции агропромышленного комплекса вырос в 2,1 раза. При этом, учитывая высокую долю переработанной продукции в структуре экспорта, средняя стоимость экспортной продукции АПК республики в 4 раза превышает среднероссийское значение.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Сохранение ко</w:t>
      </w:r>
      <w:r>
        <w:rPr>
          <w:rFonts w:ascii="Times New Roman" w:hAnsi="Times New Roman" w:cs="Times New Roman"/>
          <w:sz w:val="28"/>
          <w:szCs w:val="28"/>
        </w:rPr>
        <w:t xml:space="preserve">мплекса действующих мер государственной поддержки и объемов финансирования в перспективном периоде до 2030 года позволит сохранить в республике ускоренные темпа развития агропромышленного комплекса и своевременно реагировать на внешние и внутренние вызовы.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ind w:firstLine="709"/>
        <w:jc w:val="both"/>
        <w:spacing w:line="360" w:lineRule="auto"/>
        <w:rPr>
          <w:b w:val="0"/>
          <w:bCs w:val="0"/>
          <w:sz w:val="28"/>
        </w:rPr>
      </w:pPr>
      <w:r/>
      <w:bookmarkStart w:id="25" w:name="_Toc176798818"/>
      <w:r>
        <w:rPr>
          <w:b w:val="0"/>
          <w:bCs w:val="0"/>
          <w:sz w:val="28"/>
        </w:rPr>
        <w:t xml:space="preserve">19. Отраслевые финансы</w:t>
      </w:r>
      <w:bookmarkEnd w:id="25"/>
      <w:r>
        <w:rPr>
          <w:b w:val="0"/>
          <w:bCs w:val="0"/>
          <w:sz w:val="28"/>
        </w:rPr>
      </w:r>
      <w:r>
        <w:rPr>
          <w:b w:val="0"/>
          <w:bCs w:val="0"/>
          <w:sz w:val="28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Arial" w:hAnsi="Arial" w:eastAsia="Times New Roman" w:cs="Arial"/>
          <w:color w:val="2c2d2e"/>
          <w:sz w:val="23"/>
          <w:szCs w:val="23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В 2023 году в Чувашской Республике в отрасли сельского хозяйства работало сельскохозяйственных организаций – 561 ед., КФХ – 1 496 ед., ЛПХ – 233 900 ед.</w:t>
      </w:r>
      <w:r>
        <w:rPr>
          <w:rFonts w:ascii="Arial" w:hAnsi="Arial" w:eastAsia="Times New Roman" w:cs="Arial"/>
          <w:color w:val="2c2d2e"/>
          <w:sz w:val="23"/>
          <w:szCs w:val="23"/>
          <w:lang w:eastAsia="ru-RU"/>
          <w14:ligatures w14:val="none"/>
        </w:rPr>
      </w:r>
      <w:r>
        <w:rPr>
          <w:rFonts w:ascii="Arial" w:hAnsi="Arial" w:eastAsia="Times New Roman" w:cs="Arial"/>
          <w:color w:val="2c2d2e"/>
          <w:sz w:val="23"/>
          <w:szCs w:val="23"/>
          <w:lang w:eastAsia="ru-RU"/>
          <w14:ligatures w14:val="none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Arial" w:hAnsi="Arial" w:eastAsia="Times New Roman" w:cs="Arial"/>
          <w:color w:val="2c2d2e"/>
          <w:sz w:val="23"/>
          <w:szCs w:val="23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Среднемесячная заработная пл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ата в сельхозорганизациях в 2023 году в Чувашской Республике составляла 37 397,7 рублей (+14,13% по сравнению с 2022 годом). Темп роста среднемесячной заработной платы в сельхозорганизациях региона за период 2019 – 2023 гг. составил 173,97% (2023/2019, %).</w:t>
      </w:r>
      <w:r>
        <w:rPr>
          <w:rFonts w:ascii="Arial" w:hAnsi="Arial" w:eastAsia="Times New Roman" w:cs="Arial"/>
          <w:color w:val="2c2d2e"/>
          <w:sz w:val="23"/>
          <w:szCs w:val="23"/>
          <w:lang w:eastAsia="ru-RU"/>
          <w14:ligatures w14:val="none"/>
        </w:rPr>
      </w:r>
      <w:r>
        <w:rPr>
          <w:rFonts w:ascii="Arial" w:hAnsi="Arial" w:eastAsia="Times New Roman" w:cs="Arial"/>
          <w:color w:val="2c2d2e"/>
          <w:sz w:val="23"/>
          <w:szCs w:val="23"/>
          <w:lang w:eastAsia="ru-RU"/>
          <w14:ligatures w14:val="none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Arial" w:hAnsi="Arial" w:eastAsia="Times New Roman" w:cs="Arial"/>
          <w:color w:val="2c2d2e"/>
          <w:sz w:val="23"/>
          <w:szCs w:val="23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За период 2019–2023 гг. прибыль прибыльных крупных и средних предприятий сельского хозяйства республики увеличилась с 8,3 млрд рублей в 2019 году до 13,3 млрд рублей в 2023 году.</w:t>
      </w:r>
      <w:r>
        <w:rPr>
          <w:rFonts w:ascii="Arial" w:hAnsi="Arial" w:eastAsia="Times New Roman" w:cs="Arial"/>
          <w:color w:val="2c2d2e"/>
          <w:sz w:val="23"/>
          <w:szCs w:val="23"/>
          <w:lang w:eastAsia="ru-RU"/>
          <w14:ligatures w14:val="none"/>
        </w:rPr>
      </w:r>
      <w:r>
        <w:rPr>
          <w:rFonts w:ascii="Arial" w:hAnsi="Arial" w:eastAsia="Times New Roman" w:cs="Arial"/>
          <w:color w:val="2c2d2e"/>
          <w:sz w:val="23"/>
          <w:szCs w:val="23"/>
          <w:lang w:eastAsia="ru-RU"/>
          <w14:ligatures w14:val="none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Arial" w:hAnsi="Arial" w:eastAsia="Times New Roman" w:cs="Arial"/>
          <w:color w:val="2c2d2e"/>
          <w:sz w:val="23"/>
          <w:szCs w:val="23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Сумма уплаченных налогов организациями АПК Чувашской Республики по итогам 2023 года составила 11,1 млрд рублей, увеличившись по сравнению с 2022 годом на 30,03%, по сравнению с 2019 годом на 52,12%.</w:t>
      </w:r>
      <w:r>
        <w:rPr>
          <w:rFonts w:ascii="Arial" w:hAnsi="Arial" w:eastAsia="Times New Roman" w:cs="Arial"/>
          <w:color w:val="2c2d2e"/>
          <w:sz w:val="23"/>
          <w:szCs w:val="23"/>
          <w:lang w:eastAsia="ru-RU"/>
          <w14:ligatures w14:val="none"/>
        </w:rPr>
      </w:r>
      <w:r>
        <w:rPr>
          <w:rFonts w:ascii="Arial" w:hAnsi="Arial" w:eastAsia="Times New Roman" w:cs="Arial"/>
          <w:color w:val="2c2d2e"/>
          <w:sz w:val="23"/>
          <w:szCs w:val="23"/>
          <w:lang w:eastAsia="ru-RU"/>
          <w14:ligatures w14:val="none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Arial" w:hAnsi="Arial" w:eastAsia="Times New Roman" w:cs="Arial"/>
          <w:color w:val="2c2d2e"/>
          <w:sz w:val="23"/>
          <w:szCs w:val="23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За период 2018 – 2023 гг. в Чувашской республике было реализовано 574 инвестиционных проектов в сфере АПК на общую сумму 24,0</w:t>
      </w:r>
      <w:r>
        <w:rPr>
          <w:rFonts w:ascii="Arial" w:hAnsi="Arial" w:eastAsia="Times New Roman" w:cs="Arial"/>
          <w:color w:val="2c2d2e"/>
          <w:sz w:val="23"/>
          <w:szCs w:val="23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млрд руб. Наибольшее количество инвестиционных проектов было реализовано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в Батыревском муниципальном округе – 92 проекта с общей суммой инвестиций 1,4 млрд руб.</w:t>
      </w:r>
      <w:r>
        <w:rPr>
          <w:rFonts w:ascii="Arial" w:hAnsi="Arial" w:eastAsia="Times New Roman" w:cs="Arial"/>
          <w:color w:val="2c2d2e"/>
          <w:sz w:val="23"/>
          <w:szCs w:val="23"/>
          <w:lang w:eastAsia="ru-RU"/>
          <w14:ligatures w14:val="none"/>
        </w:rPr>
      </w:r>
      <w:r>
        <w:rPr>
          <w:rFonts w:ascii="Arial" w:hAnsi="Arial" w:eastAsia="Times New Roman" w:cs="Arial"/>
          <w:color w:val="2c2d2e"/>
          <w:sz w:val="23"/>
          <w:szCs w:val="23"/>
          <w:lang w:eastAsia="ru-RU"/>
          <w14:ligatures w14:val="none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Arial" w:hAnsi="Arial" w:eastAsia="Times New Roman" w:cs="Arial"/>
          <w:color w:val="2c2d2e"/>
          <w:sz w:val="23"/>
          <w:szCs w:val="23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Вместе с тем наибольший объем инвестиций в рамках реализуемых инвестиционных проектов был привлечен в экономику Чебоксарского муниципального округа (реализовано 17 проектов с общей суммой инвестиций 14,6 млрд руб.).</w:t>
      </w:r>
      <w:r>
        <w:rPr>
          <w:rFonts w:ascii="Arial" w:hAnsi="Arial" w:eastAsia="Times New Roman" w:cs="Arial"/>
          <w:color w:val="2c2d2e"/>
          <w:sz w:val="23"/>
          <w:szCs w:val="23"/>
          <w:lang w:eastAsia="ru-RU"/>
          <w14:ligatures w14:val="none"/>
        </w:rPr>
      </w:r>
      <w:r>
        <w:rPr>
          <w:rFonts w:ascii="Arial" w:hAnsi="Arial" w:eastAsia="Times New Roman" w:cs="Arial"/>
          <w:color w:val="2c2d2e"/>
          <w:sz w:val="23"/>
          <w:szCs w:val="23"/>
          <w:lang w:eastAsia="ru-RU"/>
          <w14:ligatures w14:val="none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Arial" w:hAnsi="Arial" w:eastAsia="Times New Roman" w:cs="Arial"/>
          <w:color w:val="2c2d2e"/>
          <w:sz w:val="23"/>
          <w:szCs w:val="23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На 2024 год в регионе запланирована реализация порядка 109 инвестиционных проектов на общую сумму 5,8 млрд руб.</w:t>
      </w:r>
      <w:r>
        <w:rPr>
          <w:rFonts w:ascii="Arial" w:hAnsi="Arial" w:eastAsia="Times New Roman" w:cs="Arial"/>
          <w:color w:val="2c2d2e"/>
          <w:sz w:val="23"/>
          <w:szCs w:val="23"/>
          <w:lang w:eastAsia="ru-RU"/>
          <w14:ligatures w14:val="none"/>
        </w:rPr>
      </w:r>
      <w:r>
        <w:rPr>
          <w:rFonts w:ascii="Arial" w:hAnsi="Arial" w:eastAsia="Times New Roman" w:cs="Arial"/>
          <w:color w:val="2c2d2e"/>
          <w:sz w:val="23"/>
          <w:szCs w:val="23"/>
          <w:lang w:eastAsia="ru-RU"/>
          <w14:ligatures w14:val="none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Arial" w:hAnsi="Arial" w:eastAsia="Times New Roman" w:cs="Arial"/>
          <w:color w:val="2c2d2e"/>
          <w:sz w:val="23"/>
          <w:szCs w:val="23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Достижению стратегических задач регион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а по повышению финансовой устойчивости и инвестиционной привлекательности агропромышленного комплекса в плановом периоде до 2030 года будет способствовать реализация мероприятий по повышению уровня рентабельности в агропромышленном комплексе; поддержке реа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лизации приоритетных инвестиционных проектов АПК, в том числе направленных на внедрение новых технологий и инновационных решений, внедрение, модернизацию и расширение мощностей по глубокой переработке сельскохозяйственного сырья, в частности молока, плодов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 и ягод; расширение практики использования различных инструментов финансирования инвестиционной деятельности в агропромышленном комплексе на основе ГЧП; а также информационная и консультационная поддержка инвестиционных проектов на всех стадиях реализации.</w:t>
      </w:r>
      <w:r>
        <w:rPr>
          <w:rFonts w:ascii="Arial" w:hAnsi="Arial" w:eastAsia="Times New Roman" w:cs="Arial"/>
          <w:color w:val="2c2d2e"/>
          <w:sz w:val="23"/>
          <w:szCs w:val="23"/>
          <w:lang w:eastAsia="ru-RU"/>
          <w14:ligatures w14:val="none"/>
        </w:rPr>
      </w:r>
      <w:r>
        <w:rPr>
          <w:rFonts w:ascii="Arial" w:hAnsi="Arial" w:eastAsia="Times New Roman" w:cs="Arial"/>
          <w:color w:val="2c2d2e"/>
          <w:sz w:val="23"/>
          <w:szCs w:val="23"/>
          <w:lang w:eastAsia="ru-RU"/>
          <w14:ligatures w14:val="none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ind w:firstLine="709"/>
        <w:jc w:val="both"/>
        <w:pageBreakBefore/>
        <w:spacing w:after="120" w:line="360" w:lineRule="auto"/>
        <w:rPr>
          <w:caps/>
          <w:sz w:val="28"/>
        </w:rPr>
      </w:pPr>
      <w:r/>
      <w:bookmarkStart w:id="26" w:name="_Toc176798819"/>
      <w:r>
        <w:rPr>
          <w:caps/>
          <w:sz w:val="28"/>
        </w:rPr>
        <w:t xml:space="preserve">III. влияние внутренних и внешних факторов на развитие АПК Чувашской Республики</w:t>
      </w:r>
      <w:bookmarkEnd w:id="26"/>
      <w:r>
        <w:rPr>
          <w:caps/>
          <w:sz w:val="28"/>
        </w:rPr>
      </w:r>
      <w:r>
        <w:rPr>
          <w:caps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ключевых внутренних и внешних факторов, которые оказывают или могут оказать значительное влияние на развитие агропромышленного комплекса Чувашской Республики (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SWOT</w:t>
      </w:r>
      <w:r>
        <w:rPr>
          <w:rFonts w:ascii="Times New Roman" w:hAnsi="Times New Roman" w:cs="Times New Roman"/>
          <w:sz w:val="28"/>
          <w:szCs w:val="28"/>
        </w:rPr>
        <w:t xml:space="preserve"> – анализ), является важным условием для определения целей, задач и мероприятий, а также возможных сценариев и стратегических направлений развития АПК региона.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Ключевые факторы развития агропромышленного комплекса Чувашской Республики подразделяются на конкурентные преимущества, системные проблемы и ограничения, возможности развития и внешние риски.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ind w:firstLine="709"/>
        <w:jc w:val="both"/>
        <w:spacing w:line="312" w:lineRule="auto"/>
        <w:rPr>
          <w:b w:val="0"/>
          <w:bCs w:val="0"/>
          <w:sz w:val="28"/>
        </w:rPr>
      </w:pPr>
      <w:r/>
      <w:bookmarkStart w:id="27" w:name="__RefHeading___13"/>
      <w:r/>
      <w:bookmarkStart w:id="28" w:name="_Toc176798820"/>
      <w:r/>
      <w:bookmarkEnd w:id="27"/>
      <w:r>
        <w:rPr>
          <w:b w:val="0"/>
          <w:bCs w:val="0"/>
          <w:sz w:val="28"/>
        </w:rPr>
        <w:t xml:space="preserve">1. Конкурентные преимущества АПК Чувашской Республики</w:t>
      </w:r>
      <w:bookmarkEnd w:id="28"/>
      <w:r>
        <w:rPr>
          <w:b w:val="0"/>
          <w:bCs w:val="0"/>
          <w:sz w:val="28"/>
        </w:rPr>
      </w:r>
      <w:r>
        <w:rPr>
          <w:b w:val="0"/>
          <w:bCs w:val="0"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Чувашская Республика является индустриально–аграрной территорией с благоприятными условиями для организации производства и переработки сельскохозяйственной продукции.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конкурентами преимуществами развития АПК Чувашской Республики являются: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удобное географическое положение, близость к важнейшим железнодорожным, водным и автомобильным магистралям;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развитая сеть автомобильных дорог с твердым покрытием;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политическая стабильность, межэтническое и межконфессиональное согласие;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наличие свободных сельскохозяйственных земель;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наличие экологически чистых территорий;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экологически благоприятная обстановка для проживания;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благоприятные природно–климатические условия для развития туристической отрасли;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сформировавшийся имидж надежного и проверенного партнера;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прозрачная система общественных финансов;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эффективная система муниципального управления;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развитие высокотехнологичных отраслей экономики, производство экологически чистых и безопасных продуктов;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достаточный ресурс рабочей силы, низкий уровень зарегистрированной безработицы;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наличие современной инфраструктуры в сельской местности;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значительная государственная поддержка агропромышленного комплекса за счет средств регионального бюджета;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полная самообеспеченность регионами всеми основными видами сельскохозяйственной продукции;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сбалансированная структура сельскохозяйственного производства – 55% приходится на растениеводство, 45% на животноводство;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эффективное использование имеющихся земельных ресурсов;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высокая доля переработанной продукции в структуре экспорта региона;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развития кадрового потенциала агропромышленного комплекса Чувашской Республики на основе комплексного подхода «детский сад – школа – сельскохозяйственный техникум – аграрный вуз».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ind w:firstLine="709"/>
        <w:jc w:val="both"/>
        <w:spacing w:line="312" w:lineRule="auto"/>
        <w:rPr>
          <w:b w:val="0"/>
          <w:bCs w:val="0"/>
          <w:sz w:val="28"/>
        </w:rPr>
      </w:pPr>
      <w:r/>
      <w:bookmarkStart w:id="29" w:name="_Toc176798821"/>
      <w:r>
        <w:rPr>
          <w:b w:val="0"/>
          <w:bCs w:val="0"/>
          <w:sz w:val="28"/>
        </w:rPr>
        <w:t xml:space="preserve">2. Системные проблемы и ограничения, сдерживающие развитие АПК Чувашской Республики</w:t>
      </w:r>
      <w:bookmarkEnd w:id="29"/>
      <w:r>
        <w:rPr>
          <w:b w:val="0"/>
          <w:bCs w:val="0"/>
          <w:sz w:val="28"/>
        </w:rPr>
      </w:r>
      <w:r>
        <w:rPr>
          <w:b w:val="0"/>
          <w:bCs w:val="0"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проблемами и ограничениями в сфере агропромышленного комплекса Чувашской Республики, сдерживающими его развитие на текущем этапе являются: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ограниченность </w:t>
      </w:r>
      <w:r>
        <w:rPr>
          <w:rFonts w:ascii="Times New Roman" w:hAnsi="Times New Roman" w:cs="Times New Roman"/>
          <w:sz w:val="28"/>
          <w:szCs w:val="28"/>
        </w:rPr>
        <w:t xml:space="preserve">минерально</w:t>
      </w:r>
      <w:r>
        <w:rPr>
          <w:rFonts w:ascii="Times New Roman" w:hAnsi="Times New Roman" w:cs="Times New Roman"/>
          <w:sz w:val="28"/>
          <w:szCs w:val="28"/>
        </w:rPr>
        <w:t xml:space="preserve">–сырьевых ресурсов, отсутствие стратегических видов полезных ископаемых;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миграция трудоспособного населения в регионы России с ярко выраженными потребностями в рабочей силе, возможностью трудоустройства с более высоким уровнем заработной платы;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старение населения и рост объемов социальных обязательств;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неравные возможности доступа населения к основным социально–экономическим благам и услугам;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естественное снижение показателей плодородия почв;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недостаточность перерабатывающих мощностей;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значительный износ основных фондов и инженерной инфраструктуры, медленный процесс обновления производства на ключевых предприятиях;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технологическая зависимость агропромышленного комплекса от импортного семенного материала в растениеводстве, племенной продукции (материала) в животноводстве, ветеринарии, кормопроизводстве, хранении и переработке сельскохозяйственной продукции;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недостаточная степень локализации переработки сельскохозяйственной продукции;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недостаточное применение методов искусственного осеменения КРС в ЛПХ;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недостаточное использование потенциала рыбоводства;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отсутствие необходимых прорывных решений и технологий в агропромышленном комплексе;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зависимость от финансовой поддержки из федерального бюджета;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недостаток высококвалифицированных кадров в сельском хозяйстве и пищевой промышленности;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наличие барьеров и инфраструктурных ограничений.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ind w:firstLine="709"/>
        <w:jc w:val="both"/>
        <w:spacing w:before="120" w:beforeAutospacing="0" w:after="120" w:afterAutospacing="0" w:line="312" w:lineRule="auto"/>
        <w:rPr>
          <w:b w:val="0"/>
          <w:bCs w:val="0"/>
          <w:sz w:val="28"/>
        </w:rPr>
      </w:pPr>
      <w:r/>
      <w:bookmarkStart w:id="30" w:name="_Toc176798822"/>
      <w:r>
        <w:rPr>
          <w:b w:val="0"/>
          <w:bCs w:val="0"/>
          <w:sz w:val="28"/>
        </w:rPr>
        <w:t xml:space="preserve">3. Возможности развития АПК Чувашской Республики</w:t>
      </w:r>
      <w:bookmarkEnd w:id="30"/>
      <w:r>
        <w:rPr>
          <w:b w:val="0"/>
          <w:bCs w:val="0"/>
          <w:sz w:val="28"/>
        </w:rPr>
      </w:r>
      <w:r>
        <w:rPr>
          <w:b w:val="0"/>
          <w:bCs w:val="0"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основным возможностям, которые могут способствовать дальнейшему развитию агропромышленного комплекса Чувашской Республики, относятся следующие: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предотвращение выбытия земель сельскохозяйственного назначения, сохранение и вовлечение их в сельскохозяйственное производство;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развитие мелиорации земель сельскохозяйственного назначения;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внесение оптимального объема минеральных удобрений, выполнение работ по защите растений от вредителей и болезней;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увеличение посевных площадей высокомаржинальных технических культур (рапс, горчица, соя);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развитие отрасли хмелеводства за счет увеличения площадей хмельников, способствующего росту валового сбора хмеля, и внедрения мощностей по его переработке;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стимулирование модернизации и обновления материально–технической и технологической базы функционирования сельскохозяйственного производства региона;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 внедрение современных беспилотных систем (дронов), а также технологии точного вождения и автопилотирования сельскохозяйственной техники, внедрение роботизированной системы доения коров, информационных электронных систем;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создание благоприятных условий для увеличения объема инвестиций в АПК;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стимулирование развития личных подсобных хозяйств и крестьянских (фермерских) хозяйств, формирование инфраструктуры обслуживания и обеспечения их деятельности, содействие развитию кооперации на селе;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повышение производительности труда в АПК округа за счет внедрения интенсивных технологий;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устойчивое развитие сельских территорий в качестве непременного условия сохранения трудовых ресурсов, создание условий для обеспечения экономической и физической доступности питания на основе рациональных норм потребления пищевых продуктов;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развитие импортозамещающих направлений сельского хозяйства, включая овощеводство и плодоводство;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минимизация логистических издержек и оптимизация других факторов, определяющих конкурентоспособность продукции с учетом рационального размещения и специализации сельскохозяйственного производства и пищевой промышленности;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развитие экспортного потенциала региона за счет увеличения экспорта сельскохозяйственной продукции, в том числе с высокой добавленной стоимостью, в другие регионы и за рубеж;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внедрение дополнительных мощностей по переработке сельскохозяйственного сырья внутри региона;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оказание государственной поддержки и предоставление грантов – использование программ поддержки для модернизации и расширения производства;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развитие сельского туризма как дополнительного источника доходов для сельских хозяйств;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подготовка кадров в рамках ре</w:t>
      </w:r>
      <w:r>
        <w:rPr>
          <w:rFonts w:ascii="Times New Roman" w:hAnsi="Times New Roman" w:cs="Times New Roman"/>
          <w:sz w:val="28"/>
          <w:szCs w:val="28"/>
        </w:rPr>
        <w:t xml:space="preserve">ализации мероприятий подпрограммы «Развитие рынка труда (кадрового потенциала) на сельских территориях» государственной программы «Комплексное развитие сельских территорий» и другими программами, взаимодействие с учебными заведениями, профориентация детей;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эффективная система муниципального управления, информационная открытость органов власти.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ind w:firstLine="709"/>
        <w:jc w:val="both"/>
        <w:spacing w:line="360" w:lineRule="auto"/>
        <w:rPr>
          <w:b w:val="0"/>
          <w:bCs w:val="0"/>
          <w:sz w:val="28"/>
        </w:rPr>
      </w:pPr>
      <w:r/>
      <w:bookmarkStart w:id="31" w:name="_Toc176798823"/>
      <w:r>
        <w:rPr>
          <w:b w:val="0"/>
          <w:bCs w:val="0"/>
          <w:sz w:val="28"/>
        </w:rPr>
        <w:t xml:space="preserve">4. Внешние факторы, влияющие на развитие АПК Чувашской Республики</w:t>
      </w:r>
      <w:bookmarkEnd w:id="31"/>
      <w:r>
        <w:rPr>
          <w:b w:val="0"/>
          <w:bCs w:val="0"/>
          <w:sz w:val="28"/>
        </w:rPr>
      </w:r>
      <w:r>
        <w:rPr>
          <w:b w:val="0"/>
          <w:bCs w:val="0"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основным факторам, которые влияют или могут оказать влияние на дальнейшее развитие агропромышленного комплекса Чувашской Республики, можно отнести следующие: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напряженная геополитическая ситуация;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сохранение действия экономических санкций недружественных стран в отношении российской экономики, а также ответные меры со стороны Правительства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высокая степень износа материально–технической базы в основных отраслях экономики и недостаточное обновление основных фондов;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высокая степень зависимости агропромышленного комплекса Чувашской Республики от природно–климатических условий, глобальные изменения климата, способствующих развитию аномальных природных явлений;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удорожание кредитных ресурсов на фоне роста ключевой ставки Банка России;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санкции и высокие экспортные пошлины, ограничивающие экспорт продукции агропромышленного комплекса;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существенное возрастание конкуренции среди муниципальных округов в привлечении инвестиций и размещении на территории муниципального округа новых производств;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сокращение объема производства сельхозпродукции в связи с низким качеством дорожной сети, отсутствием дорог к складским помещениям, фермам, хранилищам сельхозтоваропроизводителей;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диспаритет цен: низкий уровень закупочных цен на сельхозпродукцию на фоне постоянно растущих цен на энергоносители и расходные материалы;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усиление процессов урбанизации, а также миграции в регионы с более развитой экономикой;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сокращение численности трудоспособного населения;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дефицит трудовых ресурсов необходимой квалификации;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низкий уровень туристской инфраструктуры.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ind w:firstLine="708"/>
        <w:jc w:val="both"/>
        <w:pageBreakBefore/>
        <w:spacing w:before="0" w:line="360" w:lineRule="auto"/>
        <w:rPr>
          <w:rFonts w:ascii="Times New Roman Полужирный" w:hAnsi="Times New Roman Полужирный"/>
          <w:caps/>
          <w:sz w:val="28"/>
        </w:rPr>
      </w:pPr>
      <w:r/>
      <w:bookmarkStart w:id="32" w:name="_Toc176798824"/>
      <w:r>
        <w:rPr>
          <w:sz w:val="28"/>
          <w:lang w:val="en-US"/>
        </w:rPr>
        <w:t xml:space="preserve">IV</w:t>
      </w:r>
      <w:r>
        <w:rPr>
          <w:sz w:val="28"/>
        </w:rPr>
        <w:t xml:space="preserve">. </w:t>
      </w:r>
      <w:r>
        <w:rPr>
          <w:caps/>
          <w:sz w:val="28"/>
        </w:rPr>
        <w:t xml:space="preserve">Карта рисков, влияющие </w:t>
      </w:r>
      <w:r>
        <w:rPr>
          <w:rFonts w:ascii="Times New Roman Полужирный" w:hAnsi="Times New Roman Полужирный"/>
          <w:caps/>
          <w:sz w:val="28"/>
        </w:rPr>
        <w:t xml:space="preserve">на развитие АПК Чувашской Республики</w:t>
      </w:r>
      <w:bookmarkEnd w:id="32"/>
      <w:r>
        <w:rPr>
          <w:rFonts w:ascii="Times New Roman Полужирный" w:hAnsi="Times New Roman Полужирный"/>
          <w:caps/>
          <w:sz w:val="28"/>
        </w:rPr>
      </w:r>
      <w:r>
        <w:rPr>
          <w:rFonts w:ascii="Times New Roman Полужирный" w:hAnsi="Times New Roman Полужирный"/>
          <w:caps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агропромышленного комплекса в современных условиях сопряжено с рисками и угрозами, способными существенно снизить производственный потенциал в Чувашской Республике, к ним относятся: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внешнепол</w:t>
      </w:r>
      <w:r>
        <w:rPr>
          <w:rFonts w:ascii="Times New Roman" w:hAnsi="Times New Roman" w:cs="Times New Roman"/>
          <w:sz w:val="28"/>
          <w:szCs w:val="28"/>
        </w:rPr>
        <w:t xml:space="preserve">итические риски, которые могут привести к ограничению потенциала развития отечественного сельского и рыбного хозяйства, вызванные колебаниями рыночной конъюнктуры, применением зарубежными странами санкций, негативно сказывающихся на международной торговле;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экономические риски, обусловленные возможно</w:t>
      </w:r>
      <w:r>
        <w:rPr>
          <w:rFonts w:ascii="Times New Roman" w:hAnsi="Times New Roman" w:cs="Times New Roman"/>
          <w:sz w:val="28"/>
          <w:szCs w:val="28"/>
        </w:rPr>
        <w:t xml:space="preserve">стью ухудшения внутренней и внешней экономической конъюнктуры, снижения темпов роста мировой и национальной экономики, высокой инфляцией и кризисом банковской системы, снижением инвестиционной привлекательности отечественного сельского и рыбного хозяйства;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технологические риски, вызванные отставанием по уровню технологического развития производственной базы;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климатические и агроэкологические угрозы, об</w:t>
      </w:r>
      <w:r>
        <w:rPr>
          <w:rFonts w:ascii="Times New Roman" w:hAnsi="Times New Roman" w:cs="Times New Roman"/>
          <w:sz w:val="28"/>
          <w:szCs w:val="28"/>
        </w:rPr>
        <w:t xml:space="preserve">условленные неблагоприятными климатическими изменениями и аномальными природными явлениями стихийного характера, природными и техногенными чрезвычайными ситуациями, развитие эрозионных процессов, снижение плодородия земель сельскохозяйственного назначения;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ветеринарные и фитосанитарные риски, связанные с возникновением и распространением ранее не регистрировавшихся на территории Российской Федерации массовых заразных болезней животных, а также с распространением вредителей и болезней растений.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рисков и угроз, влияющих на развитие АПК Чувашской Республики приведен в Приложении 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рисками развития АПК Чувашии являются дефицит технологий, зависимость от импорта компонентов, торговые барьеры для отечественных производителей и дефицит кадров.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нивелирования рассматриваемых рисков и угроз для развития АПК Чувашской Республики целесообразно реализовать в среднесрочной перспективе следующие мероприятия: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– смягчение внешнеполитических рисков: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мероприятия по поиску новых рынков сбыта среди дружественных стран;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развитие отношений с текущими партнерами;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– смягчение экономических рисков: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повышение плодородия почв, мелиорация;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борьба с инвазивными видами растений;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улучшение условий проживания в сельских агломерациях;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привлечение высококвалифицированных специалистов;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создание новых или развитие текущих учреждений, специализированных на исследованиях;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– смягчение технологических рисков: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проведение технологического перевооружения (модернизации) АПК республики российскими или доступными зарубежными технологиями,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реализация мер по развитию в регионе элитного семеноводства и племенного скота;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– смягчение климатических и агроэкологических угроз: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развитие системы раннего оповещения о надвигающихся стихийных бедствиях (разработка соответствующего ПО для своевременного оповещения фермеров и других лиц);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– смягчение ветеринарных и фитосанитарных рисков: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мониторинг соблюдения всех требований и процедур указанных в 4 ключевых документах в рамках ЕАЭС: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"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Соглашение о проведении согласованной политики в области технического регулирования, санитарных и фитосанитарных мер;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"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Соглашение по санитарным мерам;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"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Соглашение по ветеринарно-санитарным мерам;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"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Соглашение о карантине растений;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мониторинг эффективности и улучшение процедур испытания, инспектирования, сертификации и одобрения продукции АПК. Внедрение международного опыта (например, внедрение сертификации HACCP);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мониторинг методов обработки и производства продукции АПК в регионе;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мониторинг соблюдения карантинных правил, включая соответствующие требования, связанные с перевозкой животных, растений или материалов, необходимых для их жизнедеятельности во время перевозки.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14"/>
        <w:ind w:firstLine="709"/>
        <w:jc w:val="both"/>
        <w:pageBreakBefore/>
        <w:spacing w:after="240" w:line="360" w:lineRule="auto"/>
        <w:rPr>
          <w:rFonts w:ascii="Times New Roman Полужирный" w:hAnsi="Times New Roman Полужирный"/>
          <w:caps/>
          <w:sz w:val="28"/>
        </w:rPr>
        <w:outlineLvl w:val="1"/>
      </w:pPr>
      <w:r/>
      <w:bookmarkStart w:id="33" w:name="_Toc176798825"/>
      <w:r>
        <w:rPr>
          <w:rFonts w:ascii="Times New Roman Полужирный" w:hAnsi="Times New Roman Полужирный"/>
          <w:caps/>
          <w:sz w:val="28"/>
        </w:rPr>
        <w:t xml:space="preserve">V. Стратегические цели, задачи и мероприятия развития АПК Чувашской Республики</w:t>
      </w:r>
      <w:bookmarkEnd w:id="33"/>
      <w:r>
        <w:rPr>
          <w:rFonts w:ascii="Times New Roman Полужирный" w:hAnsi="Times New Roman Полужирный"/>
          <w:caps/>
          <w:sz w:val="28"/>
        </w:rPr>
      </w:r>
      <w:r>
        <w:rPr>
          <w:rFonts w:ascii="Times New Roman Полужирный" w:hAnsi="Times New Roman Полужирный"/>
          <w:caps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АПК Республики напрямую связано с качеством и уровнем жизни сельского населения, социально–экономическим развитием сельских муниципальных образований, а также развитием инженерной, социальной и транспортной инфраструктуры в сельской местности.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Основой для формирования целей, задач и мероприятий Стратегии развития АПК Чувашии до 2030 года стал</w:t>
      </w:r>
      <w:r>
        <w:rPr>
          <w:rFonts w:ascii="Times New Roman" w:hAnsi="Times New Roman" w:cs="Times New Roman"/>
          <w:sz w:val="28"/>
          <w:szCs w:val="28"/>
        </w:rPr>
        <w:t xml:space="preserve">и национальные цели развития России до 2030 года, цели и задачи Стратегии развития агропромышленного и рыбохозяйственного комплексов Российской Федерации на период до 2030 года, Стратегии социально–экономического развития Чувашской Республики до 2035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вышеизложенное и установленные ключевые факторы развития агропромышленного комплекса Чувашской Республики сформированы следующие цели развития АПК региона на период до 2030 года: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1 – Обеспечение продовольственной безопасности республики;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2 – Увеличение произведенной добавленной стоимости АПК республики;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3 – Увеличение объема инвестиций в агропромышленном комплексе;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4 – Увеличение объема экспорта продукции агропромышленного комплекса;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5 – Сохранение доли сельского населения в общей численности населения республики;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6 – Повышение эффективности использования земель сельскохозяйственного назначения (биологизация, соблюдение севооборота, мелиорация);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7 – Цифровая трансформация агропромышленного комплекса республики;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8 – Отраслевая специализация региона в отрасли хмелеводства – Центр компетенций «Чувашия – центр производства хмеля».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9 – Отраслевая приоритизация (растениеводство – производство ягод, овощей, в т.ч. картофеля, лука-севка; животноводство – развитие племенного животноводства, производство мяса птицы и пр.).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сформированных целей необходимо решить следующие задачи развития агропромышленного комплекса Чувашской Республики до 2030 года: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506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74"/>
        <w:gridCol w:w="7894"/>
      </w:tblGrid>
      <w:tr>
        <w:tblPrEx/>
        <w:trPr>
          <w:cantSplit/>
          <w:trHeight w:val="19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574" w:type="dxa"/>
            <w:vAlign w:val="center"/>
            <w:vMerge w:val="restart"/>
            <w:textDirection w:val="lrTb"/>
            <w:noWrap w:val="false"/>
          </w:tcPr>
          <w:p>
            <w:pPr>
              <w:ind w:left="57" w:right="57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Цель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78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Задача 1.1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Обеспечение эффективных результатов ведения сельского хозяйства и деятельности АПК Чувашии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cantSplit/>
          <w:trHeight w:val="19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574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78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Задача 1.2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Обеспечение полного цикла производства пищевой продукции и напитков на территории Чувашии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cantSplit/>
          <w:trHeight w:val="1003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574" w:type="dxa"/>
            <w:vAlign w:val="center"/>
            <w:vMerge w:val="restart"/>
            <w:textDirection w:val="lrTb"/>
            <w:noWrap w:val="false"/>
          </w:tcPr>
          <w:p>
            <w:pPr>
              <w:ind w:left="57" w:right="57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Цель 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78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Задача 2.1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Увеличение объемов и интенсификация процессов обработки сырья, продаваемого со стороны Чувашии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cantSplit/>
          <w:trHeight w:val="19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574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78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Задача 2.2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Обеспечение «топливной безопасности» сельских хозяйств и предприятий АПК Чувашии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cantSplit/>
          <w:trHeight w:val="19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574" w:type="dxa"/>
            <w:vAlign w:val="center"/>
            <w:vMerge w:val="restart"/>
            <w:textDirection w:val="lrTb"/>
            <w:noWrap w:val="false"/>
          </w:tcPr>
          <w:p>
            <w:pPr>
              <w:ind w:left="57" w:right="57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Цель 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78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Задача 3.1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Повторное рассмотрение приостановленных и отмененных по состоянию на 2024 год инвестиционных проектов и сопровождение «проблемных» инвестиционных проектов со стороны Чувашии в будущем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cantSplit/>
          <w:trHeight w:val="19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574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78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Задача 3.2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Стимулирование обновления основных фондов в АПК, создание благоприятного инвестиционного климата на территории Чувашии и государственная поддержка в сфере кредитования предприятий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cantSplit/>
          <w:trHeight w:val="894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574" w:type="dxa"/>
            <w:vAlign w:val="center"/>
            <w:vMerge w:val="restart"/>
            <w:textDirection w:val="lrTb"/>
            <w:noWrap w:val="false"/>
          </w:tcPr>
          <w:p>
            <w:pPr>
              <w:ind w:left="57" w:right="57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Цель 4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7894" w:type="dxa"/>
            <w:vAlign w:val="center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Задача 4.1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Диверсификация экспорта за счет расширения ассортимента продукции и географии поставок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cantSplit/>
          <w:trHeight w:val="1932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574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78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Задача 4.2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Вовлечение субъектов агропромышленного комплекса Чувашской Республики, в том числе представителей МСП, в экспортную деятельность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cantSplit/>
          <w:trHeight w:val="19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574" w:type="dxa"/>
            <w:vAlign w:val="center"/>
            <w:vMerge w:val="restart"/>
            <w:textDirection w:val="lrTb"/>
            <w:noWrap w:val="false"/>
          </w:tcPr>
          <w:p>
            <w:pPr>
              <w:ind w:left="57" w:right="57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Цель 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78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Задача 5.1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Сохранение численности сельского населения </w:t>
            </w:r>
            <w:r>
              <w:rPr>
                <w:rFonts w:ascii="Times New Roman" w:hAnsi="Times New Roman" w:eastAsia="Arial Unicode MS" w:cs="Times New Roman"/>
                <w:sz w:val="28"/>
                <w:szCs w:val="28"/>
              </w:rPr>
              <w:t xml:space="preserve">Чувашской Республики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cantSplit/>
          <w:trHeight w:val="19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574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78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Задача 5.2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Улучшение благосостояния сельского населения </w:t>
            </w:r>
            <w:r>
              <w:rPr>
                <w:rFonts w:ascii="Times New Roman" w:hAnsi="Times New Roman" w:eastAsia="Arial Unicode MS" w:cs="Times New Roman"/>
                <w:sz w:val="28"/>
                <w:szCs w:val="28"/>
              </w:rPr>
              <w:t xml:space="preserve">Чувашской Республики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cantSplit/>
          <w:trHeight w:val="19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574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78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Задача 5.3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Улучшение условий проживания сельского населения </w:t>
            </w:r>
            <w:r>
              <w:rPr>
                <w:rFonts w:ascii="Times New Roman" w:hAnsi="Times New Roman" w:eastAsia="Arial Unicode MS" w:cs="Times New Roman"/>
                <w:sz w:val="28"/>
                <w:szCs w:val="28"/>
              </w:rPr>
              <w:t xml:space="preserve">Чувашской Республики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cantSplit/>
          <w:trHeight w:val="19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574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78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Задача 5.4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Повышение качества образования в вузах Чувашии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cantSplit/>
          <w:trHeight w:val="19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574" w:type="dxa"/>
            <w:vAlign w:val="center"/>
            <w:vMerge w:val="restart"/>
            <w:textDirection w:val="lrTb"/>
            <w:noWrap w:val="false"/>
          </w:tcPr>
          <w:p>
            <w:pPr>
              <w:ind w:left="57" w:right="57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Цель 6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78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Задача 6.1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Вовлечение в оборот неиспользуемых земель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cantSplit/>
          <w:trHeight w:val="19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574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78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Задача 6.2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Субсидирование внесения минеральных и органических удобрений, известкования кислых почв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cantSplit/>
          <w:trHeight w:val="19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574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78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Задача 6.3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Борьба с распространением инвазивных видов растений и разработка региональных нормативно–правовых актов для контроля их распространения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cantSplit/>
          <w:trHeight w:val="19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574" w:type="dxa"/>
            <w:vAlign w:val="center"/>
            <w:vMerge w:val="restart"/>
            <w:textDirection w:val="lrTb"/>
            <w:noWrap w:val="false"/>
          </w:tcPr>
          <w:p>
            <w:pPr>
              <w:ind w:left="57" w:right="57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Цель 7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78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Задача 7.1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Ускоренный переход к Agriculture 4.0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cantSplit/>
          <w:trHeight w:val="1917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574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78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Задача 7.2 – Повышение производительности и снижение себестоимости труда за счет использования высоких технологий и роботизации в сельском хозяйстве за счет использования высоких технологий и роботизации в сельском хозяйстве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cantSplit/>
          <w:trHeight w:val="1817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574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78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Задача 7.3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Создание и развитие цифрового двойника, единой электронной базы данных со статистическими показателями и модели прогнозирования развития сельского хозяйства и АПК Чувашии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cantSplit/>
          <w:trHeight w:val="19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574" w:type="dxa"/>
            <w:vAlign w:val="center"/>
            <w:vMerge w:val="restart"/>
            <w:textDirection w:val="lrTb"/>
            <w:noWrap w:val="false"/>
          </w:tcPr>
          <w:p>
            <w:pPr>
              <w:ind w:left="57" w:right="57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Цель 8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78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Задача 8.1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Увеличение площади хмельников, повышение урожайности и увеличение объемов валового сбора хмеля, в том числе за счет привлечения инвесторов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cantSplit/>
          <w:trHeight w:val="823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574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78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Задача 8.2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Техническая модернизация отрасли хмелеводства, внедрения мощностей по глубокой переработке хмелепродуктов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cantSplit/>
          <w:trHeight w:val="19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574" w:type="dxa"/>
            <w:vAlign w:val="center"/>
            <w:textDirection w:val="lrTb"/>
            <w:noWrap w:val="false"/>
          </w:tcPr>
          <w:p>
            <w:pPr>
              <w:ind w:left="57" w:right="57"/>
              <w:spacing w:after="0" w:line="36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Цель 9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78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360" w:lineRule="auto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Задача 9.1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Развитие приоритетных направлений АПК Чувашской Республики в привязке к отраслевой специализации </w:t>
            </w:r>
            <w:r>
              <w:rPr>
                <w:rFonts w:ascii="Times New Roman" w:hAnsi="Times New Roman" w:cs="Times New Roman"/>
                <w:strike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trike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разработанных задач развития АПК Чувашской Республики до 2030 года возможно за счет реализации следующих мероприятий: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– в части обеспечения продовольственной безопасности Республики: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увеличение урожайности зерновых и зернобобовых культур до 34,2 ц/га;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увеличение урожайности плодово-ягодных культур до 196,2 ц/га;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повышение среднего надоя молока на 1 корову до 9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050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кг;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увеличение производства молока до 561,2 тыс. тонн в год;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увеличение производства скота и птицы на убой (в живом весе) до 191,11 тыс. тонн в год;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увеличение производства яиц до 546,8 млн штук в год;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– в части увеличения произведенной добавленной стоимости АПК Республики: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num" w:pos="7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субсидирование использования минеральных и органических удобрений;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num" w:pos="7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субсидирование известкования кислых почв до 70% от затрат;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создание пищевого кластера с резидентами в виде крупного бизнеса и МСП Чувашской Республики;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num" w:pos="7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субсидирование приобретения и обновления </w:t>
      </w:r>
      <w:r>
        <w:rPr>
          <w:rFonts w:ascii="Times New Roman" w:hAnsi="Times New Roman" w:cs="Times New Roman"/>
          <w:sz w:val="28"/>
          <w:szCs w:val="28"/>
        </w:rPr>
        <w:t xml:space="preserve">CapEx</w:t>
      </w:r>
      <w:r>
        <w:rPr>
          <w:rFonts w:ascii="Times New Roman" w:hAnsi="Times New Roman" w:cs="Times New Roman"/>
          <w:sz w:val="28"/>
          <w:szCs w:val="28"/>
        </w:rPr>
        <w:t xml:space="preserve"> сельскохозяйственных предприятий до 30% от затрат;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num" w:pos="7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субсидирование приобретения технологического оборудования для глубокой переработки молока, мяса, картофеля, плодоовощной продукции, рыбы, масличных культур до 30% от затрат;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создание единого оператора поставок топлива аграриям;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субсидирование приобретения топлива аграриями до 50% от затрат;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– в части увеличения объема инвестиций в агропромышленном и рыбохозяйственном комплексах: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проведение медиации со стороны ТПП Чувашии или Минэкономразвития Чувашии в рамках «проблемных» инвестиционных проектов;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организация консультационной поддержки со стороны Минэкономразвития Чувашии участникам проекта;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повторное рассмотрение и частичное финансирование инвестиционных проектов Чувашии в размере 30% от итоговой суммы;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обеспечение доступных льготных кредитных ресурсов и льготного лизинга для производителей АПК;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предоставление налоговых преференций товаропроизводителям АПК Республики;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внедрение нефинансовых мер по дополнительному привлечению инвестиций в АПК Республики;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– в части увеличения объема экспорта продукции агропромышленного комплекса и обеспечение продовольственной безопасности Республики: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создание агропромышленного кластера на территории Чувашии;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создание пищевого промышленного кластера на территории Чувашии;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расширение линейки экспортной продукции АПК региона, в том числе за счет экспорта товарной продукции с высокой добавленной стоимостью;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– в части сохранения доли сельского населения в общей численности населения Республики: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совершенствование субсидий и льгот для фермеров и сельскохозяйственных предприятий;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создание рабочих мест и обеспечение кадрами;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увеличение среднемесячной заработной платы работников сельскохозяйственных предприятий и предприятий переработки сельхозсырья до 62 045 рублей;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увеличение доли жилых помещений в сельских населенных пунктах, обустроенных водопроводом, водоотведением и отоплением до 35,6%;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обеспечение квот при поступлении и целевых учебных мест по направлениям «сельское, лесное и рыбное хозяйство», «ветеринария и зоотехния» и «биологические науки» для сельских жителей;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– в части эффективного вовлечения в оборот земель сельскохозяйственного назначения Республики: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субсидирование использования удобрений до 90% от затрат;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субсидирование приобретения и обновления </w:t>
      </w:r>
      <w:r>
        <w:rPr>
          <w:rFonts w:ascii="Times New Roman" w:hAnsi="Times New Roman" w:cs="Times New Roman"/>
          <w:sz w:val="28"/>
          <w:szCs w:val="28"/>
        </w:rPr>
        <w:t xml:space="preserve">CapEx</w:t>
      </w:r>
      <w:r>
        <w:rPr>
          <w:rFonts w:ascii="Times New Roman" w:hAnsi="Times New Roman" w:cs="Times New Roman"/>
          <w:sz w:val="28"/>
          <w:szCs w:val="28"/>
        </w:rPr>
        <w:t xml:space="preserve">, используемого при обработке, до 50% от затрат;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вовлечение в оборот необрабатываемых земель;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формирование реестра территорий, занятой инвазивными видами растений;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разработка региональных нормативно – правовых актов, обязывающих владельцев земельных участков уничтожать инвазивные растения и проводить профилактику;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субсидирование работ по уничтожению инвазивных видов растений и профилактике их появления до 50% от затрат;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– в части цифровой трансформации агропромышленного комплекса Республики: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субсидирование приобретения и обновления высокотехнологичного оборудования до 50% от затрат;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объявление кредитных каникул для предприятий, приобретающих высокотехнологичное оборудования за заемные средства;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установление налоговых льгот для предприятий, приобретающих высокотехнологичное оборудование;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создание и масштабирование комплексного решения – ЦОД для сбора Big Data о состоянии сельского хозяйства и АПК Чувашии с предустановленным искусственным интеллектом и прогностической ML–</w:t>
      </w:r>
      <w:r>
        <w:rPr>
          <w:rFonts w:ascii="Times New Roman" w:hAnsi="Times New Roman" w:cs="Times New Roman"/>
          <w:sz w:val="28"/>
          <w:szCs w:val="28"/>
        </w:rPr>
        <w:t xml:space="preserve">моделью высокой точности (AUC = 0,95) для прогнозирования ключевых показателей отраслей региона;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создание и развитие единой электронной базы данных со статистическими показателями состояния сельского хозяйства и АПК Чувашии;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– в части отраслевой специализации региона в отрасли хмелеводства: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привлечение инвесторов для расширения площадей хмельников и увеличения объемов валовых сборов хмеля;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разработка мер государственной поддержки для стимулирования развития глубокой переработки хмеля в регионе;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доведение площади хмельников в плодоносящем возрасте до 2 000 га к 2032 году, что позволит собрать 3,7 тыс. тонн хмеля;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 – развитие агротуризма в приоритетных муниципальных округах региона.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Общие показатели развития сельского хозяйства в Чувашской Республике до 2030 года, которые будут достигнуты при условии реализации указанных выше мероприятий, приведены в Приложении 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14"/>
        <w:ind w:firstLine="709"/>
        <w:jc w:val="both"/>
        <w:pageBreakBefore/>
        <w:spacing w:before="240" w:after="240" w:line="360" w:lineRule="auto"/>
        <w:rPr>
          <w:rFonts w:ascii="Times New Roman" w:hAnsi="Times New Roman"/>
          <w:caps/>
          <w:sz w:val="28"/>
        </w:rPr>
        <w:outlineLvl w:val="1"/>
      </w:pPr>
      <w:r/>
      <w:bookmarkStart w:id="34" w:name="_Toc176798826"/>
      <w:r>
        <w:rPr>
          <w:rFonts w:ascii="Times New Roman" w:hAnsi="Times New Roman"/>
          <w:caps/>
          <w:sz w:val="28"/>
        </w:rPr>
        <w:t xml:space="preserve">VI. Приоритетные направления развития АПК Чувашской Республики</w:t>
      </w:r>
      <w:bookmarkEnd w:id="34"/>
      <w:r>
        <w:rPr>
          <w:rFonts w:ascii="Times New Roman" w:hAnsi="Times New Roman"/>
          <w:caps/>
          <w:sz w:val="28"/>
        </w:rPr>
      </w:r>
      <w:r>
        <w:rPr>
          <w:rFonts w:ascii="Times New Roman" w:hAnsi="Times New Roman"/>
          <w:caps/>
          <w:sz w:val="28"/>
        </w:rPr>
      </w:r>
    </w:p>
    <w:p>
      <w:pPr>
        <w:pStyle w:val="1014"/>
        <w:ind w:firstLine="709"/>
        <w:spacing w:after="240" w:line="360" w:lineRule="auto"/>
        <w:rPr>
          <w:rFonts w:ascii="Times New Roman" w:hAnsi="Times New Roman"/>
          <w:b w:val="0"/>
          <w:bCs/>
          <w:sz w:val="28"/>
        </w:rPr>
        <w:outlineLvl w:val="2"/>
      </w:pPr>
      <w:r/>
      <w:bookmarkStart w:id="35" w:name="__RefHeading___24"/>
      <w:r/>
      <w:bookmarkStart w:id="36" w:name="_Toc176798827"/>
      <w:r/>
      <w:bookmarkEnd w:id="35"/>
      <w:r>
        <w:rPr>
          <w:rFonts w:ascii="Times New Roman" w:hAnsi="Times New Roman"/>
          <w:b w:val="0"/>
          <w:bCs/>
          <w:sz w:val="28"/>
        </w:rPr>
        <w:t xml:space="preserve">1. Растениеводство</w:t>
      </w:r>
      <w:bookmarkEnd w:id="36"/>
      <w:r>
        <w:rPr>
          <w:rFonts w:ascii="Times New Roman" w:hAnsi="Times New Roman"/>
          <w:b w:val="0"/>
          <w:bCs/>
          <w:sz w:val="28"/>
        </w:rPr>
      </w:r>
      <w:r>
        <w:rPr>
          <w:rFonts w:ascii="Times New Roman" w:hAnsi="Times New Roman"/>
          <w:b w:val="0"/>
          <w:bCs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Достижению стратегических задач региона в отрасли растениеводства в перспективном периоде будет способствовать реализация следующих направлений: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развитие импортозамещающих производств в</w:t>
      </w:r>
      <w:r>
        <w:rPr>
          <w:rFonts w:ascii="Times New Roman" w:hAnsi="Times New Roman" w:cs="Times New Roman"/>
          <w:sz w:val="28"/>
          <w:szCs w:val="28"/>
        </w:rPr>
        <w:t xml:space="preserve"> сельском хозяйстве, включая выращивание зерновых, овощеводство (в том числе выращивание картофеля), хмелеводство и ягодоводство на основе ресурсосберегающих земледельческих технологий и использования высокопродуктивного отечественного посевного материала;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возделывание новых культур, способных повысить эффективность сел</w:t>
      </w:r>
      <w:r>
        <w:rPr>
          <w:rFonts w:ascii="Times New Roman" w:hAnsi="Times New Roman" w:cs="Times New Roman"/>
          <w:sz w:val="28"/>
          <w:szCs w:val="28"/>
        </w:rPr>
        <w:t xml:space="preserve">ьскохозяйственного производства и заполнить возникающие рыночные ниши, в том числе высокомаржинальных культур (горчица, рапс, соя). При этом акцент должен быть сделан на продукции, востребованной на рынке, ценной с точки зрения экологического благополучия;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экологически регламентированное использование в сельскохозяйственном производстве земельных, водных и других возобновляемых природных ресурсов, а также повышение плодородия почв до оптимального уровня;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развитие науки и инновационной деятельности, модернизация материально–технической и технологической базы АПК, в том числе развитие отечественной селекции и семеноводства;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поддержка элитного семеноводства сельскохозяйственных товаропроизводителей республики;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комплексное развитие отрасли хмелеводства;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комплексное развитие производства лука – севка;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строительство новых, реконструкция и модернизация действующих хранилищ зерна, картофеля, овощей и фруктов на основе инновационных </w:t>
      </w:r>
      <w:r>
        <w:rPr>
          <w:rFonts w:ascii="Times New Roman" w:hAnsi="Times New Roman" w:cs="Times New Roman"/>
          <w:sz w:val="28"/>
          <w:szCs w:val="28"/>
        </w:rPr>
        <w:t xml:space="preserve">технологий и современного оборудования, оснащение их технологическим и холодильным оборудованием;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повышение производительности труда в АПК за счет внедрения интенсивных технологий, базирующихся на новом п</w:t>
      </w:r>
      <w:r>
        <w:rPr>
          <w:rFonts w:ascii="Times New Roman" w:hAnsi="Times New Roman" w:cs="Times New Roman"/>
          <w:sz w:val="28"/>
          <w:szCs w:val="28"/>
        </w:rPr>
        <w:t xml:space="preserve">околении тракторов и сельскохозяйственных машин, увеличения объема вносимых минеральных удобрений, выполнения работ по защите растений от вредителей и болезней, перехода на посев перспективных высокоурожайных сортов и гибридов сельскохозяйственных культур.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14"/>
        <w:ind w:firstLine="709"/>
        <w:spacing w:after="240" w:line="360" w:lineRule="auto"/>
        <w:rPr>
          <w:rFonts w:ascii="Times New Roman" w:hAnsi="Times New Roman"/>
          <w:b w:val="0"/>
          <w:bCs/>
          <w:sz w:val="28"/>
        </w:rPr>
        <w:outlineLvl w:val="2"/>
      </w:pPr>
      <w:r/>
      <w:bookmarkStart w:id="37" w:name="_Toc176798828"/>
      <w:r>
        <w:rPr>
          <w:rFonts w:ascii="Times New Roman" w:hAnsi="Times New Roman"/>
          <w:b w:val="0"/>
          <w:bCs/>
          <w:sz w:val="28"/>
        </w:rPr>
        <w:t xml:space="preserve">2. Животноводство</w:t>
      </w:r>
      <w:bookmarkEnd w:id="37"/>
      <w:r>
        <w:rPr>
          <w:rFonts w:ascii="Times New Roman" w:hAnsi="Times New Roman"/>
          <w:b w:val="0"/>
          <w:bCs/>
          <w:sz w:val="28"/>
        </w:rPr>
      </w:r>
      <w:r>
        <w:rPr>
          <w:rFonts w:ascii="Times New Roman" w:hAnsi="Times New Roman"/>
          <w:b w:val="0"/>
          <w:bCs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Достижению стратегических задач региона в отрасли животноводства в перспективном периоде будет способствовать реализация следующих направлений: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наращивание объемов производства</w:t>
      </w:r>
      <w:r>
        <w:rPr>
          <w:rFonts w:ascii="Times New Roman" w:hAnsi="Times New Roman" w:cs="Times New Roman"/>
          <w:sz w:val="28"/>
          <w:szCs w:val="28"/>
        </w:rPr>
        <w:t xml:space="preserve"> мяса, молока за счет улучшения генетического потенциала животных, сохранения государственной поддержки племенных организаций, создания благоприятных условий для привлечения инвестиций в указанную сферу деятельности, внедрения энергосберегающих технологий;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ежегодное увеличение скотомест, в том числе в среднесрочной перспективе;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перевод системы животноводства на интенсивные формы производства: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 молочном животноводстве: улучшение качества основных кормов, круглогодовое использование </w:t>
      </w:r>
      <w:r>
        <w:rPr>
          <w:rFonts w:ascii="Times New Roman" w:hAnsi="Times New Roman" w:cs="Times New Roman"/>
          <w:sz w:val="28"/>
          <w:szCs w:val="28"/>
        </w:rPr>
        <w:t xml:space="preserve">полносмешанных</w:t>
      </w:r>
      <w:r>
        <w:rPr>
          <w:rFonts w:ascii="Times New Roman" w:hAnsi="Times New Roman" w:cs="Times New Roman"/>
          <w:sz w:val="28"/>
          <w:szCs w:val="28"/>
        </w:rPr>
        <w:t xml:space="preserve"> рационов в кормлении скота всех возрастов, </w:t>
      </w:r>
      <w:r>
        <w:rPr>
          <w:rFonts w:ascii="Times New Roman" w:hAnsi="Times New Roman" w:cs="Times New Roman"/>
          <w:sz w:val="28"/>
          <w:szCs w:val="28"/>
        </w:rPr>
        <w:t xml:space="preserve">обеспечение животных достаточным количеством протеиновых (жмыхи и шроты) и энергонасыщенных (зерно кукурузы, пшеницы, ячменя) концентрированных, а также минеральных кормов, использование в работе специалистов программ по кормлению и менеджменту стада;   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дифференцированное кормление (кормление в зависимости от возраста, физиологического состояния и продуктивности) для всех видов сельскохозяйственных животных;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модернизацию всех технологических процессов;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систематическое проведение ветеринарно-профилактических и лечебных работ по борьбе с болезнями животных с использованием современных методов профилактики и способов лечения сельскохозяйственных животных.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создание специализированных хозяйств по выращиванию и откорму мясных пород скота, путем приобретения телок и быков-производителей мясных пород скота, их дальнейшего разведения и последующего производства высококачественной говядины;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увеличение производства продуктов животноводства за счет увеличения поголовья и роста продуктивности скота;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развитие птицеводства (яичное, мясное);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развитие аквакультуры (рыбоводства), ч</w:t>
      </w:r>
      <w:r>
        <w:rPr>
          <w:rFonts w:ascii="Times New Roman" w:hAnsi="Times New Roman" w:cs="Times New Roman"/>
          <w:sz w:val="28"/>
          <w:szCs w:val="28"/>
        </w:rPr>
        <w:t xml:space="preserve">то позволит расширить доступность для населения различных видов рыб, сохранить привлекательность товарного рыбоводства для инвесторов, повысить эффективность использования водных биологических ресурсов за счет расширения фонда используемых водных объектов.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14"/>
        <w:ind w:firstLine="709"/>
        <w:spacing w:after="240" w:line="360" w:lineRule="auto"/>
        <w:rPr>
          <w:rFonts w:ascii="Times New Roman" w:hAnsi="Times New Roman"/>
          <w:b w:val="0"/>
          <w:sz w:val="28"/>
          <w:szCs w:val="28"/>
        </w:rPr>
        <w:outlineLvl w:val="2"/>
      </w:pPr>
      <w:r/>
      <w:bookmarkStart w:id="38" w:name="_Toc176798829"/>
      <w:r>
        <w:rPr>
          <w:rFonts w:ascii="Times New Roman" w:hAnsi="Times New Roman"/>
          <w:b w:val="0"/>
          <w:bCs/>
          <w:sz w:val="28"/>
        </w:rPr>
        <w:t xml:space="preserve">3. Пищевая промышленность</w:t>
      </w:r>
      <w:bookmarkEnd w:id="38"/>
      <w:r>
        <w:rPr>
          <w:rFonts w:ascii="Times New Roman" w:hAnsi="Times New Roman"/>
          <w:b w:val="0"/>
          <w:sz w:val="28"/>
          <w:szCs w:val="28"/>
        </w:rPr>
      </w:r>
      <w:r>
        <w:rPr>
          <w:rFonts w:ascii="Times New Roman" w:hAnsi="Times New Roman"/>
          <w:b w:val="0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Достижению стратегических задач региона в сфере пищевой промышленности в перспективном периоде будет способствовать реализация следующих направлений: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основные приоритетные направления развития – молочное, переработка мяса, хлебопекарное, производство напитков и соков;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внедрение кластерного подхода, что позволит достичь качественного роста показателей в агропромышленной сфере в целом, сконцентрировав </w:t>
      </w:r>
      <w:r>
        <w:rPr>
          <w:rFonts w:ascii="Times New Roman" w:hAnsi="Times New Roman" w:cs="Times New Roman"/>
          <w:sz w:val="28"/>
          <w:szCs w:val="28"/>
        </w:rPr>
        <w:t xml:space="preserve">внимание на глубокой переработке продукции растениеводства и животноводства;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поддержание стабильности обеспечения населения качественными продовольственными товарами, развитие рынка экологически безопасных продуктов и технологий, способствующих повышению конкурентоспособности продукции, развитие рынка сбыта;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увеличение использования мощностей перерабатывающей промышленности с учетом растущих сырьевых ресурсов;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реализация проектов, направленных на глубокую переработку зерна, картофеля, мяса, молока, что позволит переработать больший объем сырья, произвести новую продукцию и отправить ее на экспорт;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расширение действующих мощностей по первичной и внедрение мощностей по глубокой переработке хмеля;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расширение производственной линейки пищевых продуктов сельскохозяйственной продукции;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создание и развитие оптово–распределительного центра с эффективны</w:t>
      </w:r>
      <w:r>
        <w:rPr>
          <w:rFonts w:ascii="Times New Roman" w:hAnsi="Times New Roman" w:cs="Times New Roman"/>
          <w:sz w:val="28"/>
          <w:szCs w:val="28"/>
        </w:rPr>
        <w:t xml:space="preserve">ми энергосберегающими технологиями, с узкоспециализированными складами, хранилищами, максимально приближенными к производителям и имеющими небольшие мощности для хранения, переработки и фасовки продукции, с участием фермеров и кооперативов на условиях ГЧП;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развитие кооперации в сфере производства и реализации сельскохозяйственной продукции, сырья и продовольствия;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оказание мер государственной поддержки на реализацию инвестиционных проектов по глубокой переработке;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оказание информационно–консультационного сопровождения хозяйствующих субъектов агропромышленного комплекса, реализующих проекты в сфере глубокой переработки.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14"/>
        <w:ind w:firstLine="709"/>
        <w:spacing w:after="240" w:line="360" w:lineRule="auto"/>
        <w:rPr>
          <w:rFonts w:ascii="Times New Roman" w:hAnsi="Times New Roman"/>
          <w:b w:val="0"/>
          <w:bCs/>
          <w:sz w:val="28"/>
        </w:rPr>
        <w:outlineLvl w:val="2"/>
      </w:pPr>
      <w:r/>
      <w:bookmarkStart w:id="39" w:name="_Toc176798830"/>
      <w:r>
        <w:rPr>
          <w:rFonts w:ascii="Times New Roman" w:hAnsi="Times New Roman"/>
          <w:b w:val="0"/>
          <w:bCs/>
          <w:sz w:val="28"/>
        </w:rPr>
        <w:t xml:space="preserve">4. У</w:t>
      </w:r>
      <w:r>
        <w:rPr>
          <w:rFonts w:ascii="Times New Roman" w:hAnsi="Times New Roman"/>
          <w:b w:val="0"/>
          <w:bCs/>
          <w:sz w:val="28"/>
          <w:szCs w:val="28"/>
        </w:rPr>
        <w:t xml:space="preserve">стойчивое развитие сельских территорий</w:t>
      </w:r>
      <w:bookmarkEnd w:id="39"/>
      <w:r>
        <w:rPr>
          <w:rFonts w:ascii="Times New Roman" w:hAnsi="Times New Roman"/>
          <w:b w:val="0"/>
          <w:bCs/>
          <w:sz w:val="28"/>
        </w:rPr>
      </w:r>
      <w:r>
        <w:rPr>
          <w:rFonts w:ascii="Times New Roman" w:hAnsi="Times New Roman"/>
          <w:b w:val="0"/>
          <w:bCs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Достижению стратегических задач региона по устойчивому развитию сельских территорий в перспективном периоде будет способствовать обеспечение стабилизации численности сельского населения за счет: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создания новых рабочих мест;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создания комфортных условий для проживания путем решения задач комплексного обустройства объектами социальной и инженерной инфраструктуры сельских поселений;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удовлетворения потребностей сельского населения в благоустроенном жилье, в том числе молодых семей и молодых специалистов, задействованных в реализации инвестиционных проектов в агропромышленном комплексе;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развитие агротуризма, в том числе разработка маршрутной карты, мер государственной поддержки по развитию данного направления в регионе.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14"/>
        <w:ind w:firstLine="709"/>
        <w:spacing w:after="240" w:line="360" w:lineRule="auto"/>
        <w:rPr>
          <w:rFonts w:ascii="Times New Roman" w:hAnsi="Times New Roman"/>
          <w:b w:val="0"/>
          <w:bCs/>
          <w:sz w:val="28"/>
        </w:rPr>
        <w:outlineLvl w:val="2"/>
      </w:pPr>
      <w:r/>
      <w:bookmarkStart w:id="40" w:name="_Toc176798831"/>
      <w:r>
        <w:rPr>
          <w:rFonts w:ascii="Times New Roman" w:hAnsi="Times New Roman"/>
          <w:b w:val="0"/>
          <w:bCs/>
          <w:sz w:val="28"/>
        </w:rPr>
        <w:t xml:space="preserve">5. Кооперация</w:t>
      </w:r>
      <w:bookmarkEnd w:id="40"/>
      <w:r>
        <w:rPr>
          <w:rFonts w:ascii="Times New Roman" w:hAnsi="Times New Roman"/>
          <w:b w:val="0"/>
          <w:bCs/>
          <w:sz w:val="28"/>
        </w:rPr>
      </w:r>
      <w:r>
        <w:rPr>
          <w:rFonts w:ascii="Times New Roman" w:hAnsi="Times New Roman"/>
          <w:b w:val="0"/>
          <w:bCs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Достижению стратегических задач региона в части развития сельскохозяйственной кооперации в перспективном периоде будет способствовать реализация следующих направлений: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вовлечение граждан, проживающих на селе в малое и среднее предпринимательство через реализацию дополнительных мероприятий по грантовой поддержке крестьянских (фермерских) хозяйств и субсидированию личных подсобных хозяйств;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развитие сельскохозяйственных потребительских кооперативов путем предоставления субсидий и грантов сельскохозяйственным потребительским кооперативам, а также путем государственной поддержки личных подсобных хозяйств через субсидирование;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консультационная и методологическая поддержка субъектам малого и среднего предпринимательства Чувашской Республики, оказываемая центром компетенций в сфере сельскохозяйственной кооперации и поддержки фермеров.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14"/>
        <w:ind w:firstLine="709"/>
        <w:jc w:val="both"/>
        <w:spacing w:after="240" w:line="360" w:lineRule="auto"/>
        <w:rPr>
          <w:rFonts w:ascii="Times New Roman" w:hAnsi="Times New Roman"/>
          <w:b w:val="0"/>
          <w:bCs/>
          <w:sz w:val="28"/>
        </w:rPr>
        <w:outlineLvl w:val="2"/>
      </w:pPr>
      <w:r/>
      <w:bookmarkStart w:id="41" w:name="_Toc176798832"/>
      <w:r>
        <w:rPr>
          <w:rFonts w:ascii="Times New Roman" w:hAnsi="Times New Roman"/>
          <w:b w:val="0"/>
          <w:bCs/>
          <w:sz w:val="28"/>
        </w:rPr>
        <w:t xml:space="preserve">6. Увеличение объемов межрегиональной торговли и экспорта </w:t>
      </w:r>
      <w:r>
        <w:rPr>
          <w:rFonts w:ascii="Times New Roman" w:hAnsi="Times New Roman"/>
          <w:b w:val="0"/>
          <w:bCs/>
          <w:sz w:val="28"/>
        </w:rPr>
        <w:t xml:space="preserve">продукции АПК</w:t>
      </w:r>
      <w:bookmarkEnd w:id="41"/>
      <w:r>
        <w:rPr>
          <w:rFonts w:ascii="Times New Roman" w:hAnsi="Times New Roman"/>
          <w:b w:val="0"/>
          <w:bCs/>
          <w:sz w:val="28"/>
        </w:rPr>
      </w:r>
      <w:r>
        <w:rPr>
          <w:rFonts w:ascii="Times New Roman" w:hAnsi="Times New Roman"/>
          <w:b w:val="0"/>
          <w:bCs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Достижению стратегических задач региона в части увеличения объемов межрегиональной торговли и экспорта продукции АПК в перспективном периоде будет способствовать реализация следующих направлений: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оказание информационно–консультационного сопровождения субъектам агропромышленного комплекса Чувашской Республики в продвижении продукции местного производства на межрегиональном и внешнем рынках;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широкое вовлечение субъектов агропромышленного комплекса Чувашской Республики, в том числе представителей МСП, в межрегиональную торговлю и экспортную деятельность;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диверсификация межрегиональной торговли и экспорта за счет расширения ассортимента продукции и географии поставок;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развитие и модернизация транспортной инфраструктуры, в том числе в рамках реализации проекта по созданию торгово–логистической инфраструктуры в странах Ближнего Востока и Индии.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14"/>
        <w:ind w:firstLine="709"/>
        <w:jc w:val="both"/>
        <w:spacing w:after="240" w:line="360" w:lineRule="auto"/>
        <w:rPr>
          <w:rFonts w:ascii="Times New Roman" w:hAnsi="Times New Roman"/>
          <w:b w:val="0"/>
          <w:bCs/>
          <w:sz w:val="28"/>
        </w:rPr>
        <w:outlineLvl w:val="2"/>
      </w:pPr>
      <w:r/>
      <w:bookmarkStart w:id="42" w:name="__RefHeading___27"/>
      <w:r/>
      <w:bookmarkStart w:id="43" w:name="_Toc176798833"/>
      <w:r/>
      <w:bookmarkEnd w:id="42"/>
      <w:r>
        <w:rPr>
          <w:rFonts w:ascii="Times New Roman" w:hAnsi="Times New Roman"/>
          <w:b w:val="0"/>
          <w:bCs/>
          <w:sz w:val="28"/>
        </w:rPr>
        <w:t xml:space="preserve">7. Кадровое обеспечение</w:t>
      </w:r>
      <w:bookmarkEnd w:id="43"/>
      <w:r>
        <w:rPr>
          <w:rFonts w:ascii="Times New Roman" w:hAnsi="Times New Roman"/>
          <w:b w:val="0"/>
          <w:bCs/>
          <w:sz w:val="28"/>
        </w:rPr>
      </w:r>
      <w:r>
        <w:rPr>
          <w:rFonts w:ascii="Times New Roman" w:hAnsi="Times New Roman"/>
          <w:b w:val="0"/>
          <w:bCs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Достижению стратегических задач региона в части кадровой обеспеченности агропромышленного комплекса в перспективном периоде будет способствовать реализация следующих направлений: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оказание содействия в подготовке и переподготовке кадров и повышении квалификации работников агропромышленного комплекса со средним профессиональным образованием;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продолжение реализации комплексного подхода по развитию непрерывной системы аграрного образования «детский сад – школа – сельскохозяйственный техникум – аграрный вуз»;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создание ведущей аграрной профессиональной организации регионального уровня, реализующей интегрированные программы различного уровня;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содействие в организации эффективного сетевого взаимодействия в системе профессионального образования между работодателями АПК региона и учреждениями агарного образования;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240" w:line="36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развитие сельских территорий с целью создания комфортных условия проживания для привлечения молодых специалистов.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color w:val="ff0000" w:themeColor="text1"/>
          <w:sz w:val="30"/>
          <w:szCs w:val="30"/>
          <w14:ligatures w14:val="none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Планируется участие в реализации Федерального проекта Минобрнауки России «Создание инновационной образовательной среды (кампусов)» по направлениям импортозамещения в агропромышленном комплексе. </w:t>
      </w: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color w:val="ff0000" w:themeColor="text1"/>
          <w:sz w:val="30"/>
          <w:szCs w:val="30"/>
          <w14:ligatures w14:val="none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Это является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стратегическим проектом национального уровня, направленным на развитие образовательной инфраструктуры и подготовку высококвалифицированных специалистов для агропромышленного комплекса на перспективу.</w:t>
      </w: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pStyle w:val="1014"/>
        <w:ind w:firstLine="709"/>
        <w:jc w:val="both"/>
        <w:spacing w:after="240" w:line="360" w:lineRule="auto"/>
        <w:rPr>
          <w:rFonts w:ascii="Times New Roman" w:hAnsi="Times New Roman"/>
          <w:b w:val="0"/>
          <w:bCs w:val="0"/>
          <w:sz w:val="28"/>
          <w:szCs w:val="28"/>
        </w:rPr>
        <w:outlineLvl w:val="2"/>
      </w:pPr>
      <w:r>
        <w:rPr>
          <w:rFonts w:ascii="Times New Roman" w:hAnsi="Times New Roman"/>
          <w:b w:val="0"/>
          <w:bCs/>
          <w:sz w:val="28"/>
          <w:highlight w:val="none"/>
        </w:rPr>
      </w:r>
      <w:r>
        <w:rPr>
          <w:rFonts w:ascii="Times New Roman" w:hAnsi="Times New Roman"/>
          <w:b w:val="0"/>
          <w:bCs/>
          <w:sz w:val="28"/>
          <w:highlight w:val="none"/>
        </w:rPr>
      </w:r>
    </w:p>
    <w:p>
      <w:pPr>
        <w:pStyle w:val="1014"/>
        <w:ind w:firstLine="709"/>
        <w:jc w:val="both"/>
        <w:spacing w:after="240" w:line="36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  <w:outlineLvl w:val="2"/>
      </w:pPr>
      <w:r/>
      <w:bookmarkStart w:id="44" w:name="_Toc176798834"/>
      <w:r>
        <w:rPr>
          <w:rFonts w:ascii="Times New Roman" w:hAnsi="Times New Roman"/>
          <w:b w:val="0"/>
          <w:bCs/>
          <w:sz w:val="28"/>
        </w:rPr>
        <w:t xml:space="preserve">8. Цифровизация АПК</w:t>
      </w:r>
      <w:bookmarkEnd w:id="44"/>
      <w:r>
        <w:rPr>
          <w:rFonts w:ascii="Times New Roman" w:hAnsi="Times New Roman"/>
          <w:b w:val="0"/>
          <w:bCs/>
          <w:sz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Достижению стратегических задач региона в сфере цифровизации агропромышленного комплекса в перспективном периоде будет способствовать реализация следующих направлений: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поддержка сельскохозяйственных товаропроизводителей, внедряющих высокие технологии и роботизацию процессов производства;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оказание содействия субъектам АПК в переходе к Agriculture 4.0, посредством внедрения инновационных технологий, включая датчики, массивы данных и способы их обработки с использованием элементов искусственного интеллекта, машинное обучение</w:t>
      </w:r>
      <w:r>
        <w:rPr>
          <w:rFonts w:ascii="Roboto" w:hAnsi="Roboto"/>
          <w:color w:val="000000"/>
          <w:sz w:val="26"/>
          <w:szCs w:val="26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 также средства механизации и автоматизации производства, и пр., что позволит повысить урожайность, сэкономить время для принятия эффективного решения на основе объективных данных и обеспечить решение задач по продовольственной безопасности;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организация системы подготовки профильных ИТ-специалистов для работы в агропромышленном комплексе региона;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оказание содействия в обучении руководителей и специалистов в сфере АПК, непосредственно связанных с внедрением в практическую деятельность предприятий цифровых технологий, и повышении квалификации на постоянной основе.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14"/>
        <w:ind w:firstLine="709"/>
        <w:jc w:val="both"/>
        <w:spacing w:after="240" w:line="360" w:lineRule="auto"/>
        <w:rPr>
          <w:rFonts w:ascii="Times New Roman" w:hAnsi="Times New Roman"/>
          <w:b w:val="0"/>
          <w:bCs/>
          <w:sz w:val="28"/>
        </w:rPr>
        <w:outlineLvl w:val="2"/>
      </w:pPr>
      <w:r/>
      <w:bookmarkStart w:id="45" w:name="_Toc176798835"/>
      <w:r>
        <w:rPr>
          <w:rFonts w:ascii="Times New Roman" w:hAnsi="Times New Roman"/>
          <w:b w:val="0"/>
          <w:bCs/>
          <w:sz w:val="28"/>
        </w:rPr>
        <w:t xml:space="preserve">9. Техническое и технологическое перевооружение</w:t>
      </w:r>
      <w:bookmarkEnd w:id="45"/>
      <w:r>
        <w:rPr>
          <w:rFonts w:ascii="Times New Roman" w:hAnsi="Times New Roman"/>
          <w:b w:val="0"/>
          <w:bCs/>
          <w:sz w:val="28"/>
        </w:rPr>
      </w:r>
      <w:r>
        <w:rPr>
          <w:rFonts w:ascii="Times New Roman" w:hAnsi="Times New Roman"/>
          <w:b w:val="0"/>
          <w:bCs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Достижению стратегических задач региона в сфере технического перевооружения агропромышленного комплекса в перспективном периоде будет способствовать реализация следующих направлений: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реализация мероприятий по обновлению парка сельскохозяйственной техники;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приобретение энергонасыщенной сельскохозяйственной техники;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субсидирование части затрат сельскохозяйственных товаропроизводителей на приобретение сельскохозяйственной техники, технологий и техники для глубокой переработки продукции;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разработка системы грантовой поддержки проектов научных коллективов по реализации проектов в АПК.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14"/>
        <w:ind w:firstLine="709"/>
        <w:jc w:val="both"/>
        <w:spacing w:after="240" w:line="360" w:lineRule="auto"/>
        <w:rPr>
          <w:rFonts w:ascii="Times New Roman" w:hAnsi="Times New Roman"/>
          <w:b w:val="0"/>
          <w:bCs/>
          <w:sz w:val="28"/>
        </w:rPr>
        <w:outlineLvl w:val="2"/>
      </w:pPr>
      <w:r/>
      <w:bookmarkStart w:id="46" w:name="_Toc176798836"/>
      <w:r>
        <w:rPr>
          <w:rFonts w:ascii="Times New Roman" w:hAnsi="Times New Roman"/>
          <w:b w:val="0"/>
          <w:bCs/>
          <w:sz w:val="28"/>
        </w:rPr>
        <w:t xml:space="preserve">10. Отраслевые финансы</w:t>
      </w:r>
      <w:bookmarkEnd w:id="46"/>
      <w:r>
        <w:rPr>
          <w:rFonts w:ascii="Times New Roman" w:hAnsi="Times New Roman"/>
          <w:b w:val="0"/>
          <w:bCs/>
          <w:sz w:val="28"/>
        </w:rPr>
      </w:r>
      <w:r>
        <w:rPr>
          <w:rFonts w:ascii="Times New Roman" w:hAnsi="Times New Roman"/>
          <w:b w:val="0"/>
          <w:bCs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/>
      <w:bookmarkStart w:id="47" w:name="__RefHeading___29"/>
      <w:r/>
      <w:bookmarkEnd w:id="47"/>
      <w:r>
        <w:rPr>
          <w:rFonts w:ascii="Times New Roman" w:hAnsi="Times New Roman" w:cs="Times New Roman"/>
          <w:sz w:val="28"/>
          <w:szCs w:val="28"/>
        </w:rPr>
        <w:t xml:space="preserve">Достижению стратегических задач региона по повышению финансовой устойчивости и инвестиционной привлекательности агропромышленного комплекса будет способствовать реализация следующих направлений: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повышение уровня рентабельности в агропромышленном комплексе;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реализация механизма льготного краткосрочного и инвестиционного кредитования хозяйствующих субъектов агропромышленного комплекса;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контроль и поддержка инвестиционных проектов в агропромышленном комплексе на каждом из этапов жизненного цикла реализации проекта;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поддержка реализации приоритетных инвестиционных проектов АПК, в том числе направленных на внедрение новых технологий и инновационных решений; внедрение, модернизацию и расширение мощностей по глубокой переработке сельскохозяйственного сырья;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расширение практики использования различных инструментов финансирования инвестиционной деятельности в агропромышленном комплексе на основе ГЧП;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информационная и консультационная поддержка инвестиционных проектов на всех стадиях реализации.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14"/>
        <w:ind w:firstLine="709"/>
        <w:jc w:val="both"/>
        <w:spacing w:after="240" w:line="360" w:lineRule="auto"/>
        <w:rPr>
          <w:rFonts w:ascii="Times New Roman" w:hAnsi="Times New Roman"/>
          <w:b w:val="0"/>
          <w:bCs/>
          <w:sz w:val="28"/>
        </w:rPr>
        <w:outlineLvl w:val="2"/>
      </w:pPr>
      <w:r/>
      <w:bookmarkStart w:id="48" w:name="_Toc176798837"/>
      <w:r>
        <w:rPr>
          <w:rFonts w:ascii="Times New Roman" w:hAnsi="Times New Roman"/>
          <w:b w:val="0"/>
          <w:bCs/>
          <w:sz w:val="28"/>
        </w:rPr>
        <w:t xml:space="preserve">11. Внедрение принципов устойчивого развития, ESG (экология, социальное развитие и управление)</w:t>
      </w:r>
      <w:bookmarkEnd w:id="48"/>
      <w:r>
        <w:rPr>
          <w:rFonts w:ascii="Times New Roman" w:hAnsi="Times New Roman"/>
          <w:b w:val="0"/>
          <w:bCs/>
          <w:sz w:val="28"/>
        </w:rPr>
      </w:r>
      <w:r>
        <w:rPr>
          <w:rFonts w:ascii="Times New Roman" w:hAnsi="Times New Roman"/>
          <w:b w:val="0"/>
          <w:bCs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Достижению стратегических задач региона в сфере устойчивого развития,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ESG</w:t>
      </w:r>
      <w:r>
        <w:rPr>
          <w:rFonts w:ascii="Times New Roman" w:hAnsi="Times New Roman" w:cs="Times New Roman"/>
          <w:sz w:val="28"/>
          <w:szCs w:val="28"/>
        </w:rPr>
        <w:t xml:space="preserve">-повестки агропромышленного комплекса в перспективном периоде будет способствовать реализация следующих направлений: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части охраны окружающей среды: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переход на принципы наилучших доступных технологий (НДТ) при производстве сельскохозяйственной продукции (справочники НДТ № 41–45);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внедрение наилучших практик переработки отходов животноводства с учетом требований Федерального закона от 14 июля 2022 г. № 248–ФЗ «О побочных продуктах животноводства и о внесении изменений в отдельные законодательные акты Российской Федерации»;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внедрение наилучших практик переработки отходов растениеводства;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внедрение наилучших практик снижения загрязнения почв, воды и воздуха при ведении растениеводства в результате применения удобрений и пестицидов;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внедрение практики формирования публичной нефинансовой отчетности (ESG–отчетности) для крупных компаний отрасли</w:t>
      </w:r>
      <w:r>
        <w:rPr>
          <w:rFonts w:ascii="Times New Roman" w:hAnsi="Times New Roman" w:cs="Times New Roman"/>
          <w:sz w:val="28"/>
          <w:szCs w:val="28"/>
        </w:rPr>
        <w:t xml:space="preserve"> АПК в регионе с учетом ориентиров, предусмотренных в Распоряжении Правительства РФ от 05.05.2017 №876–р «О Концепции развития публичной нефинансовой отчетности и плане мероприятий по ее реализации», а также подготовки соответствующего федерального закона;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систематизация учета выбросов, сбросов, отходов на предприятиях сельского хозяйства в целях исчисления и взимания платы за негативное воздействие на окружающую среду (НВОС);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систематизация учета выбросов парниковых газов (СО2) на предприятиях сельского хозяйства с учетом требований Федерального закона от 2 июля 2021 г. № 296–ФЗ «Об ограничении выбросов парниковых газов»;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части социальной ответственности: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развитие навыков и компетенций работников сельского хозяйства;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предоставление достойной оплаты труда работникам сельского хозяйства;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улучшению условий и охраны труда работникам сельского хозяйства;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обеспечение добровольным медицинским страхованием работников сельского хозяйства;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части управления агропромышленным комплексом: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MADE Evolve Sans" w:hAnsi="MADE Evolve Sans"/>
          <w:color w:val="24262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внедрение механизмов управления рисками, в т.ч. за счет повышения компетенций, страхования, внедрения современных технологий;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MADE Evolve Sans" w:hAnsi="MADE Evolve Sans"/>
          <w:color w:val="24262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внедрение механизмов корпоративного управления;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MADE Evolve Sans" w:hAnsi="MADE Evolve Sans"/>
          <w:color w:val="24262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противодействие коррупции;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развитие финансовой грамотности, финансовой и налоговой культуры в органах управления агропромышленным комплексом.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line="240" w:lineRule="auto"/>
      </w:pPr>
      <w:r>
        <w:br w:type="page" w:clear="all"/>
      </w:r>
      <w:r/>
    </w:p>
    <w:p>
      <w:pPr>
        <w:pStyle w:val="1014"/>
        <w:ind w:firstLine="709"/>
        <w:jc w:val="both"/>
        <w:pageBreakBefore/>
        <w:spacing w:before="240" w:after="240" w:line="360" w:lineRule="auto"/>
        <w:rPr>
          <w:rFonts w:ascii="Times New Roman Полужирный" w:hAnsi="Times New Roman Полужирный"/>
          <w:caps/>
          <w:sz w:val="28"/>
        </w:rPr>
        <w:outlineLvl w:val="1"/>
      </w:pPr>
      <w:r/>
      <w:bookmarkStart w:id="49" w:name="_Toc176798838"/>
      <w:r>
        <w:rPr>
          <w:rFonts w:ascii="Times New Roman" w:hAnsi="Times New Roman"/>
          <w:sz w:val="28"/>
        </w:rPr>
        <w:t xml:space="preserve">VII. </w:t>
      </w:r>
      <w:r>
        <w:rPr>
          <w:rFonts w:ascii="Times New Roman Полужирный" w:hAnsi="Times New Roman Полужирный"/>
          <w:caps/>
          <w:sz w:val="28"/>
        </w:rPr>
        <w:t xml:space="preserve">целевые показатели развития АПК Чувашской Республики до 2030 года</w:t>
      </w:r>
      <w:bookmarkEnd w:id="49"/>
      <w:r>
        <w:rPr>
          <w:rFonts w:ascii="Times New Roman Полужирный" w:hAnsi="Times New Roman Полужирный"/>
          <w:caps/>
          <w:sz w:val="28"/>
        </w:rPr>
      </w:r>
      <w:r>
        <w:rPr>
          <w:rFonts w:ascii="Times New Roman Полужирный" w:hAnsi="Times New Roman Полужирный"/>
          <w:caps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разработке целевых показателей АПК Чувашской Республики до 2030 года были рассчитаны три сценария развития агропромышленного комплекса региона: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базовый сценарий – при расчете базового сценария был применен фиксированный коэффициент развития отрасл</w:t>
      </w:r>
      <w:r>
        <w:rPr>
          <w:rFonts w:ascii="Times New Roman" w:hAnsi="Times New Roman" w:cs="Times New Roman"/>
          <w:sz w:val="28"/>
          <w:szCs w:val="28"/>
        </w:rPr>
        <w:t xml:space="preserve">и для достижения целевых показателей при условии сохранения сложившихся темпов развития агропромышленного комплекса Чувашской республики за период 2018–2023 гг. Целевые показатели были спрогнозированы при помощи CAGR с экстраполяцией значений до 2030 года;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пессимистический сценарий – при расчете пессимистического сценария был применен поправочный коэффициент замедления темпов развития агропромышленного комплекса Чувашской республики за период 2018–2023 гг. с экстраполяцией значений до 2030 года;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оптимис</w:t>
      </w:r>
      <w:r>
        <w:rPr>
          <w:rFonts w:ascii="Times New Roman" w:hAnsi="Times New Roman" w:cs="Times New Roman"/>
          <w:sz w:val="28"/>
          <w:szCs w:val="28"/>
        </w:rPr>
        <w:t xml:space="preserve">тический сценарий (ускоренное развитие) – при расчете оптимистического сценария был применен поправочный коэффициент увеличения темпов развития агропромышленного комплекса Чувашской Республики за период 2018–2023 гг. с экстраполяцией значений до 2030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Целевые показатели стратегии развития АПК в Чувашской Республике до 2030 года базового, пессимистического и оптимистического сценариев приведены в Приложении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при разработке целевых </w:t>
      </w:r>
      <w:r>
        <w:rPr>
          <w:rFonts w:ascii="Times New Roman" w:hAnsi="Times New Roman" w:cs="Times New Roman"/>
          <w:sz w:val="28"/>
          <w:szCs w:val="28"/>
        </w:rPr>
        <w:t xml:space="preserve">показателей АПК Чувашской Республики до 2030 года были учтены макроэкономические индикаторы среднесрочного прогноза социально-экономического развития Российской Федерации на 2025–2027 годы, основанные на сценарных условиях Минэкономразвития РФ (Приложение 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14"/>
        <w:ind w:firstLine="709"/>
        <w:jc w:val="both"/>
        <w:pageBreakBefore/>
        <w:spacing w:before="240" w:after="240"/>
        <w:rPr>
          <w:rFonts w:ascii="Times New Roman Полужирный" w:hAnsi="Times New Roman Полужирный"/>
          <w:caps/>
          <w:sz w:val="28"/>
        </w:rPr>
        <w:outlineLvl w:val="1"/>
      </w:pPr>
      <w:r/>
      <w:bookmarkStart w:id="50" w:name="__RefHeading___32"/>
      <w:r/>
      <w:bookmarkStart w:id="51" w:name="__RefHeading___33"/>
      <w:r/>
      <w:bookmarkStart w:id="52" w:name="_Toc176798839"/>
      <w:r/>
      <w:bookmarkEnd w:id="50"/>
      <w:r/>
      <w:bookmarkEnd w:id="51"/>
      <w:r>
        <w:rPr>
          <w:rFonts w:ascii="Times New Roman Полужирный" w:hAnsi="Times New Roman Полужирный"/>
          <w:caps/>
          <w:sz w:val="28"/>
        </w:rPr>
        <w:t xml:space="preserve">VIII. Механизмы реализации Стратегии</w:t>
      </w:r>
      <w:bookmarkEnd w:id="52"/>
      <w:r>
        <w:rPr>
          <w:rFonts w:ascii="Times New Roman Полужирный" w:hAnsi="Times New Roman Полужирный"/>
          <w:caps/>
          <w:sz w:val="28"/>
        </w:rPr>
      </w:r>
      <w:r>
        <w:rPr>
          <w:rFonts w:ascii="Times New Roman Полужирный" w:hAnsi="Times New Roman Полужирный"/>
          <w:caps/>
          <w:sz w:val="28"/>
        </w:rPr>
      </w:r>
    </w:p>
    <w:p>
      <w:pPr>
        <w:pStyle w:val="1014"/>
        <w:ind w:firstLine="709"/>
        <w:spacing w:after="240"/>
        <w:rPr>
          <w:rFonts w:ascii="Times New Roman" w:hAnsi="Times New Roman"/>
          <w:b w:val="0"/>
          <w:bCs/>
          <w:sz w:val="28"/>
        </w:rPr>
        <w:outlineLvl w:val="2"/>
      </w:pPr>
      <w:r/>
      <w:bookmarkStart w:id="53" w:name="__RefHeading___34"/>
      <w:r/>
      <w:bookmarkStart w:id="54" w:name="_Toc176798840"/>
      <w:r/>
      <w:bookmarkEnd w:id="53"/>
      <w:r>
        <w:rPr>
          <w:rFonts w:ascii="Times New Roman" w:hAnsi="Times New Roman"/>
          <w:b w:val="0"/>
          <w:bCs/>
          <w:sz w:val="28"/>
        </w:rPr>
        <w:t xml:space="preserve">1. Сроки и этапы реализации</w:t>
      </w:r>
      <w:bookmarkEnd w:id="54"/>
      <w:r>
        <w:rPr>
          <w:rFonts w:ascii="Times New Roman" w:hAnsi="Times New Roman"/>
          <w:b w:val="0"/>
          <w:bCs/>
          <w:sz w:val="28"/>
        </w:rPr>
      </w:r>
      <w:r>
        <w:rPr>
          <w:rFonts w:ascii="Times New Roman" w:hAnsi="Times New Roman"/>
          <w:b w:val="0"/>
          <w:bCs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Достижение целей и задач, предусмотренных Стратегией развития АПК Чувашской Республики предполагается осуществлять в один этап в период 2025–2030 гг.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указанный период будет реализовываться разработанный комплекс мероприятий, направленный на устранение проблем, сдерживающих развитие аг</w:t>
      </w:r>
      <w:r>
        <w:rPr>
          <w:rFonts w:ascii="Times New Roman" w:hAnsi="Times New Roman" w:cs="Times New Roman"/>
          <w:sz w:val="28"/>
          <w:szCs w:val="28"/>
        </w:rPr>
        <w:t xml:space="preserve">ропромышленного комплекса республики, что позволит обеспечить устойчивое развитие АПК региона на основе наращивания ресурсного потенциала и использования конкурентных преимуществ Чувашской Республики, а также реализации инвестиционных проектов в сфере АПК.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Приложении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представлен план реализации мероприятий Стратегии.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14"/>
        <w:ind w:firstLine="709"/>
        <w:spacing w:before="240" w:after="240"/>
        <w:rPr>
          <w:rFonts w:ascii="Times New Roman" w:hAnsi="Times New Roman"/>
          <w:b w:val="0"/>
          <w:bCs/>
          <w:sz w:val="28"/>
        </w:rPr>
        <w:outlineLvl w:val="2"/>
      </w:pPr>
      <w:r/>
      <w:bookmarkStart w:id="55" w:name="__RefHeading___35"/>
      <w:r/>
      <w:bookmarkStart w:id="56" w:name="_Toc176798841"/>
      <w:r/>
      <w:bookmarkEnd w:id="55"/>
      <w:r>
        <w:rPr>
          <w:rFonts w:ascii="Times New Roman" w:hAnsi="Times New Roman"/>
          <w:b w:val="0"/>
          <w:bCs/>
          <w:sz w:val="28"/>
        </w:rPr>
        <w:t xml:space="preserve">2. Оценка необходимых финансовых ресурсов</w:t>
      </w:r>
      <w:bookmarkEnd w:id="56"/>
      <w:r>
        <w:rPr>
          <w:rFonts w:ascii="Times New Roman" w:hAnsi="Times New Roman"/>
          <w:b w:val="0"/>
          <w:bCs/>
          <w:sz w:val="28"/>
        </w:rPr>
      </w:r>
      <w:r>
        <w:rPr>
          <w:rFonts w:ascii="Times New Roman" w:hAnsi="Times New Roman"/>
          <w:b w:val="0"/>
          <w:bCs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Финансирование р</w:t>
      </w:r>
      <w:r>
        <w:rPr>
          <w:rFonts w:ascii="Times New Roman" w:hAnsi="Times New Roman" w:cs="Times New Roman"/>
          <w:sz w:val="28"/>
          <w:szCs w:val="28"/>
        </w:rPr>
        <w:t xml:space="preserve">еализации Стратегии будет осуществляться за счет средств федерального бюджета, республиканского бюджета Чувашской Республики и местных бюджетов, а также внебюджетных источников с учетом возможностей бюджетной системы и государственных внебюджетных фондов.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Стратегии будет способствовать привлечению инвестиций в агропромышленный комплекс республики, в том числе в рамках реализации инвестиционных проектов по строительству, модернизации и обновлению производства.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инвестиционных проектов в сфере АПК, планируемых к реализации в период 2025–2030 гг. в Чувашской Республике, приведен в Приложении 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определении объема финансового обеспечения Стратегии предусматривается выполнение следующих условий: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для базового сценария – сохранение действующего уровня финансовой поддержки агропромышленного комплекса;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для пессимистического сценария – снижение действующего уровня финансовой поддержки агропромышленного комплекса с коэффициентом не более 0,8;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для оптимистического сценария – увеличение действующего уровня финансовой поддержки агропромышленного комплекса с коэффициентом не менее 1,2.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изложенное, минимальный объем финансового обеспечения с учетом индекса дефлятора (без учета привлечения внебюджетных инвестиций) составит: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для базового сценария – не менее 50,50 млрд руб.;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для пессимистического сценария – не менее 40,40 млрд руб.;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для оптимистического сценария – не менее 60,60 млрд руб.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Конкретизация финансовых ресурсов по направлениям реализации Стратегии будет осуществляться в рамках государственных программ Чувашской Республики.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Инструментами финансового обеспечения Стратегии выступают следующие государственные программы Чувашской Республики: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/>
      <w:bookmarkStart w:id="57" w:name="__RefHeading___36"/>
      <w:r/>
      <w:bookmarkEnd w:id="57"/>
      <w:r>
        <w:rPr>
          <w:rFonts w:ascii="Times New Roman" w:hAnsi="Times New Roman" w:cs="Times New Roman"/>
          <w:sz w:val="28"/>
          <w:szCs w:val="28"/>
        </w:rPr>
        <w:t xml:space="preserve">– Государственная программа Чувашской Республики «Комплексное развитие сельских территорий Чувашской Республики»;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Государственная программа Чувашской Республики «Развитие сельского хозяйства и регулирование рынка сельскохозяйственной продукции, сырья и продовольствия Чувашской Республики»;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Государственная программа Чувашской Республики «Экономическое развитие Чувашской Республики»;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Государственная программа Чувашской Республики «Развитие потенциала природно-сырьевых ресурсов и обеспечение экологической безопасности»;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Инвестиционная декларация Чувашской Республики.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14"/>
        <w:ind w:firstLine="709"/>
        <w:jc w:val="both"/>
        <w:spacing w:before="240" w:after="240"/>
        <w:rPr>
          <w:rFonts w:ascii="Times New Roman" w:hAnsi="Times New Roman"/>
          <w:b w:val="0"/>
          <w:bCs/>
          <w:sz w:val="28"/>
        </w:rPr>
        <w:outlineLvl w:val="2"/>
      </w:pPr>
      <w:r/>
      <w:bookmarkStart w:id="58" w:name="_Toc176798842"/>
      <w:r>
        <w:rPr>
          <w:rFonts w:ascii="Times New Roman" w:hAnsi="Times New Roman"/>
          <w:b w:val="0"/>
          <w:bCs/>
          <w:sz w:val="28"/>
        </w:rPr>
        <w:t xml:space="preserve">3. Мониторинг и контроль реализации</w:t>
      </w:r>
      <w:bookmarkEnd w:id="58"/>
      <w:r>
        <w:rPr>
          <w:rFonts w:ascii="Times New Roman" w:hAnsi="Times New Roman"/>
          <w:b w:val="0"/>
          <w:bCs/>
          <w:sz w:val="28"/>
        </w:rPr>
      </w:r>
      <w:r>
        <w:rPr>
          <w:rFonts w:ascii="Times New Roman" w:hAnsi="Times New Roman"/>
          <w:b w:val="0"/>
          <w:bCs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реализацией Стратегии осуществляет Министерство сельского хозяйства Чувашской Республики, ключевые полномочия которого включают: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определение механизмов и порядка осуществления мероприятий по реализации Стратегии;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определение и согласование объемов финансирования реализации Стратегии на очередной финансовый год, трехлетний бюджетный период и весь период реализации Стратегии;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координацию исполнения мероприятий по реализации Стратегии;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мониторинг реализации Стратегии;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подготовку ежегодного доклада о ходе реализации Стратегии и корректировок реализации (актуализацию), в случае необходимости.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Корректировка Стратегии осуществляе</w:t>
      </w:r>
      <w:r>
        <w:rPr>
          <w:rFonts w:ascii="Times New Roman" w:hAnsi="Times New Roman" w:cs="Times New Roman"/>
          <w:sz w:val="28"/>
          <w:szCs w:val="28"/>
        </w:rPr>
        <w:t xml:space="preserve">тся по мере необходимости и обеспечивается в зависимости от изменения факторов, оказывающих влияние на реализацию мероприятий Стратегии, достижения поставленных целей и задач развития агропромышленного комплекса Чувашской Республики на период до 2030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Мониторинг реализации Стратегии осуществляется Министерством сельского хозяйства Чувашской Республики на основан</w:t>
      </w:r>
      <w:r>
        <w:rPr>
          <w:rFonts w:ascii="Times New Roman" w:hAnsi="Times New Roman" w:cs="Times New Roman"/>
          <w:sz w:val="28"/>
          <w:szCs w:val="28"/>
        </w:rPr>
        <w:t xml:space="preserve">ии Плана мероприятий, утвержденного Минсельхозом Чувашии на очередной финансовый год, и целевых показателей развития агропромышленного комплекса Чувашской Республики совместно с региональными органами исполнительной власти в соответствии с их компетенцией.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Ежегодный доклад о ходе реализации Стратегии представляется в установ</w:t>
      </w:r>
      <w:r>
        <w:rPr>
          <w:rFonts w:ascii="Times New Roman" w:hAnsi="Times New Roman" w:cs="Times New Roman"/>
          <w:sz w:val="28"/>
          <w:szCs w:val="28"/>
        </w:rPr>
        <w:t xml:space="preserve">ленном порядке Министерством сельского хозяйства Чувашской Республики до 1 мая года, следующего за отчетным, в Кабинет Министров Чувашской Республики, а также подлежит обсуждению на заседаниях Коллегии Министерства сельского хозяйства Чувашской Республики.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Информирование общественности о ходе реализации Стратегии осуществляется путем размещения доклада на сайте Министерством </w:t>
      </w:r>
      <w:r>
        <w:rPr>
          <w:rFonts w:ascii="Times New Roman" w:hAnsi="Times New Roman" w:cs="Times New Roman"/>
          <w:sz w:val="28"/>
          <w:szCs w:val="28"/>
        </w:rPr>
        <w:t xml:space="preserve">сельского хозяйства Чувашской Республики в информационно–телекоммуникационной сети «Интернет» с возможностью получения обратной связи от пользователей сайта.</w:t>
      </w:r>
      <w:r>
        <w:br w:type="page" w:clear="all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jc w:val="both"/>
        <w:pageBreakBefore/>
        <w:spacing w:after="120" w:line="360" w:lineRule="auto"/>
        <w:rPr>
          <w:sz w:val="28"/>
        </w:rPr>
      </w:pPr>
      <w:r/>
      <w:bookmarkStart w:id="59" w:name="_Toc167558149"/>
      <w:r/>
      <w:bookmarkStart w:id="60" w:name="_Toc176798843"/>
      <w:r>
        <w:rPr>
          <w:caps/>
          <w:sz w:val="28"/>
        </w:rPr>
        <w:t xml:space="preserve">ПРИЛОЖЕНИЕ 1. </w:t>
      </w:r>
      <w:r>
        <w:rPr>
          <w:rFonts w:eastAsia="Arial Unicode MS"/>
          <w:sz w:val="28"/>
          <w:szCs w:val="28"/>
        </w:rPr>
        <w:t xml:space="preserve">Перечень нормативных правовых актов, создающих основу для разработки стратегии развития агропромышленного комплекса Чувашской Республики</w:t>
      </w:r>
      <w:bookmarkEnd w:id="59"/>
      <w:r/>
      <w:bookmarkEnd w:id="60"/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1. Долгосрочное и перспективное стратегическое планирование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1.1. Федеральное законодательство: 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– Стратегия развития агропромышленного и рыбохозяйственного комплексов Российской Федерации на период до 2030 года (утв. распоряжением Правительства Российской Федерации от 8 сентября 2022 г. № 2567–р);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– Стратегическое направление в области цифровой трансформации отраслей агропромышленного и рыбохозяйственного комплексов Российской Федерации на период до 2030 года (утв. распоряжением Правительства Российской Федерации от 23 ноября 2023 г. № 3309–р);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– Стратегия развития производства органической продукции в Российской Федерации до 2030 года (утв. распоряжением Правительства Российской Федерации от 4 июля 2023 г. № 1788–р);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– Стратегия устойчивого развития сельских территорий Российской Федерации на период до 2030 года (утв. распоряжением Правительства Российской Федерации от 2 февраля 2015 г. № 151–р);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– Долгосрочная стратегия развития зернового комплекса Российской Федерации до 2035 года (утв. распоряжением Правительства Российской Федерации от 10 августа 2019 г. № 1796–р);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– Стратегия пространственного развития Российской Федерации на период до 2025 года (утв. распоряжением Правительства Российской Федерации от 13 февраля 2019 г. № 207–р).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1.2. Региональное законодательство: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– Стратегия социально–экономического развития Чувашской Республики до 2035 года (утв. Законом Чувашской Республики от 26 ноября 2020 г. № 102);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– План мероприятий по реализации Стратегии социально-экономического развития Чувашской Республики до 2035 года (утв. Распоряжением Кабинета Министров Чувашской Республики от 31 мая 2021 г. № 428–р);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– Стратегия приоритетного развития животноводства в Чувашской Республике до 2025 года (утв. распоряжением Кабинета Министров Чувашской Республики от 3 июля 2023 г. № 708–р);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– Стратегия в области цифровой трансформации отраслей экономики, социальной сферы и государственного управления в Чувашской Республике (утв. распоряжением Кабинета Министров Чувашской Республики от 20 августа 2021 г. № 739–р);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– План мероприятий в области цифровой трансформации агропромышленного комплекса Чувашской Республики на период 2023–2024 годов (утв. приказом Минсельхоза Чувашской Республики от 6 апреля 2023 г. № 87);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– Стратегия развития малого и среднего предпринимательства в Чувашской Республике на период до 2030 года (утв. постановлением Кабинета Министров Чувашской Республики от 14 октября 2016 г. № 425);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– Стратегия развития АПК Чувашской Республики на период 2020–2024 годов и план мероприятий по ее реализации (утв. Приказом Минсельхоза Чувашской Республики от 25 июня 2020 г.).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2. Обеспечение продовольственной безопасности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2.1. Федеральное законодательство: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– Доктрина продовольственной безопасности Российской Федерации (утв</w:t>
      </w:r>
      <w:r>
        <w:rPr>
          <w:rFonts w:ascii="Times New Roman" w:hAnsi="Times New Roman" w:eastAsia="Arial Unicode MS" w:cs="Times New Roman"/>
          <w:sz w:val="28"/>
          <w:szCs w:val="28"/>
        </w:rPr>
        <w:t xml:space="preserve">. Указом Президента Российской Федерации от 30 января 2010 г. № 120) и План мероприятий по реализации положений Доктрины продовольственной безопасности Российской Федерации (утв. Распоряжением Правительства Российской Федерации от 9 июня 2020 г. № 1516–р);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2.2. Региональное законодательство: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– Концепция устойчивого развития Чувашской Республики (утв. распоряжением Кабинета Министров Чувашской Республики от 13 марта 2023 г. № 231–р);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– Концепция развития оптовых продовольс</w:t>
      </w:r>
      <w:r>
        <w:rPr>
          <w:rFonts w:ascii="Times New Roman" w:hAnsi="Times New Roman" w:eastAsia="Arial Unicode MS" w:cs="Times New Roman"/>
          <w:sz w:val="28"/>
          <w:szCs w:val="28"/>
        </w:rPr>
        <w:t xml:space="preserve">твенных рынков на территории Чувашской Республики и План мероприятий («дорожная карта») по развитию оптовых продовольственных рынков на территории Чувашской Республики (утв. распоряжением Кабинета Министров Чувашской Республики от 15 июля 2022 г. № 672–р);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3. Реализация национальных и региональных проектов (мероприятий) и их финансовое обеспечение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3.1. Федеральное законодательство: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– Государственная программа развития сельского хозяйства и регулирования рынков сельскохозяйственной продукции, сырья и продовольствия (утв. Постановлением Правительства Российской Федерации от 14 июля 2012 г. № 717);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– Федеральная научно-техническая программа развития сельского хозяйства на 2017–2030 годы (утв. Постановлением Правительства Российской Федерации от 25 августа 2017 г. № 996);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– Государственная программа Российской Федерации «Комплексное развитие сельских территорий» (утв. Постановлением Правительства Российской Федерации от 31 мая 2019 г. № 696);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3.2. Региональное законодательство: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b/>
          <w:bCs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– Индивидуальная программа социально–экономического развития Чувашской Республики на 2020–2024 годы (утв. Распоряжением Правительства Российской Федерации от 03 апреля 2020 г. № 865–р);</w:t>
      </w:r>
      <w:r>
        <w:rPr>
          <w:rFonts w:ascii="Times New Roman" w:hAnsi="Times New Roman" w:eastAsia="Arial Unicode MS" w:cs="Times New Roman"/>
          <w:b/>
          <w:bCs/>
          <w:sz w:val="28"/>
          <w:szCs w:val="28"/>
        </w:rPr>
      </w:r>
      <w:r>
        <w:rPr>
          <w:rFonts w:ascii="Times New Roman" w:hAnsi="Times New Roman" w:eastAsia="Arial Unicode MS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– Государственная программа Чувашской Республики «Комплексное развитие сельских территорий Чувашской Республики» (утв. Постановлением Кабинета Министров Чувашской Республики от 26 декабря 2019 г. № 606);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– Государственная программа Чувашской Республики «Развитие сельского хозяйства и регулирование рынка сельскохозяйственной </w:t>
      </w:r>
      <w:r>
        <w:rPr>
          <w:rFonts w:ascii="Times New Roman" w:hAnsi="Times New Roman" w:eastAsia="Arial Unicode MS" w:cs="Times New Roman"/>
          <w:sz w:val="28"/>
          <w:szCs w:val="28"/>
        </w:rPr>
        <w:t xml:space="preserve">продукции, сырья и продовольствия Чувашской Республики» (утв. Постановлением Кабинета Министров Чувашской Республики от 26 октября 2018 г. № 433);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– Государственная программа Чувашской Республики «Экономическое развитие Чувашской Республики» (утв. Постановлением Кабинета Министров Чувашской Республики от 5 декабря 2018 г. № 4960);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– Государственная программа Чувашской Республики «Развитие потенциала природно-сырьевых ресурсов и обеспечение экологической безопасности» (утв. Постановлением Кабинета Министров Чувашской Республики от 18 декабря 2018 г. № 525);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ascii="Times New Roman" w:hAnsi="Times New Roman" w:eastAsia="Arial Unicode MS" w:cs="Times New Roman"/>
          <w:sz w:val="28"/>
          <w:szCs w:val="28"/>
        </w:rPr>
        <w:t xml:space="preserve">– Инвестиционная декларация Чувашской Республики (утв. распоряжением Главы Чувашской Республики от 27 мая 2022 г. № 297–</w:t>
      </w:r>
      <w:r>
        <w:rPr>
          <w:rFonts w:ascii="Times New Roman" w:hAnsi="Times New Roman" w:eastAsia="Arial Unicode MS" w:cs="Times New Roman"/>
          <w:sz w:val="28"/>
          <w:szCs w:val="28"/>
        </w:rPr>
        <w:t xml:space="preserve">рг</w:t>
      </w:r>
      <w:r>
        <w:rPr>
          <w:rFonts w:ascii="Times New Roman" w:hAnsi="Times New Roman" w:eastAsia="Arial Unicode MS" w:cs="Times New Roman"/>
          <w:sz w:val="28"/>
          <w:szCs w:val="28"/>
        </w:rPr>
        <w:t xml:space="preserve">).</w:t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Arial Unicode MS" w:cs="Times New Roman"/>
          <w:sz w:val="28"/>
          <w:szCs w:val="28"/>
        </w:rPr>
        <w:sectPr>
          <w:footnotePr/>
          <w:endnotePr/>
          <w:type w:val="nextPage"/>
          <w:pgSz w:w="11906" w:h="16838" w:orient="portrait"/>
          <w:pgMar w:top="1134" w:right="849" w:bottom="1134" w:left="1701" w:header="708" w:footer="708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  <w:r>
        <w:rPr>
          <w:rFonts w:ascii="Times New Roman" w:hAnsi="Times New Roman" w:eastAsia="Arial Unicode MS" w:cs="Times New Roman"/>
          <w:sz w:val="28"/>
          <w:szCs w:val="28"/>
        </w:rPr>
      </w:r>
    </w:p>
    <w:p>
      <w:pPr>
        <w:pStyle w:val="771"/>
        <w:jc w:val="both"/>
        <w:pageBreakBefore/>
        <w:spacing w:before="0" w:beforeAutospacing="0" w:after="0" w:afterAutospacing="0" w:line="360" w:lineRule="auto"/>
        <w:rPr>
          <w:caps/>
          <w:sz w:val="28"/>
        </w:rPr>
      </w:pPr>
      <w:r/>
      <w:bookmarkStart w:id="61" w:name="_Toc176798844"/>
      <w:r>
        <w:rPr>
          <w:caps/>
          <w:sz w:val="28"/>
        </w:rPr>
        <w:t xml:space="preserve">ПРИЛОЖЕНИЕ 2. </w:t>
      </w:r>
      <w:r>
        <w:rPr>
          <w:rFonts w:ascii="Times New Roman Полужирный" w:hAnsi="Times New Roman Полужирный"/>
          <w:sz w:val="28"/>
        </w:rPr>
        <w:t xml:space="preserve">Прогнозные значения целевых показателей за 2025–2030 годы</w:t>
      </w:r>
      <w:bookmarkEnd w:id="61"/>
      <w:r>
        <w:rPr>
          <w:caps/>
          <w:sz w:val="28"/>
        </w:rPr>
      </w:r>
      <w:r>
        <w:rPr>
          <w:caps/>
          <w:sz w:val="28"/>
        </w:rPr>
      </w:r>
    </w:p>
    <w:p>
      <w:pPr>
        <w:ind w:firstLine="709"/>
        <w:jc w:val="both"/>
        <w:spacing w:after="0" w:line="360" w:lineRule="auto"/>
        <w:rPr>
          <w:caps/>
          <w:sz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2.1. Растениеводство</w:t>
      </w:r>
      <w:r>
        <w:rPr>
          <w:caps/>
          <w:sz w:val="28"/>
        </w:rPr>
      </w:r>
      <w:r>
        <w:rPr>
          <w:caps/>
          <w:sz w:val="28"/>
        </w:rPr>
      </w:r>
    </w:p>
    <w:tbl>
      <w:tblPr>
        <w:tblStyle w:val="1022"/>
        <w:tblW w:w="14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534"/>
        <w:gridCol w:w="1843"/>
        <w:gridCol w:w="1134"/>
        <w:gridCol w:w="1275"/>
        <w:gridCol w:w="993"/>
        <w:gridCol w:w="992"/>
        <w:gridCol w:w="992"/>
        <w:gridCol w:w="992"/>
        <w:gridCol w:w="1134"/>
      </w:tblGrid>
      <w:tr>
        <w:tblPrEx/>
        <w:trPr>
          <w:trHeight w:val="349"/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Хозяйства всех категорий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2023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7"/>
            <w:tcMar>
              <w:left w:w="0" w:type="dxa"/>
              <w:top w:w="0" w:type="dxa"/>
              <w:right w:w="0" w:type="dxa"/>
              <w:bottom w:w="0" w:type="dxa"/>
            </w:tcMar>
            <w:tcW w:w="751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прогноз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85"/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Arial CYR" w:cs="Times New Roman"/>
                <w:color w:val="000000"/>
              </w:rPr>
              <w:t xml:space="preserve">2024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Arial CYR" w:cs="Times New Roman"/>
                <w:color w:val="000000"/>
              </w:rPr>
              <w:t xml:space="preserve">2025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Arial CYR" w:cs="Times New Roman"/>
                <w:color w:val="000000"/>
              </w:rPr>
              <w:t xml:space="preserve">2026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Arial CYR" w:cs="Times New Roman"/>
                <w:color w:val="000000"/>
              </w:rPr>
              <w:t xml:space="preserve">2027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Arial CYR" w:cs="Times New Roman"/>
                <w:color w:val="000000"/>
              </w:rPr>
              <w:t xml:space="preserve">2028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Arial CYR" w:cs="Times New Roman"/>
                <w:color w:val="000000"/>
              </w:rPr>
              <w:t xml:space="preserve">2029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Arial CYR" w:cs="Times New Roman"/>
                <w:color w:val="000000"/>
              </w:rPr>
              <w:t xml:space="preserve">2030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190"/>
        </w:trPr>
        <w:tc>
          <w:tcPr>
            <w:gridSpan w:val="9"/>
            <w:tcMar>
              <w:left w:w="0" w:type="dxa"/>
              <w:top w:w="0" w:type="dxa"/>
              <w:right w:w="0" w:type="dxa"/>
              <w:bottom w:w="0" w:type="dxa"/>
            </w:tcMar>
            <w:tcW w:w="14889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Зерновые и зернобобовые культуры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Общая площадь, тыс. га,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297,7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288,9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291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292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293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294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295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Валовой сбор, тыс. тонн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Arial CYR" w:cs="Times New Roman"/>
                <w:color w:val="000000"/>
              </w:rPr>
              <w:t xml:space="preserve">968,6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Arial CYR" w:cs="Times New Roman"/>
                <w:color w:val="000000"/>
              </w:rPr>
            </w:pPr>
            <w:r>
              <w:rPr>
                <w:rFonts w:ascii="Times New Roman" w:hAnsi="Times New Roman" w:eastAsia="Arial CYR" w:cs="Times New Roman"/>
                <w:color w:val="000000"/>
              </w:rPr>
              <w:t xml:space="preserve">863,1</w:t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Arial CYR" w:cs="Times New Roman"/>
                <w:color w:val="000000"/>
              </w:rPr>
            </w:pPr>
            <w:r>
              <w:rPr>
                <w:rFonts w:ascii="Times New Roman" w:hAnsi="Times New Roman" w:eastAsia="Arial CYR" w:cs="Times New Roman"/>
                <w:color w:val="000000"/>
              </w:rPr>
              <w:t xml:space="preserve">928,0</w:t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Arial CYR" w:cs="Times New Roman"/>
                <w:color w:val="000000"/>
              </w:rPr>
            </w:pPr>
            <w:r>
              <w:rPr>
                <w:rFonts w:ascii="Times New Roman" w:hAnsi="Times New Roman" w:eastAsia="Arial CYR" w:cs="Times New Roman"/>
                <w:color w:val="000000"/>
              </w:rPr>
              <w:t xml:space="preserve">960,3</w:t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Arial CYR" w:cs="Times New Roman"/>
                <w:color w:val="000000"/>
              </w:rPr>
            </w:pPr>
            <w:r>
              <w:rPr>
                <w:rFonts w:ascii="Times New Roman" w:hAnsi="Times New Roman" w:eastAsia="Arial CYR" w:cs="Times New Roman"/>
                <w:color w:val="000000"/>
              </w:rPr>
              <w:t xml:space="preserve">972,4</w:t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Arial CYR" w:cs="Times New Roman"/>
                <w:color w:val="000000"/>
              </w:rPr>
            </w:pPr>
            <w:r>
              <w:rPr>
                <w:rFonts w:ascii="Times New Roman" w:hAnsi="Times New Roman" w:eastAsia="Arial CYR" w:cs="Times New Roman"/>
                <w:color w:val="000000"/>
              </w:rPr>
              <w:t xml:space="preserve">981,6</w:t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Arial CYR" w:cs="Times New Roman"/>
                <w:color w:val="000000"/>
              </w:rPr>
            </w:pPr>
            <w:r>
              <w:rPr>
                <w:rFonts w:ascii="Times New Roman" w:hAnsi="Times New Roman" w:eastAsia="Arial CYR" w:cs="Times New Roman"/>
                <w:color w:val="000000"/>
              </w:rPr>
              <w:t xml:space="preserve">999,6</w:t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Arial CYR" w:cs="Times New Roman"/>
                <w:color w:val="000000"/>
              </w:rPr>
            </w:pPr>
            <w:r>
              <w:rPr>
                <w:rFonts w:ascii="Times New Roman" w:hAnsi="Times New Roman" w:eastAsia="Arial CYR" w:cs="Times New Roman"/>
                <w:color w:val="000000"/>
              </w:rPr>
              <w:t xml:space="preserve">1009</w:t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Урожайность, ц с 1 га убранной площади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34,2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Arial CYR" w:cs="Times New Roman"/>
                <w:color w:val="000000"/>
              </w:rPr>
            </w:pPr>
            <w:r>
              <w:rPr>
                <w:rFonts w:ascii="Times New Roman" w:hAnsi="Times New Roman" w:eastAsia="Arial CYR" w:cs="Times New Roman"/>
                <w:color w:val="000000"/>
              </w:rPr>
              <w:t xml:space="preserve">30,0</w:t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Arial CYR" w:cs="Times New Roman"/>
                <w:color w:val="000000"/>
              </w:rPr>
            </w:pPr>
            <w:r>
              <w:rPr>
                <w:rFonts w:ascii="Times New Roman" w:hAnsi="Times New Roman" w:eastAsia="Arial CYR" w:cs="Times New Roman"/>
                <w:color w:val="000000"/>
              </w:rPr>
              <w:t xml:space="preserve">32,0</w:t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Arial CYR" w:cs="Times New Roman"/>
                <w:color w:val="000000"/>
              </w:rPr>
            </w:pPr>
            <w:r>
              <w:rPr>
                <w:rFonts w:ascii="Times New Roman" w:hAnsi="Times New Roman" w:eastAsia="Arial CYR" w:cs="Times New Roman"/>
                <w:color w:val="000000"/>
              </w:rPr>
              <w:t xml:space="preserve">33,0</w:t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Arial CYR" w:cs="Times New Roman"/>
                <w:color w:val="000000"/>
              </w:rPr>
            </w:pPr>
            <w:r>
              <w:rPr>
                <w:rFonts w:ascii="Times New Roman" w:hAnsi="Times New Roman" w:eastAsia="Arial CYR" w:cs="Times New Roman"/>
                <w:color w:val="000000"/>
              </w:rPr>
              <w:t xml:space="preserve">33,3</w:t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Arial CYR" w:cs="Times New Roman"/>
                <w:color w:val="000000"/>
              </w:rPr>
            </w:pPr>
            <w:r>
              <w:rPr>
                <w:rFonts w:ascii="Times New Roman" w:hAnsi="Times New Roman" w:eastAsia="Arial CYR" w:cs="Times New Roman"/>
                <w:color w:val="000000"/>
              </w:rPr>
              <w:t xml:space="preserve">33,5</w:t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Arial CYR" w:cs="Times New Roman"/>
                <w:color w:val="000000"/>
              </w:rPr>
            </w:pPr>
            <w:r>
              <w:rPr>
                <w:rFonts w:ascii="Times New Roman" w:hAnsi="Times New Roman" w:eastAsia="Arial CYR" w:cs="Times New Roman"/>
                <w:color w:val="000000"/>
              </w:rPr>
              <w:t xml:space="preserve">34,0</w:t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Arial CYR" w:cs="Times New Roman"/>
                <w:color w:val="000000"/>
              </w:rPr>
            </w:pPr>
            <w:r>
              <w:rPr>
                <w:rFonts w:ascii="Times New Roman" w:hAnsi="Times New Roman" w:eastAsia="Arial CYR" w:cs="Times New Roman"/>
                <w:color w:val="000000"/>
              </w:rPr>
              <w:t xml:space="preserve">34,2</w:t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</w:p>
        </w:tc>
      </w:tr>
      <w:tr>
        <w:tblPrEx/>
        <w:trPr>
          <w:trHeight w:val="20"/>
        </w:trPr>
        <w:tc>
          <w:tcPr>
            <w:gridSpan w:val="9"/>
            <w:tcMar>
              <w:left w:w="0" w:type="dxa"/>
              <w:top w:w="0" w:type="dxa"/>
              <w:right w:w="0" w:type="dxa"/>
              <w:bottom w:w="0" w:type="dxa"/>
            </w:tcMar>
            <w:tcW w:w="14889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Arial CYR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Картофель</w:t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Общая площадь, тыс. га,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17,54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Валовой сбор, тыс. тонн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338,1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325,2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334,1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337,8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338,9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340,0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340,7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340,8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Урожайность, ц с 1 га убранной площади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193,0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193,2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193,5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193,6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193,7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Овощи открытого и закрытого грунта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Arial CYR" w:cs="Times New Roman"/>
                <w:color w:val="000000"/>
              </w:rPr>
            </w:pPr>
            <w:r>
              <w:rPr>
                <w:rFonts w:ascii="Times New Roman" w:hAnsi="Times New Roman" w:eastAsia="Arial CYR" w:cs="Times New Roman"/>
                <w:color w:val="000000"/>
              </w:rPr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Arial CYR" w:cs="Times New Roman"/>
                <w:color w:val="000000"/>
              </w:rPr>
            </w:pPr>
            <w:r>
              <w:rPr>
                <w:rFonts w:ascii="Times New Roman" w:hAnsi="Times New Roman" w:eastAsia="Arial CYR" w:cs="Times New Roman"/>
                <w:color w:val="000000"/>
              </w:rPr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Arial CYR" w:cs="Times New Roman"/>
                <w:color w:val="000000"/>
              </w:rPr>
            </w:pPr>
            <w:r>
              <w:rPr>
                <w:rFonts w:ascii="Times New Roman" w:hAnsi="Times New Roman" w:eastAsia="Arial CYR" w:cs="Times New Roman"/>
                <w:color w:val="000000"/>
              </w:rPr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Arial CYR" w:cs="Times New Roman"/>
                <w:color w:val="000000"/>
              </w:rPr>
            </w:pPr>
            <w:r>
              <w:rPr>
                <w:rFonts w:ascii="Times New Roman" w:hAnsi="Times New Roman" w:eastAsia="Arial CYR" w:cs="Times New Roman"/>
                <w:color w:val="000000"/>
              </w:rPr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Arial CYR" w:cs="Times New Roman"/>
                <w:color w:val="000000"/>
              </w:rPr>
            </w:pPr>
            <w:r>
              <w:rPr>
                <w:rFonts w:ascii="Times New Roman" w:hAnsi="Times New Roman" w:eastAsia="Arial CYR" w:cs="Times New Roman"/>
                <w:color w:val="000000"/>
              </w:rPr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Arial CYR" w:cs="Times New Roman"/>
                <w:color w:val="000000"/>
              </w:rPr>
            </w:pPr>
            <w:r>
              <w:rPr>
                <w:rFonts w:ascii="Times New Roman" w:hAnsi="Times New Roman" w:eastAsia="Arial CYR" w:cs="Times New Roman"/>
                <w:color w:val="000000"/>
              </w:rPr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Arial CYR" w:cs="Times New Roman"/>
                <w:color w:val="000000"/>
              </w:rPr>
            </w:pPr>
            <w:r>
              <w:rPr>
                <w:rFonts w:ascii="Times New Roman" w:hAnsi="Times New Roman" w:eastAsia="Arial CYR" w:cs="Times New Roman"/>
                <w:color w:val="000000"/>
              </w:rPr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  <w:r>
              <w:rPr>
                <w:rFonts w:ascii="Times New Roman" w:hAnsi="Times New Roman" w:eastAsia="Arial CYR" w:cs="Times New Roman"/>
                <w:color w:val="000000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Общая площадь, тыс. га,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Валовой сбор, тыс. тонн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147,1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116,4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123,7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127,3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134,6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138,2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147,1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Урожайность, ц с 1 га убранной площади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432,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362,0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362,5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363,0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363,8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363,9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364,8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377,2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gridSpan w:val="9"/>
            <w:tcMar>
              <w:left w:w="0" w:type="dxa"/>
              <w:top w:w="0" w:type="dxa"/>
              <w:right w:w="0" w:type="dxa"/>
              <w:bottom w:w="0" w:type="dxa"/>
            </w:tcMar>
            <w:tcW w:w="14889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Масличные культуры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Общая площадь, тыс. га,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27,2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43,2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43,4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43,44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43,5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43,52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42,55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43,5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Валовой сбор, тыс. тонн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37,4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60,76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Урожайность, ц с 1 га убранной площади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13,83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13,84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13,91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13,92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13,93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13,94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gridSpan w:val="9"/>
            <w:tcMar>
              <w:left w:w="0" w:type="dxa"/>
              <w:top w:w="0" w:type="dxa"/>
              <w:right w:w="0" w:type="dxa"/>
              <w:bottom w:w="0" w:type="dxa"/>
            </w:tcMar>
            <w:tcW w:w="14889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Сахарная свекла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Общая площадь, тыс. га,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Валовой сбор, тыс. тонн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34,65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37,92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41,08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44,24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45,5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Урожайность, ц с 1 га убранной площади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314,4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315,0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315,1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316,0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316,1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316,2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316,3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318,7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gridSpan w:val="9"/>
            <w:tcMar>
              <w:left w:w="0" w:type="dxa"/>
              <w:top w:w="0" w:type="dxa"/>
              <w:right w:w="0" w:type="dxa"/>
              <w:bottom w:w="0" w:type="dxa"/>
            </w:tcMar>
            <w:tcW w:w="14889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Бахчевые продовольственные культуры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Общая площадь, тыс. га,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Валовой сбор, тыс. тонн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Урожайность, ц с 1 га убранной площади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123,9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120,0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gridSpan w:val="9"/>
            <w:tcMar>
              <w:left w:w="0" w:type="dxa"/>
              <w:top w:w="0" w:type="dxa"/>
              <w:right w:w="0" w:type="dxa"/>
              <w:bottom w:w="0" w:type="dxa"/>
            </w:tcMar>
            <w:tcW w:w="14889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Подсолнечник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Общая площадь, тыс. га,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8,88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Валовой сбор, тыс. тонн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Урожайность, ц с 1 га убранной площади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Плодово-ягодные насаждения 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Общая площадь, тыс. га, в т.ч.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3,66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3,77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3,89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площадь в плодоносящем возрасте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2,65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2,73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2,81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2,98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Валовой сбор, тыс. тонн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40,69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41,91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43,17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44,46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45,79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48,58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Урожайность, ц с 1 га убранной площади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159,5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164,3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169,2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174,3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179,5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184,9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196,2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gridSpan w:val="9"/>
            <w:tcMar>
              <w:left w:w="0" w:type="dxa"/>
              <w:top w:w="0" w:type="dxa"/>
              <w:right w:w="0" w:type="dxa"/>
              <w:bottom w:w="0" w:type="dxa"/>
            </w:tcMar>
            <w:tcW w:w="14889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Семечковые культуры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3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Общая площадь, тыс. га, в т.ч.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3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площадь в плодоносящем возрасте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3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Валовой сбор, тыс. тонн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24,27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24,99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25,74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26,52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27,31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28,13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28,97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Урожайность, ц с 1 га убранной площади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259,6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267,4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275,4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283,7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292,2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310,0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319,3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Косточковые культуры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8"/>
            <w:tcMar>
              <w:left w:w="0" w:type="dxa"/>
              <w:top w:w="0" w:type="dxa"/>
              <w:right w:w="0" w:type="dxa"/>
              <w:bottom w:w="0" w:type="dxa"/>
            </w:tcMar>
            <w:tcW w:w="935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3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Общая площадь, тыс. га, в т.ч.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3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площадь в плодоносящем возрасте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3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Валовой сбор, тыс. тонн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7,57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8,78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3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Урожайность, ц с 1 га убранной площади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94,6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97,4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106,4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109,6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112,9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gridSpan w:val="9"/>
            <w:tcMar>
              <w:left w:w="0" w:type="dxa"/>
              <w:top w:w="0" w:type="dxa"/>
              <w:right w:w="0" w:type="dxa"/>
              <w:bottom w:w="0" w:type="dxa"/>
            </w:tcMar>
            <w:tcW w:w="14889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Ягодники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3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Общая площадь, тыс. га, в т.ч.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3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площадь в плодоносящем возрасте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3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Валовой сбор, тыс. тонн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9,53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9,82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10,73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11,38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11,72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3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Урожайность, ц с 1 га убранной площади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117,2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124,3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128,1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131,9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135,9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139,9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144,1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gridSpan w:val="9"/>
            <w:tcMar>
              <w:left w:w="0" w:type="dxa"/>
              <w:top w:w="0" w:type="dxa"/>
              <w:right w:w="0" w:type="dxa"/>
              <w:bottom w:w="0" w:type="dxa"/>
            </w:tcMar>
            <w:tcW w:w="14889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Ягодники на обособленной площади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3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Общая площадь, тыс. га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ind w:firstLine="431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0,98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ind w:firstLine="431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1,01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ind w:firstLine="431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1,04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ind w:firstLine="431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1,07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ind w:firstLine="431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1,10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ind w:firstLine="431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1,13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ind w:firstLine="431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1,17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ind w:firstLine="431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1,20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</w:tr>
      <w:tr>
        <w:tblPrEx/>
        <w:trPr>
          <w:trHeight w:val="20"/>
        </w:trPr>
        <w:tc>
          <w:tcPr>
            <w:gridSpan w:val="9"/>
            <w:tcMar>
              <w:left w:w="0" w:type="dxa"/>
              <w:top w:w="0" w:type="dxa"/>
              <w:right w:w="0" w:type="dxa"/>
              <w:bottom w:w="0" w:type="dxa"/>
            </w:tcMar>
            <w:tcW w:w="14889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Хмель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3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Общая площадь, га, в т.ч.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206,8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217,9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307,6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534,7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776,4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1 121,0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1 507,2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3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площадь в плодоносящем возрасте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132,4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388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563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1093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3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Валовой сбор, тыс. тонн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0,292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3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Урожайность, ц с 1 га убранной площади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5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Мелиорация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textDirection w:val="lrTb"/>
            <w:noWrap w:val="false"/>
          </w:tcPr>
          <w:p>
            <w:pPr>
              <w:ind w:firstLine="43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Реконструкция межхозяйственных оросительных систем федеральной собственности, га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289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1 215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1 292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1 492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vMerge w:val="restart"/>
            <w:textDirection w:val="lrTb"/>
            <w:noWrap w:val="false"/>
          </w:tcPr>
          <w:p>
            <w:pPr>
              <w:ind w:firstLine="43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Энергообеспеченность, л.с. на 100 га посевной площади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vAlign w:val="bottom"/>
            <w:vMerge w:val="restart"/>
            <w:textDirection w:val="lrTb"/>
            <w:noWrap w:val="false"/>
          </w:tcPr>
          <w:p>
            <w:pPr>
              <w:ind w:firstLine="43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Доля элитных семян, %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pageBreakBefore/>
        <w:spacing w:after="0" w:line="360" w:lineRule="auto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2.2. Животноводство</w:t>
      </w:r>
      <w:r>
        <w:rPr>
          <w:rFonts w:ascii="Times New Roman" w:hAnsi="Times New Roman" w:cs="Times New Roman"/>
          <w:caps/>
          <w:sz w:val="28"/>
          <w:szCs w:val="28"/>
        </w:rPr>
      </w:r>
      <w:r>
        <w:rPr>
          <w:rFonts w:ascii="Times New Roman" w:hAnsi="Times New Roman" w:cs="Times New Roman"/>
          <w:caps/>
          <w:sz w:val="28"/>
          <w:szCs w:val="28"/>
        </w:rPr>
      </w:r>
    </w:p>
    <w:tbl>
      <w:tblPr>
        <w:tblStyle w:val="1022"/>
        <w:tblW w:w="148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1843"/>
        <w:gridCol w:w="1134"/>
        <w:gridCol w:w="1275"/>
        <w:gridCol w:w="993"/>
        <w:gridCol w:w="992"/>
        <w:gridCol w:w="992"/>
        <w:gridCol w:w="992"/>
        <w:gridCol w:w="1136"/>
      </w:tblGrid>
      <w:tr>
        <w:tblPrEx/>
        <w:trPr>
          <w:trHeight w:val="349"/>
          <w:tblHeader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552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Хозяйства всех категорий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2023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gridSpan w:val="7"/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75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прогноз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444"/>
          <w:tblHeader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5524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Arial CYR" w:cs="Times New Roman"/>
                <w:color w:val="000000"/>
                <w:sz w:val="20"/>
                <w:szCs w:val="20"/>
              </w:rPr>
              <w:t xml:space="preserve">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Arial CYR" w:cs="Times New Roman"/>
                <w:color w:val="000000"/>
                <w:sz w:val="20"/>
                <w:szCs w:val="20"/>
              </w:rPr>
              <w:t xml:space="preserve">2025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Arial CYR" w:cs="Times New Roman"/>
                <w:color w:val="000000"/>
                <w:sz w:val="20"/>
                <w:szCs w:val="20"/>
              </w:rPr>
              <w:t xml:space="preserve">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Arial CYR" w:cs="Times New Roman"/>
                <w:color w:val="000000"/>
                <w:sz w:val="20"/>
                <w:szCs w:val="20"/>
              </w:rPr>
              <w:t xml:space="preserve">2027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Arial CYR" w:cs="Times New Roman"/>
                <w:color w:val="000000"/>
                <w:sz w:val="20"/>
                <w:szCs w:val="20"/>
              </w:rPr>
              <w:t xml:space="preserve">2028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Arial CYR" w:cs="Times New Roman"/>
                <w:color w:val="000000"/>
                <w:sz w:val="20"/>
                <w:szCs w:val="20"/>
              </w:rPr>
              <w:t xml:space="preserve">2029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Arial CYR" w:cs="Times New Roman"/>
                <w:color w:val="000000"/>
                <w:sz w:val="20"/>
                <w:szCs w:val="20"/>
              </w:rPr>
              <w:t xml:space="preserve">2030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5524" w:type="dxa"/>
            <w:vAlign w:val="bottom"/>
            <w:textDirection w:val="lrTb"/>
            <w:noWrap w:val="false"/>
          </w:tcPr>
          <w:p>
            <w:pPr>
              <w:ind w:firstLine="426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Молоко, тыс. тонн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478,6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489,8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504,5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514,5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524,3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534,5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550,0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561,2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5524" w:type="dxa"/>
            <w:vAlign w:val="bottom"/>
            <w:textDirection w:val="lrTb"/>
            <w:noWrap w:val="false"/>
          </w:tcPr>
          <w:p>
            <w:pPr>
              <w:ind w:firstLine="426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Шерсть, тыс. тонн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0,382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0,371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0,374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0,378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0,379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0,383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0,389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0,415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5524" w:type="dxa"/>
            <w:vAlign w:val="bottom"/>
            <w:textDirection w:val="lrTb"/>
            <w:noWrap w:val="false"/>
          </w:tcPr>
          <w:p>
            <w:pPr>
              <w:ind w:firstLine="426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Яйца, млн шт.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352,3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357,3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379,5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416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446,9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489,3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509,2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546,8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5524" w:type="dxa"/>
            <w:vAlign w:val="bottom"/>
            <w:textDirection w:val="lrTb"/>
            <w:noWrap w:val="false"/>
          </w:tcPr>
          <w:p>
            <w:pPr>
              <w:ind w:firstLine="5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Скот и птица на убой (в живом весе) тыс. тонн: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116,8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113,1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128,82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154,76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164,31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174,31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182,81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191,11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0"/>
        </w:trPr>
        <w:tc>
          <w:tcPr>
            <w:gridSpan w:val="9"/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4881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Arial CYR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том числе</w:t>
            </w:r>
            <w:r>
              <w:rPr>
                <w:rFonts w:ascii="Times New Roman" w:hAnsi="Times New Roman" w:eastAsia="Arial CYR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Arial CYR" w:cs="Times New Roman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5524" w:type="dxa"/>
            <w:textDirection w:val="lrTb"/>
            <w:noWrap w:val="false"/>
          </w:tcPr>
          <w:p>
            <w:pPr>
              <w:ind w:firstLine="426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крупный рогатый скот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28,9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28,9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29,82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31,95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33,3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35,55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36,8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37,8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5524" w:type="dxa"/>
            <w:textDirection w:val="lrTb"/>
            <w:noWrap w:val="false"/>
          </w:tcPr>
          <w:p>
            <w:pPr>
              <w:ind w:firstLine="426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свиньи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27,5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27,5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28,3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29,1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30,6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31,8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32,6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33,3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5524" w:type="dxa"/>
            <w:textDirection w:val="lrTb"/>
            <w:noWrap w:val="false"/>
          </w:tcPr>
          <w:p>
            <w:pPr>
              <w:ind w:firstLine="426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птица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56,1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52,2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88,81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95,11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101,41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107,71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114,01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5524" w:type="dxa"/>
            <w:textDirection w:val="lrTb"/>
            <w:noWrap w:val="false"/>
          </w:tcPr>
          <w:p>
            <w:pPr>
              <w:ind w:firstLine="426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овцы и козы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3,5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3,7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3,8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3,9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4,2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4,4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4,5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4,75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5524" w:type="dxa"/>
            <w:textDirection w:val="lrTb"/>
            <w:noWrap w:val="false"/>
          </w:tcPr>
          <w:p>
            <w:pPr>
              <w:ind w:firstLine="426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прочие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0,8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0,8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275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0,9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1,15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1,25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</w:tbl>
    <w:p>
      <w:pPr>
        <w:ind w:left="-284" w:right="-427"/>
        <w:spacing w:line="276" w:lineRule="auto"/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2.3. Племенное животноводство</w:t>
      </w:r>
      <w:r>
        <w:rPr>
          <w:rFonts w:ascii="Times New Roman" w:hAnsi="Times New Roman" w:cs="Times New Roman"/>
          <w:caps/>
          <w:sz w:val="28"/>
          <w:szCs w:val="28"/>
        </w:rPr>
      </w:r>
      <w:r>
        <w:rPr>
          <w:rFonts w:ascii="Times New Roman" w:hAnsi="Times New Roman" w:cs="Times New Roman"/>
          <w:caps/>
          <w:sz w:val="28"/>
          <w:szCs w:val="28"/>
        </w:rPr>
      </w:r>
    </w:p>
    <w:tbl>
      <w:tblPr>
        <w:tblStyle w:val="1022"/>
        <w:tblW w:w="14936" w:type="dxa"/>
        <w:tblLook w:val="04A0" w:firstRow="1" w:lastRow="0" w:firstColumn="1" w:lastColumn="0" w:noHBand="0" w:noVBand="1"/>
      </w:tblPr>
      <w:tblGrid>
        <w:gridCol w:w="5237"/>
        <w:gridCol w:w="1843"/>
        <w:gridCol w:w="1276"/>
        <w:gridCol w:w="1417"/>
        <w:gridCol w:w="1418"/>
        <w:gridCol w:w="1276"/>
        <w:gridCol w:w="1133"/>
        <w:gridCol w:w="1336"/>
      </w:tblGrid>
      <w:tr>
        <w:tblPrEx/>
        <w:trPr>
          <w:trHeight w:val="570"/>
        </w:trPr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3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Показатели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99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Годы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3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2023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2025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2027</w:t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2028</w:t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2029</w:t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36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2030</w:t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37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Производство молока, тыс. тонн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104,7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112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1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113,6</w:t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1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115,2</w:t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116,8</w:t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3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118,4</w:t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3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120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37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Удой молока на 1 корову, кг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8 391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8 500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1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8 606</w:t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1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8 714</w:t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8 823</w:t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3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8 933</w:t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3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9 050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37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Поголовье КРС, голов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29 797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32 300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1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32 655</w:t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1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33 015</w:t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33 378</w:t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3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33 745</w:t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3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34 000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37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 в том числе коров, голов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12 914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13 650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1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13 882</w:t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1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14 118</w:t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14 358</w:t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3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14 602</w:t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3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15 000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37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Доля племенных коров к поголовью коров в СХО, %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47,0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48,7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1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49,9</w:t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1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51,2</w:t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52,4</w:t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3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53,8</w:t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3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0"/>
                <w:szCs w:val="20"/>
              </w:rPr>
              <w:t xml:space="preserve">55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</w:r>
      <w:r>
        <w:rPr>
          <w:rFonts w:ascii="Times New Roman" w:hAnsi="Times New Roman" w:cs="Times New Roman"/>
          <w:caps/>
          <w:sz w:val="28"/>
          <w:szCs w:val="28"/>
        </w:rPr>
      </w:r>
      <w:r>
        <w:rPr>
          <w:rFonts w:ascii="Times New Roman" w:hAnsi="Times New Roman" w:cs="Times New Roman"/>
          <w:caps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</w:r>
      <w:r>
        <w:rPr>
          <w:rFonts w:ascii="Times New Roman" w:hAnsi="Times New Roman" w:cs="Times New Roman"/>
          <w:caps/>
          <w:sz w:val="28"/>
          <w:szCs w:val="28"/>
        </w:rPr>
      </w:r>
      <w:r>
        <w:rPr>
          <w:rFonts w:ascii="Times New Roman" w:hAnsi="Times New Roman" w:cs="Times New Roman"/>
          <w:caps/>
          <w:sz w:val="28"/>
          <w:szCs w:val="28"/>
        </w:rPr>
      </w:r>
    </w:p>
    <w:p>
      <w:pPr>
        <w:ind w:firstLine="709"/>
        <w:jc w:val="both"/>
        <w:pageBreakBefore/>
        <w:spacing w:after="0" w:line="360" w:lineRule="auto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2.4. Переработка</w:t>
      </w:r>
      <w:r>
        <w:rPr>
          <w:rFonts w:ascii="Times New Roman" w:hAnsi="Times New Roman" w:cs="Times New Roman"/>
          <w:caps/>
          <w:sz w:val="28"/>
          <w:szCs w:val="28"/>
        </w:rPr>
      </w:r>
      <w:r>
        <w:rPr>
          <w:rFonts w:ascii="Times New Roman" w:hAnsi="Times New Roman" w:cs="Times New Roman"/>
          <w:caps/>
          <w:sz w:val="28"/>
          <w:szCs w:val="28"/>
        </w:rPr>
      </w:r>
    </w:p>
    <w:tbl>
      <w:tblPr>
        <w:tblW w:w="14190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410"/>
        <w:gridCol w:w="1559"/>
        <w:gridCol w:w="1559"/>
        <w:gridCol w:w="1418"/>
        <w:gridCol w:w="1417"/>
        <w:gridCol w:w="1276"/>
        <w:gridCol w:w="1134"/>
        <w:gridCol w:w="1417"/>
      </w:tblGrid>
      <w:tr>
        <w:tblPrEx/>
        <w:trPr>
          <w:trHeight w:val="20"/>
          <w:tblHeader/>
        </w:trPr>
        <w:tc>
          <w:tcPr>
            <w:tcW w:w="44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76" w:lineRule="auto"/>
              <w:rPr>
                <w:rFonts w:ascii="Times New Roman" w:hAnsi="Times New Roman" w:eastAsia="Times New Roman" w:cs="Times New Roman"/>
                <w:color w:val="00000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  <w14:ligatures w14:val="none"/>
              </w:rPr>
              <w:t xml:space="preserve">Наименование показателя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  <w14:ligatures w14:val="none"/>
              </w:rPr>
            </w:r>
          </w:p>
        </w:tc>
        <w:tc>
          <w:tcPr>
            <w:gridSpan w:val="7"/>
            <w:tcW w:w="9780" w:type="dxa"/>
            <w:vAlign w:val="center"/>
            <w:textDirection w:val="lrTb"/>
            <w:noWrap w:val="false"/>
          </w:tcPr>
          <w:p>
            <w:pPr>
              <w:jc w:val="center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Годы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auto" w:fill="auto"/>
            <w:tcW w:w="4410" w:type="dxa"/>
            <w:vAlign w:val="center"/>
            <w:vMerge w:val="continue"/>
            <w:textDirection w:val="lrTb"/>
            <w:noWrap/>
          </w:tcPr>
          <w:p>
            <w:pPr>
              <w:jc w:val="both"/>
              <w:spacing w:after="0" w:line="276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2023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2025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center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2026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2027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2028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2029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2030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151"/>
        </w:trPr>
        <w:tc>
          <w:tcPr>
            <w:gridSpan w:val="8"/>
            <w:shd w:val="clear" w:color="auto" w:fill="auto"/>
            <w:tcW w:w="14190" w:type="dxa"/>
            <w:vAlign w:val="center"/>
            <w:textDirection w:val="lrTb"/>
            <w:noWrap/>
          </w:tcPr>
          <w:p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Мясо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283"/>
        </w:trPr>
        <w:tc>
          <w:tcPr>
            <w:shd w:val="clear" w:color="auto" w:fill="auto"/>
            <w:tcW w:w="4410" w:type="dxa"/>
            <w:vAlign w:val="center"/>
            <w:textDirection w:val="lrTb"/>
            <w:noWrap/>
          </w:tcPr>
          <w:p>
            <w:pPr>
              <w:ind w:firstLine="474"/>
              <w:jc w:val="both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Произведено тыс., тонн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118,8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122,32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127,45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131,7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136,8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140,7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144,2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283"/>
        </w:trPr>
        <w:tc>
          <w:tcPr>
            <w:shd w:val="clear" w:color="auto" w:fill="auto"/>
            <w:tcW w:w="4410" w:type="dxa"/>
            <w:vAlign w:val="center"/>
            <w:textDirection w:val="lrTb"/>
            <w:noWrap/>
          </w:tcPr>
          <w:p>
            <w:pPr>
              <w:ind w:firstLine="474"/>
              <w:jc w:val="both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Ввезено, тыс. тонн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36,6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36,6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36,6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36,6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36,6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36,6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36,6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283"/>
        </w:trPr>
        <w:tc>
          <w:tcPr>
            <w:shd w:val="clear" w:color="auto" w:fill="auto"/>
            <w:tcW w:w="4410" w:type="dxa"/>
            <w:vAlign w:val="center"/>
            <w:textDirection w:val="lrTb"/>
            <w:noWrap/>
          </w:tcPr>
          <w:p>
            <w:pPr>
              <w:ind w:firstLine="474"/>
              <w:jc w:val="both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Вывезено, тыс. тонн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41,8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41,8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41,8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41,8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41,8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41,8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41,8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283"/>
        </w:trPr>
        <w:tc>
          <w:tcPr>
            <w:shd w:val="clear" w:color="auto" w:fill="auto"/>
            <w:tcW w:w="4410" w:type="dxa"/>
            <w:vAlign w:val="center"/>
            <w:textDirection w:val="lrTb"/>
            <w:noWrap/>
          </w:tcPr>
          <w:p>
            <w:pPr>
              <w:ind w:firstLine="474"/>
              <w:jc w:val="both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Переработано, тыс. тонн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89,80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110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115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117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118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119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120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283"/>
        </w:trPr>
        <w:tc>
          <w:tcPr>
            <w:shd w:val="clear" w:color="auto" w:fill="auto"/>
            <w:tcW w:w="4410" w:type="dxa"/>
            <w:vAlign w:val="center"/>
            <w:textDirection w:val="lrTb"/>
            <w:noWrap/>
          </w:tcPr>
          <w:p>
            <w:pPr>
              <w:ind w:firstLine="474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Мощности, тыс. тонн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179,6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195,6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195,6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195,6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195,6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195,6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195,6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170"/>
        </w:trPr>
        <w:tc>
          <w:tcPr>
            <w:shd w:val="clear" w:color="auto" w:fill="auto"/>
            <w:tcW w:w="4410" w:type="dxa"/>
            <w:vAlign w:val="center"/>
            <w:textDirection w:val="lrTb"/>
            <w:noWrap/>
          </w:tcPr>
          <w:p>
            <w:pPr>
              <w:jc w:val="both"/>
              <w:spacing w:after="0" w:line="276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Уровень использования среднегодовой производственной мощности, %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50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56,24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58,79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59,82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60,33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60,84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61,35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gridSpan w:val="8"/>
            <w:shd w:val="clear" w:color="auto" w:fill="auto"/>
            <w:tcW w:w="14190" w:type="dxa"/>
            <w:vAlign w:val="center"/>
            <w:textDirection w:val="lrTb"/>
            <w:noWrap/>
          </w:tcPr>
          <w:p>
            <w:pPr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Молоко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4410" w:type="dxa"/>
            <w:vAlign w:val="center"/>
            <w:textDirection w:val="lrTb"/>
            <w:noWrap/>
          </w:tcPr>
          <w:p>
            <w:pPr>
              <w:ind w:firstLine="474"/>
              <w:jc w:val="both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Произведено сырого молока, тыс., тонн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478,6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504,5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514,5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524,3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276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534,5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134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550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561,2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4410" w:type="dxa"/>
            <w:vAlign w:val="center"/>
            <w:textDirection w:val="lrTb"/>
            <w:noWrap/>
          </w:tcPr>
          <w:p>
            <w:pPr>
              <w:ind w:firstLine="474"/>
              <w:jc w:val="both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товарного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382,4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403,6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411,6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419,44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276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427,6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134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440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448,96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4410" w:type="dxa"/>
            <w:vAlign w:val="center"/>
            <w:textDirection w:val="lrTb"/>
            <w:noWrap/>
          </w:tcPr>
          <w:p>
            <w:pPr>
              <w:ind w:firstLine="474"/>
              <w:jc w:val="both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Ввезено, тыс. тонн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197,9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197,9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197,9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197,9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197,9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197,9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197,9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4410" w:type="dxa"/>
            <w:vAlign w:val="center"/>
            <w:textDirection w:val="lrTb"/>
            <w:noWrap/>
          </w:tcPr>
          <w:p>
            <w:pPr>
              <w:ind w:firstLine="474"/>
              <w:jc w:val="both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Вывезено, тыс. тонн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188,9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188,9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188,9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188,9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188,9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188,9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188,9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4410" w:type="dxa"/>
            <w:vAlign w:val="center"/>
            <w:textDirection w:val="lrTb"/>
            <w:noWrap/>
          </w:tcPr>
          <w:p>
            <w:pPr>
              <w:ind w:firstLine="474"/>
              <w:jc w:val="both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Переработано, тыс. тонн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272,6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298,5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308,5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318,3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276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328,5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134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329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350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4410" w:type="dxa"/>
            <w:vAlign w:val="center"/>
            <w:textDirection w:val="lrTb"/>
            <w:noWrap/>
          </w:tcPr>
          <w:p>
            <w:pPr>
              <w:ind w:firstLine="474"/>
              <w:jc w:val="both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Мощности, тыс. тонн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299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329,4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329,4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335,8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276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335,8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134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335,8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351,8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276"/>
        </w:trPr>
        <w:tc>
          <w:tcPr>
            <w:shd w:val="clear" w:color="auto" w:fill="auto"/>
            <w:tcW w:w="4410" w:type="dxa"/>
            <w:vAlign w:val="center"/>
            <w:textDirection w:val="lrTb"/>
            <w:noWrap/>
          </w:tcPr>
          <w:p>
            <w:pPr>
              <w:jc w:val="both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Уровень использования среднегодовой производственной мощности, % 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91,4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90,6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93,7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94,8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97,8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98,0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99,5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465"/>
        </w:trPr>
        <w:tc>
          <w:tcPr>
            <w:gridSpan w:val="8"/>
            <w:shd w:val="clear" w:color="auto" w:fill="auto"/>
            <w:tcW w:w="14190" w:type="dxa"/>
            <w:vAlign w:val="center"/>
            <w:textDirection w:val="lrTb"/>
            <w:noWrap/>
          </w:tcPr>
          <w:p>
            <w:pPr>
              <w:ind w:firstLine="49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Хлеб и хлебобулочные изделия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283"/>
        </w:trPr>
        <w:tc>
          <w:tcPr>
            <w:shd w:val="clear" w:color="auto" w:fill="auto"/>
            <w:tcW w:w="4410" w:type="dxa"/>
            <w:textDirection w:val="lrTb"/>
            <w:noWrap/>
          </w:tcPr>
          <w:p>
            <w:pPr>
              <w:ind w:firstLine="474"/>
              <w:jc w:val="both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Произведено, тыс. тонн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63,157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64,5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64,5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64,5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64,5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64,5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64,5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283"/>
        </w:trPr>
        <w:tc>
          <w:tcPr>
            <w:shd w:val="clear" w:color="auto" w:fill="auto"/>
            <w:tcW w:w="4410" w:type="dxa"/>
            <w:textDirection w:val="lrTb"/>
            <w:noWrap/>
          </w:tcPr>
          <w:p>
            <w:pPr>
              <w:ind w:firstLine="474"/>
              <w:jc w:val="both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Ввезено, тыс. тонн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-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-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-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-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-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-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-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283"/>
        </w:trPr>
        <w:tc>
          <w:tcPr>
            <w:shd w:val="clear" w:color="auto" w:fill="auto"/>
            <w:tcW w:w="4410" w:type="dxa"/>
            <w:textDirection w:val="lrTb"/>
            <w:noWrap/>
          </w:tcPr>
          <w:p>
            <w:pPr>
              <w:ind w:firstLine="474"/>
              <w:jc w:val="both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Вывезено, тыс. тонн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-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-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-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-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-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-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-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283"/>
        </w:trPr>
        <w:tc>
          <w:tcPr>
            <w:shd w:val="clear" w:color="auto" w:fill="auto"/>
            <w:tcW w:w="4410" w:type="dxa"/>
            <w:textDirection w:val="lrTb"/>
            <w:noWrap/>
          </w:tcPr>
          <w:p>
            <w:pPr>
              <w:ind w:firstLine="474"/>
              <w:jc w:val="both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Переработано, тыс. тонн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-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-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-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-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276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-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134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-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-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283"/>
        </w:trPr>
        <w:tc>
          <w:tcPr>
            <w:shd w:val="clear" w:color="auto" w:fill="auto"/>
            <w:tcW w:w="4410" w:type="dxa"/>
            <w:textDirection w:val="lrTb"/>
            <w:noWrap/>
          </w:tcPr>
          <w:p>
            <w:pPr>
              <w:ind w:firstLine="474"/>
              <w:jc w:val="both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Мощности, тыс. тонн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176,70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194,70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194,7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194,7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194,7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194,7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194,7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789"/>
        </w:trPr>
        <w:tc>
          <w:tcPr>
            <w:shd w:val="clear" w:color="auto" w:fill="auto"/>
            <w:tcW w:w="4410" w:type="dxa"/>
            <w:textDirection w:val="lrTb"/>
            <w:noWrap/>
          </w:tcPr>
          <w:p>
            <w:pPr>
              <w:jc w:val="both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Уровень использования среднегодовой производственной мощности, % 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35,7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33,13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33,13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33,13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33,13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33,13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33,13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160"/>
        </w:trPr>
        <w:tc>
          <w:tcPr>
            <w:gridSpan w:val="8"/>
            <w:shd w:val="clear" w:color="auto" w:fill="auto"/>
            <w:tcW w:w="14190" w:type="dxa"/>
            <w:textDirection w:val="lrTb"/>
            <w:noWrap/>
          </w:tcPr>
          <w:p>
            <w:pPr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Мука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283"/>
        </w:trPr>
        <w:tc>
          <w:tcPr>
            <w:shd w:val="clear" w:color="auto" w:fill="auto"/>
            <w:tcW w:w="4410" w:type="dxa"/>
            <w:vAlign w:val="center"/>
            <w:textDirection w:val="lrTb"/>
            <w:noWrap/>
          </w:tcPr>
          <w:p>
            <w:pPr>
              <w:ind w:firstLine="474"/>
              <w:jc w:val="both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Произведено, тыс. тонн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154,1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155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155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155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155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155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180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283"/>
        </w:trPr>
        <w:tc>
          <w:tcPr>
            <w:shd w:val="clear" w:color="auto" w:fill="auto"/>
            <w:tcW w:w="4410" w:type="dxa"/>
            <w:vAlign w:val="center"/>
            <w:textDirection w:val="lrTb"/>
            <w:noWrap/>
          </w:tcPr>
          <w:p>
            <w:pPr>
              <w:ind w:firstLine="474"/>
              <w:jc w:val="both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Вывезено, тыс. тонн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41,4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12,6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12,6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12,6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12,6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12,6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12,6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283"/>
        </w:trPr>
        <w:tc>
          <w:tcPr>
            <w:shd w:val="clear" w:color="auto" w:fill="auto"/>
            <w:tcW w:w="4410" w:type="dxa"/>
            <w:vAlign w:val="center"/>
            <w:textDirection w:val="lrTb"/>
            <w:noWrap/>
          </w:tcPr>
          <w:p>
            <w:pPr>
              <w:ind w:firstLine="474"/>
              <w:jc w:val="both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Ввезено, тыс. тонн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12,6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41,4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41,4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41,4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41,4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41,4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41,4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283"/>
        </w:trPr>
        <w:tc>
          <w:tcPr>
            <w:shd w:val="clear" w:color="auto" w:fill="auto"/>
            <w:tcW w:w="4410" w:type="dxa"/>
            <w:vAlign w:val="center"/>
            <w:textDirection w:val="lrTb"/>
            <w:noWrap/>
          </w:tcPr>
          <w:p>
            <w:pPr>
              <w:ind w:firstLine="474"/>
              <w:jc w:val="both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Переработано, тыс. тонн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-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-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-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-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276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-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134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-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-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228"/>
        </w:trPr>
        <w:tc>
          <w:tcPr>
            <w:shd w:val="clear" w:color="auto" w:fill="auto"/>
            <w:tcW w:w="4410" w:type="dxa"/>
            <w:vAlign w:val="center"/>
            <w:textDirection w:val="lrTb"/>
            <w:noWrap/>
          </w:tcPr>
          <w:p>
            <w:pPr>
              <w:ind w:firstLine="474"/>
              <w:jc w:val="both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Мощности, тыс. тонн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193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193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193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193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193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193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209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275"/>
        </w:trPr>
        <w:tc>
          <w:tcPr>
            <w:shd w:val="clear" w:color="auto" w:fill="auto"/>
            <w:tcW w:w="4410" w:type="dxa"/>
            <w:vAlign w:val="center"/>
            <w:textDirection w:val="lrTb"/>
            <w:noWrap/>
          </w:tcPr>
          <w:p>
            <w:pPr>
              <w:jc w:val="both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Уровень использования среднегодовой производственной мощности, % 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79,9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80,31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80,31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80,31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80,31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80,31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right"/>
              <w:spacing w:after="0" w:line="276" w:lineRule="auto"/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  <w:t xml:space="preserve">86,12</w:t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  <w:r>
              <w:rPr>
                <w:rFonts w:ascii="Times New Roman" w:hAnsi="Times New Roman" w:eastAsia="PT Astra Serif" w:cs="Times New Roman"/>
                <w:color w:val="000000"/>
                <w14:ligatures w14:val="none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jc w:val="both"/>
        <w:pageBreakBefore/>
        <w:spacing w:before="0" w:beforeAutospacing="0" w:after="0" w:afterAutospacing="0"/>
        <w:rPr>
          <w:caps/>
          <w:sz w:val="28"/>
        </w:rPr>
      </w:pPr>
      <w:r/>
      <w:bookmarkStart w:id="62" w:name="_Toc176798845"/>
      <w:r>
        <w:rPr>
          <w:caps/>
          <w:sz w:val="28"/>
        </w:rPr>
        <w:t xml:space="preserve">ПРИЛОЖЕНИЕ 3. </w:t>
      </w:r>
      <w:r>
        <w:rPr>
          <w:sz w:val="28"/>
        </w:rPr>
        <w:t xml:space="preserve">Прогнозные показатели Чувашской Республики по развитию экспортного потенциала, тыс. долл. США</w:t>
      </w:r>
      <w:bookmarkEnd w:id="62"/>
      <w:r>
        <w:rPr>
          <w:caps/>
          <w:sz w:val="28"/>
        </w:rPr>
      </w:r>
      <w:r>
        <w:rPr>
          <w:caps/>
          <w:sz w:val="28"/>
        </w:rPr>
      </w:r>
    </w:p>
    <w:tbl>
      <w:tblPr>
        <w:tblStyle w:val="1022"/>
        <w:tblW w:w="14734" w:type="dxa"/>
        <w:tblLook w:val="04A0" w:firstRow="1" w:lastRow="0" w:firstColumn="1" w:lastColumn="0" w:noHBand="0" w:noVBand="1"/>
      </w:tblPr>
      <w:tblGrid>
        <w:gridCol w:w="5460"/>
        <w:gridCol w:w="1336"/>
        <w:gridCol w:w="1134"/>
        <w:gridCol w:w="1134"/>
        <w:gridCol w:w="1134"/>
        <w:gridCol w:w="1134"/>
        <w:gridCol w:w="1134"/>
        <w:gridCol w:w="1134"/>
        <w:gridCol w:w="1134"/>
      </w:tblGrid>
      <w:tr>
        <w:tblPrEx/>
        <w:trPr>
          <w:trHeight w:val="408"/>
          <w:tblHeader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2023 (факт)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2028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2029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  <w:t xml:space="preserve">Чувашская Республика, всего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  <w:t xml:space="preserve">51 282,0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  <w:t xml:space="preserve">47 600,0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  <w:t xml:space="preserve">56 172,3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  <w:t xml:space="preserve">60 104,4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  <w:t xml:space="preserve">64 311,7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  <w:t xml:space="preserve">68 813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  <w:t xml:space="preserve">73 630,4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  <w:t xml:space="preserve">78 784,6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0207 Мясо птицы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12 733,9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12 530,5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14 156,7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15 147,6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16 208,0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17 343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18 556,5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19 855,5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1905 Хлеб, мучные кондитерские изделия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11 596,5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9 806,7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12 892,2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13 794,6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14 760,2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15 793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16 899,0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18 081,9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1806 Шоколад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8 192,6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8 012,1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9 108,0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9 745,6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10 427,7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11 158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11 938,7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12 774,4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0901 Кофе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5 476,1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4 880,4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6 087,9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6 514,1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6 970,1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7 458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7 980,0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8 538,6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1207 Семена и плоды пр. масличных культур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3 363,1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2 723,9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3 738,9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4 000,6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4 280,6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4 580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4 900,9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5 244,0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1704 Кондитерские изделия из сахара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2 837,3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2 647,9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3 154,3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3 375,1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3 611,3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3 864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4 134,6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4 424,1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1204 Семена льна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2 299,3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2 029,0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2 556,2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2 735,1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2 926,6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3 131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3 350,7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3 585,2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2101 Экстракты, эссенции и концентраты кофе, чая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924,4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960,4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1 027,7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1 099,6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1 176,6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1 259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1 347,1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1 441,4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0703 Лук репчатый, чеснок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660,5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686,2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734,3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785,7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840,7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900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962,5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1 029,9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1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1214 Брюква, корнеплоды кормовые, сено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446,2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463,6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496,1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530,8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567,9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608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650,2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695,8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1512 Масло подсолнечное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349,9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363,5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388,9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416,2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445,3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476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509,8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545,5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2105 Мороженое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318,1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330,5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353,6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378,4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404,9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433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463,5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496,0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1001 Пшеница и меслин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310,5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322,6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369,3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395,2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423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452,4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484,1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0407 Яйца птиц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234,2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243,3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260,3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278,6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298,1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319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341,2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365,1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2208 Крепкие спиртные напитки, 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215,9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224,3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240,0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256,8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274,8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294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314,6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336,6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0105 Домашняя птица живая, шт.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213,4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221,7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237,2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253,8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271,6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310,9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332,7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1209 Семена, плоды и споры для посева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185,5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192,7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206,2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220,6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236,1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253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270,3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289,2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1101 Мука пшеничная или пшенично-ржаная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169,7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176,4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188,7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201,9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216,0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231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247,4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264,7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2106 Пищевые продукты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124,1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128,9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137,9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147,6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157,9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169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180,8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193,5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2302 Отруби, высевки, 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месятки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108,4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112,6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120,5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128,9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137,9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148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157,9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168,9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0701 Картофель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102,4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106,4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113,9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121,8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130,4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139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149,3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159,7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2309 Продукты для кормления животных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79,4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82,5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88,3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94,4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101,0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115,7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123,8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0602 Пр. живые растения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56,3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58,5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62,6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67,0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71,7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77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82,1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87,8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2202 Воды минеральные с добавлением сахара, 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47,9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51,3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54,9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58,7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63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67,2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71,9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1515 Пр. раст. жиры, включая масло жожоба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43,8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45,5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48,7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52,1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55,7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63,8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68,3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2203 Пиво солодовое, 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40,3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41,8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44,8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47,9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51,2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55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58,7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62,8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1003 Ячмень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40,1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41,6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44,6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47,7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51,0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55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58,4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62,5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2103 Продукты для приготовления соусов и готовые соусы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32,9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34,1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36,5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39,1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41,8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47,9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51,2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0713 Овощи бобовые сушеные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26,0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27,8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31,8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36,5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1107 Солод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15,2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15,8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16,9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22,2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23,7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0401 Молоко и сливки, несгущенные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12,3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12,8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13,7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14,7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15,7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19,2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1008 Гречиха, просо и семена канареечника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5,8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6,0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6,9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7,4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8,5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Прочие пищевые продукты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23,9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25,6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27,4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29,3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31,3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33,5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35,9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  <w:sectPr>
          <w:footnotePr/>
          <w:endnotePr/>
          <w:type w:val="nextPage"/>
          <w:pgSz w:w="16838" w:h="11906" w:orient="landscape"/>
          <w:pgMar w:top="1701" w:right="1134" w:bottom="567" w:left="1134" w:header="708" w:footer="708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jc w:val="both"/>
        <w:pageBreakBefore/>
        <w:spacing w:before="0" w:beforeAutospacing="0" w:after="0" w:afterAutospacing="0"/>
        <w:rPr>
          <w:rFonts w:ascii="Times New Roman Полужирный" w:hAnsi="Times New Roman Полужирный"/>
          <w:sz w:val="28"/>
        </w:rPr>
      </w:pPr>
      <w:r/>
      <w:bookmarkStart w:id="63" w:name="_Toc176798846"/>
      <w:r>
        <w:rPr>
          <w:caps/>
          <w:sz w:val="28"/>
        </w:rPr>
        <w:t xml:space="preserve">ПРИЛОЖЕНИЕ </w:t>
      </w:r>
      <w:r>
        <w:rPr>
          <w:caps/>
          <w:sz w:val="28"/>
        </w:rPr>
        <w:t xml:space="preserve">4</w:t>
      </w:r>
      <w:r>
        <w:rPr>
          <w:caps/>
          <w:sz w:val="28"/>
        </w:rPr>
        <w:t xml:space="preserve">. </w:t>
      </w:r>
      <w:r>
        <w:rPr>
          <w:rFonts w:ascii="Times New Roman Полужирный" w:hAnsi="Times New Roman Полужирный"/>
          <w:sz w:val="28"/>
        </w:rPr>
        <w:t xml:space="preserve">Перечень рисков и угроз, влияющих на развитие АПК Чувашской Республики</w:t>
      </w:r>
      <w:bookmarkEnd w:id="63"/>
      <w:r>
        <w:rPr>
          <w:rFonts w:ascii="Times New Roman Полужирный" w:hAnsi="Times New Roman Полужирный"/>
          <w:sz w:val="28"/>
        </w:rPr>
      </w:r>
      <w:r>
        <w:rPr>
          <w:rFonts w:ascii="Times New Roman Полужирный" w:hAnsi="Times New Roman Полужирный"/>
          <w:sz w:val="28"/>
        </w:rPr>
      </w:r>
    </w:p>
    <w:tbl>
      <w:tblPr>
        <w:tblW w:w="148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7"/>
        <w:gridCol w:w="2693"/>
        <w:gridCol w:w="4394"/>
        <w:gridCol w:w="1701"/>
        <w:gridCol w:w="1842"/>
        <w:gridCol w:w="1702"/>
      </w:tblGrid>
      <w:tr>
        <w:tblPrEx/>
        <w:trPr>
          <w:trHeight w:val="20"/>
          <w:tblHeader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47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риска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фактора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Вероятность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Последствия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2547" w:type="dxa"/>
            <w:vAlign w:val="center"/>
            <w:vMerge w:val="restart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Экономические риски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Сокращение сельского населения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угрозы, обусловленные снижением привлекательности сельского образа жизни и сокращением численности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single" w:color="auto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Внутренний фактор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Вероятно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Умеренное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2547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Низкая покупательская способность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Низкий уровень покупательной способности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right w:val="single" w:color="auto" w:sz="4" w:space="0"/>
            </w:tcBorders>
            <w:tcW w:w="1701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Возможно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Умеренное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2547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Дефицит финансирования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Недостаточность финансирования отечественной отраслевой науки и, как следствие, ограничения по осуществлению и расширению исследований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right w:val="single" w:color="auto" w:sz="4" w:space="0"/>
            </w:tcBorders>
            <w:tcW w:w="1701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Возможно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Небольшое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2547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Дефицит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Недостаточная обеспеченность простыми и высококвалифицированными кадрами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right w:val="single" w:color="auto" w:sz="4" w:space="0"/>
            </w:tcBorders>
            <w:tcW w:w="1701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Очень вероятно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Значительное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47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Деградация земель сельскохозяйственного назначения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ind w:left="57" w:right="57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плодородия почвы, распространение инвазивных видов растений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right w:val="single" w:color="auto" w:sz="4" w:space="0"/>
            </w:tcBorders>
            <w:tcW w:w="1701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Возможно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Значительное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54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2547" w:type="dxa"/>
            <w:vAlign w:val="center"/>
            <w:vMerge w:val="restart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Технологические риски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Устаревание инфраструктуры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Неудовлетворительная динамика обновления логистической инфраструктуры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right w:val="single" w:color="auto" w:sz="4" w:space="0"/>
            </w:tcBorders>
            <w:tcW w:w="1701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Возможно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Значительное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47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Дефицит технологий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Недостаточная обеспеченность оборудованием и запасными частями к нему, упаковочными материалами, а также отдельными компонентами (витамины, аминокислоты, минеральные вещества, семена и др.)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right w:val="single" w:color="auto" w:sz="4" w:space="0"/>
            </w:tcBorders>
            <w:tcW w:w="1701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Очень вероятно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Существенное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47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Климатические и агроэкологические угрозы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Климатические риски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температуры, нормы осадков, возможности наводнений, пожаров и других экологических факторов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Маловероятно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Умеренное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47" w:type="dxa"/>
            <w:vAlign w:val="center"/>
            <w:vMerge w:val="restart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Внешнеполитический риск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Зависимость от импорта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Зависимость от импорта семенного и генетического материала, оборудования и технологий, а также сырья (по отдельным направлениям)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Внешний фактор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Очень вероятно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Значительное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547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Зависимость от рынков сбыта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Географическая концентрация экспорта в страны Азиатско-Тихоокеанского региона продукции рыбохозяйственного комплекса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701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Крайне маловероятно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Небольшое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47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Торговые барьеры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Торговые барьеры, внедрение глобальными конкурентами инструментов ограничения доступа отечественной продукции на основные рынки сбыта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right w:val="single" w:color="auto" w:sz="4" w:space="0"/>
            </w:tcBorders>
            <w:tcW w:w="1701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Очень вероятно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Значительное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47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Ветеринарные и фитосанитарные риски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Ветеринарные и ФС риски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Биологические угрозы, связанные с возникновением и распространением ранее не регистрировавшихся на территории Российской Федерации массовых заразных болезней животных, а также с распространением вредителей и болезней растений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Маловероятно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Умеренное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jc w:val="both"/>
        <w:pageBreakBefore/>
        <w:spacing w:before="0" w:beforeAutospacing="0" w:after="0" w:afterAutospacing="0"/>
        <w:rPr>
          <w:rFonts w:ascii="Times New Roman Полужирный" w:hAnsi="Times New Roman Полужирный"/>
          <w:sz w:val="28"/>
        </w:rPr>
      </w:pPr>
      <w:r/>
      <w:bookmarkStart w:id="64" w:name="_Toc176798847"/>
      <w:r>
        <w:rPr>
          <w:caps/>
          <w:sz w:val="28"/>
        </w:rPr>
        <w:t xml:space="preserve">Приложение </w:t>
      </w:r>
      <w:r>
        <w:rPr>
          <w:caps/>
          <w:sz w:val="28"/>
        </w:rPr>
        <w:t xml:space="preserve">5</w:t>
      </w:r>
      <w:r>
        <w:rPr>
          <w:caps/>
          <w:sz w:val="28"/>
        </w:rPr>
        <w:t xml:space="preserve">. </w:t>
      </w:r>
      <w:r>
        <w:rPr>
          <w:rFonts w:ascii="Times New Roman Полужирный" w:hAnsi="Times New Roman Полужирный"/>
          <w:sz w:val="28"/>
        </w:rPr>
        <w:t xml:space="preserve">Общие показатели развития сельского хозяйства в Чувашской Республике до 2030 года</w:t>
      </w:r>
      <w:bookmarkEnd w:id="64"/>
      <w:r>
        <w:rPr>
          <w:rFonts w:ascii="Times New Roman Полужирный" w:hAnsi="Times New Roman Полужирный"/>
          <w:sz w:val="28"/>
        </w:rPr>
      </w:r>
      <w:r>
        <w:rPr>
          <w:rFonts w:ascii="Times New Roman Полужирный" w:hAnsi="Times New Roman Полужирный"/>
          <w:sz w:val="28"/>
        </w:rPr>
      </w:r>
    </w:p>
    <w:tbl>
      <w:tblPr>
        <w:tblW w:w="4982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3187"/>
        <w:gridCol w:w="1101"/>
        <w:gridCol w:w="1309"/>
        <w:gridCol w:w="1216"/>
        <w:gridCol w:w="1132"/>
        <w:gridCol w:w="1413"/>
        <w:gridCol w:w="1384"/>
        <w:gridCol w:w="1166"/>
        <w:gridCol w:w="1413"/>
        <w:gridCol w:w="1187"/>
      </w:tblGrid>
      <w:tr>
        <w:tblPrEx/>
        <w:trPr>
          <w:trHeight w:val="52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8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Ед. изм.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2026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2027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2028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2029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2030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2030 год в % к 2024 году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8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Валовая продукция сельского хозяйства в фактически действующих ценах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тыс. руб.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68 300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72 128,6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76 582,4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81 549,2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87 177,1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91 548,2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96 238,2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140,9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8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темп роста к предыдущему году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%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105,6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106,2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106,5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106,9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105,1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8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Валовая продукция растениеводства в фактически действующих ценах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тыс. руб.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37 685,0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39 797,8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42 255,2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44 995,6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48 100,9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50 512,7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53 100,5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140,9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8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темп роста к предыдущему году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%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105,6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106,2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106,5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106,9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105,1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8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Валовая продукция животноводства в фактически действующих ценах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тыс. руб.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30 615,0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32 330,9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34 327,3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36 553,6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39 076,2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41 035,5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43 137,8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140,9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8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темп роста к предыдущему году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%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105,6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106,2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106,5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106,9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105,1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8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Сумма уплаченных налогов организациями АПК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тыс. руб.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11 607 267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12 187 630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12 797 012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13 436 862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14 108 706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14 814 141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15 554 848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134,0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8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Численность работников сельскохозяйственных организаций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человек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8 558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8 566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8 575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8 583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8 592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8 600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8 609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100,6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8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Среднемесячная заработная плата в сельхозорганизациях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рублей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40 203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43 218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46 459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49 943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53 689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57 716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62 045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154,3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51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8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Индекс производства продукции сельского хозяйства в хозяйствах всех категорий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%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101,7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100,9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102,5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103,3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103,5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101,1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114,2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51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8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Производство продукции сельского хозяйства на душу населения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тыс. руб./чел.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58,5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62,4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66,8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71,8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77,2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81,5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86,1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147,2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  <w:sectPr>
          <w:footnotePr/>
          <w:endnotePr/>
          <w:type w:val="nextPage"/>
          <w:pgSz w:w="16838" w:h="11906" w:orient="landscape"/>
          <w:pgMar w:top="1701" w:right="1134" w:bottom="850" w:left="1134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jc w:val="both"/>
        <w:pageBreakBefore/>
        <w:spacing w:before="0" w:beforeAutospacing="0" w:after="0" w:afterAutospacing="0"/>
        <w:rPr>
          <w:rFonts w:ascii="Times New Roman Полужирный" w:hAnsi="Times New Roman Полужирный"/>
          <w:sz w:val="28"/>
        </w:rPr>
      </w:pPr>
      <w:r/>
      <w:bookmarkStart w:id="65" w:name="_Toc176798848"/>
      <w:r>
        <w:rPr>
          <w:caps/>
          <w:sz w:val="28"/>
        </w:rPr>
        <w:t xml:space="preserve">Приложение </w:t>
      </w:r>
      <w:r>
        <w:rPr>
          <w:caps/>
          <w:sz w:val="28"/>
        </w:rPr>
        <w:t xml:space="preserve">6</w:t>
      </w:r>
      <w:r>
        <w:rPr>
          <w:caps/>
          <w:sz w:val="28"/>
        </w:rPr>
        <w:t xml:space="preserve">. </w:t>
      </w:r>
      <w:r>
        <w:rPr>
          <w:rFonts w:ascii="Times New Roman Полужирный" w:hAnsi="Times New Roman Полужирный"/>
          <w:sz w:val="28"/>
        </w:rPr>
        <w:t xml:space="preserve">Целевые показатели стратегии развития АПК в Чувашской Республике до 2030 года</w:t>
      </w:r>
      <w:bookmarkEnd w:id="65"/>
      <w:r>
        <w:rPr>
          <w:rFonts w:ascii="Times New Roman Полужирный" w:hAnsi="Times New Roman Полужирный"/>
          <w:sz w:val="28"/>
        </w:rPr>
        <w:t xml:space="preserve"> </w:t>
      </w:r>
      <w:r>
        <w:rPr>
          <w:rFonts w:ascii="Times New Roman Полужирный" w:hAnsi="Times New Roman Полужирный"/>
          <w:sz w:val="28"/>
        </w:rPr>
      </w:r>
      <w:r>
        <w:rPr>
          <w:rFonts w:ascii="Times New Roman Полужирный" w:hAnsi="Times New Roman Полужирный"/>
          <w:sz w:val="28"/>
        </w:rPr>
      </w:r>
    </w:p>
    <w:p>
      <w:pPr>
        <w:pStyle w:val="771"/>
        <w:jc w:val="both"/>
        <w:spacing w:before="0" w:beforeAutospacing="0" w:after="0" w:afterAutospacing="0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tbl>
      <w:tblPr>
        <w:tblStyle w:val="1022"/>
        <w:tblW w:w="5000" w:type="pct"/>
        <w:tblLayout w:type="fixed"/>
        <w:tblLook w:val="04A0" w:firstRow="1" w:lastRow="0" w:firstColumn="1" w:lastColumn="0" w:noHBand="0" w:noVBand="1"/>
      </w:tblPr>
      <w:tblGrid>
        <w:gridCol w:w="3059"/>
        <w:gridCol w:w="5752"/>
        <w:gridCol w:w="1706"/>
        <w:gridCol w:w="1706"/>
        <w:gridCol w:w="2337"/>
      </w:tblGrid>
      <w:tr>
        <w:tblPrEx/>
        <w:trPr>
          <w:trHeight w:val="20"/>
          <w:tblHeader/>
        </w:trPr>
        <w:tc>
          <w:tcPr>
            <w:tcW w:w="30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показатели (индикатора)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Ед. изм.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gridSpan w:val="5"/>
            <w:tcW w:w="1456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Базовый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сценарий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restart"/>
            <w:textDirection w:val="lrTb"/>
            <w:noWrap w:val="false"/>
          </w:tcPr>
          <w:p>
            <w:pPr>
              <w:pStyle w:val="1025"/>
              <w:numPr>
                <w:ilvl w:val="0"/>
                <w:numId w:val="16"/>
              </w:numPr>
              <w:ind w:left="313" w:hanging="284"/>
              <w:jc w:val="both"/>
            </w:pPr>
            <w:r>
              <w:t xml:space="preserve">Обеспечение продовольственной безопасности Республики</w:t>
            </w:r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Индекс производства по виду деятельности «Производство пищевых продуктов»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Индекс производства по виду деятельности «Производство напитков»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106,89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Урожайность зерновых с одного гектара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ц/га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Надой молока на 1 корову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7 197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5752" w:type="dxa"/>
            <w:vMerge w:val="restart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Доля племенного скота</w:t>
            </w:r>
            <w:r/>
          </w:p>
        </w:tc>
        <w:tc>
          <w:tcPr>
            <w:tcW w:w="170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vMerge w:val="restart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vMerge w:val="restart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57%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restart"/>
            <w:textDirection w:val="lrTb"/>
            <w:noWrap w:val="false"/>
          </w:tcPr>
          <w:p>
            <w:pPr>
              <w:pStyle w:val="1025"/>
              <w:numPr>
                <w:ilvl w:val="0"/>
                <w:numId w:val="16"/>
              </w:numPr>
              <w:ind w:left="313" w:hanging="284"/>
              <w:jc w:val="both"/>
            </w:pPr>
            <w:r>
              <w:t xml:space="preserve">Увеличение произведенной добавленной стоимости АПК Республики</w:t>
            </w:r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Внесение минеральных удобрений в пересчете на 100 процентов питательных веществ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тонн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Внесение минеральных удобрений на 1 гектар посева сельскохозяйственных культур в пересчете на 100 процентов питательных веществ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Площадь, удобренная минеральными удобрениями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Внесение органических удобрений на 1 гектар посева сельскохозяйственных культур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2,85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2,95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Площадь, удобренная органическими удобрениями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Внесение известняковой муки и других известковых материалов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тонн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Площадь проведения известкования кислых почв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Оборот организаций (без субъектов малого предпринимательства, бюджетных организаций, банков, страховых и прочих финансово-кредитных организаций) по виду деятельности «Сельское, лесное хозяйство, охота, рыболовство и рыбоводство»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млн 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14 015,6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18 992,8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vMerge w:val="restart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Энергообеспеченность </w:t>
            </w:r>
            <w:r/>
          </w:p>
        </w:tc>
        <w:tc>
          <w:tcPr>
            <w:tcW w:w="170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л.с. на 100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посевной площади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vMerge w:val="restart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vMerge w:val="restart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vMerge w:val="restart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Доля посевов элитных семян</w:t>
            </w:r>
            <w:r/>
          </w:p>
        </w:tc>
        <w:tc>
          <w:tcPr>
            <w:tcW w:w="170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vMerge w:val="restart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vMerge w:val="restart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vMerge w:val="restart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Доля посевов отечественных семян, %</w:t>
            </w:r>
            <w:r/>
          </w:p>
        </w:tc>
        <w:tc>
          <w:tcPr>
            <w:tcW w:w="170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vMerge w:val="restart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vMerge w:val="restart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restart"/>
            <w:textDirection w:val="lrTb"/>
            <w:noWrap w:val="false"/>
          </w:tcPr>
          <w:p>
            <w:pPr>
              <w:pStyle w:val="1025"/>
              <w:numPr>
                <w:ilvl w:val="0"/>
                <w:numId w:val="16"/>
              </w:numPr>
              <w:ind w:left="313" w:hanging="284"/>
              <w:jc w:val="both"/>
            </w:pPr>
            <w:r>
              <w:t xml:space="preserve">Увеличение объема инвестиций в агропромышленном комплексе</w:t>
            </w:r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Объем инвестиций в основной капитал по виду деятельности «Сельское, лесное хозяйство, охота, рыболовство и рыбоводство»</w:t>
            </w:r>
            <w:r/>
          </w:p>
        </w:tc>
        <w:tc>
          <w:tcPr>
            <w:tcW w:w="170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млн 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vMerge w:val="restart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6 157,6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vMerge w:val="restart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15 914,9 (нарастающим итогом с 2025 года)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Объем инвестиций в основной капитал по виду деятельности «Производство пищевых продуктов»</w:t>
            </w:r>
            <w:r/>
          </w:p>
        </w:tc>
        <w:tc>
          <w:tcPr>
            <w:tcW w:w="1706" w:type="dxa"/>
            <w:vAlign w:val="center"/>
            <w:vMerge w:val="continue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vMerge w:val="continue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vMerge w:val="continue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textDirection w:val="lrTb"/>
            <w:noWrap w:val="false"/>
          </w:tcPr>
          <w:p>
            <w:pPr>
              <w:pStyle w:val="1025"/>
              <w:numPr>
                <w:ilvl w:val="0"/>
                <w:numId w:val="16"/>
              </w:numPr>
              <w:ind w:left="313" w:hanging="284"/>
              <w:jc w:val="both"/>
            </w:pPr>
            <w:r>
              <w:t xml:space="preserve">Увеличение объема экспорта продукции агропромышленного комплекса Республики</w:t>
            </w:r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Экспорт продукции АПК Республики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млн долл. США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51,28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76,92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restart"/>
            <w:textDirection w:val="lrTb"/>
            <w:noWrap w:val="false"/>
          </w:tcPr>
          <w:p>
            <w:pPr>
              <w:pStyle w:val="1025"/>
              <w:numPr>
                <w:ilvl w:val="0"/>
                <w:numId w:val="16"/>
              </w:numPr>
              <w:ind w:left="313" w:hanging="284"/>
              <w:jc w:val="both"/>
            </w:pPr>
            <w:r>
              <w:t xml:space="preserve">Сохранение доли сельского населения в общей численности населения Республики</w:t>
            </w:r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Численность сельского населения Республики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418,7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418,7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Доля сельского населения в общей численности населения Республики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Среднемесячные располагаемые ресурсы сельского и городского домохозяйств на члена домохозяйства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21 917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25 970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Соотношение среднемесячных располагаемых ресурсов сельского и городского домохозяйств на члена домохозяйства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79,58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79,58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Доля площади жилых помещений в сельских населенных пунктах, обустроенных водопроводом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47,10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52,68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Доля площади жилых помещений в сельских населенных пунктах, обустроенных водоотведением (канализацией)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37,60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Доля площади жилых помещений в сельских населенных пунктах, обустроенных отоплением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93,41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94,36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Среднемесячная номинальная начисленная заработная плата работников по полному кругу по виду деятельности «Сельское, лесное хозяйство, охота, рыболовство и рыбоводство»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48 843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65 582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Среднемесячная номинальная начисленная заработная плата работников по полному кругу по виду деятельности «Производство пищевых продуктов»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50 838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66 124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Среднемесячная номинальная начисленная заработная плата работников по полному кругу по виду деятельности «Производство напитков»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57 824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72 263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restart"/>
            <w:textDirection w:val="lrTb"/>
            <w:noWrap w:val="false"/>
          </w:tcPr>
          <w:p>
            <w:pPr>
              <w:pStyle w:val="1025"/>
              <w:numPr>
                <w:ilvl w:val="0"/>
                <w:numId w:val="16"/>
              </w:numPr>
              <w:ind w:left="313" w:hanging="284"/>
              <w:jc w:val="both"/>
            </w:pPr>
            <w:r>
              <w:t xml:space="preserve">Эффективное вовлечение в оборот земель сельскохозяйственного назначения Республики</w:t>
            </w:r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Площадь земель сельскохозяйственного назначения Республики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 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1 005,0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Площадь необрабатываемых земель сельскохозяйственного назначения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 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Площадь вовлеченных в оборот необрабатываемых земель сельскохозяйственного назначения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 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059" w:type="dxa"/>
            <w:vMerge w:val="continue"/>
            <w:textDirection w:val="lrTb"/>
            <w:noWrap w:val="false"/>
          </w:tcPr>
          <w:p>
            <w:pPr>
              <w:pStyle w:val="1025"/>
              <w:numPr>
                <w:ilvl w:val="0"/>
                <w:numId w:val="16"/>
              </w:numPr>
              <w:ind w:left="313" w:hanging="284"/>
              <w:jc w:val="both"/>
            </w:pPr>
            <w:r/>
            <w:r/>
          </w:p>
        </w:tc>
        <w:tc>
          <w:tcPr>
            <w:shd w:val="clear" w:color="auto" w:fill="auto"/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rPr>
                <w:color w:val="000000"/>
              </w:rPr>
              <w:t xml:space="preserve">Реконструкция межхозяйственных оросительных систем федеральной собственности</w:t>
            </w:r>
            <w:r>
              <w:t xml:space="preserve"> (нарастающим итогом)</w:t>
            </w:r>
            <w:r/>
          </w:p>
        </w:tc>
        <w:tc>
          <w:tcPr>
            <w:shd w:val="clear" w:color="auto" w:fill="auto"/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0,19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1,492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restart"/>
            <w:textDirection w:val="lrTb"/>
            <w:noWrap w:val="false"/>
          </w:tcPr>
          <w:p>
            <w:pPr>
              <w:pStyle w:val="1025"/>
              <w:numPr>
                <w:ilvl w:val="0"/>
                <w:numId w:val="16"/>
              </w:numPr>
              <w:ind w:left="313" w:hanging="284"/>
              <w:jc w:val="both"/>
            </w:pPr>
            <w:r>
              <w:t xml:space="preserve">Отраслевая специализация региона в отрасли хмелеводства</w:t>
            </w:r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hanging="720"/>
              <w:jc w:val="both"/>
              <w:tabs>
                <w:tab w:val="left" w:pos="601" w:leader="none"/>
              </w:tabs>
            </w:pPr>
            <w:r>
              <w:t xml:space="preserve"> Площадь под сортовыми насаждениями хмеля (в плодоносящем возрасте)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1 093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Валовый сбор товарного хмеля 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292,3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2 022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6"/>
              </w:numPr>
              <w:ind w:left="34" w:firstLine="0"/>
              <w:jc w:val="both"/>
              <w:tabs>
                <w:tab w:val="left" w:pos="601" w:leader="none"/>
              </w:tabs>
            </w:pPr>
            <w:r>
              <w:t xml:space="preserve">Интродукция сортов хмеля зарубежной селекции с высокими качественными характеристиками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gridSpan w:val="5"/>
            <w:tcW w:w="1456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II. Пессимистический сценарий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restart"/>
            <w:textDirection w:val="lrTb"/>
            <w:noWrap w:val="false"/>
          </w:tcPr>
          <w:p>
            <w:pPr>
              <w:pStyle w:val="1025"/>
              <w:numPr>
                <w:ilvl w:val="0"/>
                <w:numId w:val="17"/>
              </w:numPr>
              <w:ind w:left="313" w:hanging="284"/>
              <w:jc w:val="both"/>
            </w:pPr>
            <w:r>
              <w:t xml:space="preserve">Обеспечение продовольственной </w:t>
            </w:r>
            <w:r>
              <w:t xml:space="preserve">безопасности Республики</w:t>
            </w:r>
            <w:r/>
          </w:p>
          <w:p>
            <w:pPr>
              <w:ind w:left="313"/>
              <w:jc w:val="both"/>
            </w:pPr>
            <w:r/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Индекс производства по виду деятельности «Производство пищевых продуктов»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100,54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100,5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pStyle w:val="1025"/>
              <w:numPr>
                <w:ilvl w:val="0"/>
                <w:numId w:val="17"/>
              </w:numPr>
              <w:ind w:left="313" w:hanging="284"/>
              <w:jc w:val="both"/>
            </w:pPr>
            <w:r/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Индекс производства по виду деятельности «Производство напитков»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104,4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105,6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pStyle w:val="1025"/>
              <w:numPr>
                <w:ilvl w:val="0"/>
                <w:numId w:val="17"/>
              </w:numPr>
              <w:ind w:left="313" w:hanging="284"/>
              <w:jc w:val="both"/>
            </w:pPr>
            <w:r/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Урожайность зерновых с одного гектара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ц/га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33,5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33,9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pStyle w:val="1025"/>
              <w:numPr>
                <w:ilvl w:val="0"/>
                <w:numId w:val="17"/>
              </w:numPr>
              <w:ind w:left="313" w:hanging="284"/>
              <w:jc w:val="both"/>
            </w:pPr>
            <w:r/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Надой молока на 1 корову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7 197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8 009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9"/>
        </w:trPr>
        <w:tc>
          <w:tcPr>
            <w:tcW w:w="30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5752" w:type="dxa"/>
            <w:vMerge w:val="restart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Доля племенного скота</w:t>
            </w:r>
            <w:r/>
          </w:p>
        </w:tc>
        <w:tc>
          <w:tcPr>
            <w:tcW w:w="170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vMerge w:val="restart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vMerge w:val="restart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restart"/>
            <w:textDirection w:val="lrTb"/>
            <w:noWrap w:val="false"/>
          </w:tcPr>
          <w:p>
            <w:pPr>
              <w:pStyle w:val="1025"/>
              <w:numPr>
                <w:ilvl w:val="0"/>
                <w:numId w:val="17"/>
              </w:numPr>
              <w:ind w:left="313" w:hanging="284"/>
              <w:jc w:val="both"/>
            </w:pPr>
            <w:r>
              <w:t xml:space="preserve">Увеличение произведенной добавленной стоимости АПК Республики</w:t>
            </w:r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Внесение минеральных удобрений в пересчете на 100 процентов питательных веществ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тонн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28,9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pStyle w:val="1025"/>
              <w:numPr>
                <w:ilvl w:val="0"/>
                <w:numId w:val="17"/>
              </w:numPr>
              <w:ind w:left="313" w:hanging="284"/>
              <w:jc w:val="both"/>
            </w:pPr>
            <w:r/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Внесение минеральных удобрений на 1 гектар посева сельскохозяйственных культур в пересчете на 100 процентов питательных веществ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pStyle w:val="1025"/>
              <w:numPr>
                <w:ilvl w:val="0"/>
                <w:numId w:val="17"/>
              </w:numPr>
              <w:ind w:left="313" w:hanging="284"/>
              <w:jc w:val="both"/>
            </w:pPr>
            <w:r/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Площадь, удобренная минеральными удобрениями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pStyle w:val="1025"/>
              <w:numPr>
                <w:ilvl w:val="0"/>
                <w:numId w:val="17"/>
              </w:numPr>
              <w:ind w:left="313" w:hanging="284"/>
              <w:jc w:val="both"/>
            </w:pPr>
            <w:r/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Внесение органических удобрений на 1 гектар посева сельскохозяйственных культур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2,85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2,9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pStyle w:val="1025"/>
              <w:numPr>
                <w:ilvl w:val="0"/>
                <w:numId w:val="17"/>
              </w:numPr>
              <w:ind w:left="313" w:hanging="284"/>
              <w:jc w:val="both"/>
            </w:pPr>
            <w:r/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Площадь, удобренная органическими удобрениями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pStyle w:val="1025"/>
              <w:numPr>
                <w:ilvl w:val="0"/>
                <w:numId w:val="17"/>
              </w:numPr>
              <w:ind w:left="313" w:hanging="284"/>
              <w:jc w:val="both"/>
            </w:pPr>
            <w:r/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Внесение известняковой муки и других известковых материалов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тонн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pStyle w:val="1025"/>
              <w:numPr>
                <w:ilvl w:val="0"/>
                <w:numId w:val="17"/>
              </w:numPr>
              <w:ind w:left="313" w:hanging="284"/>
              <w:jc w:val="both"/>
            </w:pPr>
            <w:r/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Площадь проведения известкования кислых почв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pStyle w:val="1025"/>
              <w:numPr>
                <w:ilvl w:val="0"/>
                <w:numId w:val="17"/>
              </w:numPr>
              <w:ind w:left="313" w:hanging="284"/>
              <w:jc w:val="both"/>
            </w:pPr>
            <w:r/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Оборот организаций (без субъектов малого предпринимательства, бюджетных организаций, банков, страховых и прочих финансово-кредитных организаций) по виду деятельности «Сельское, лесное хозяйство, охота, рыболовство и рыбоводство»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млн 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14 015,6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16 504,2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9"/>
        </w:trPr>
        <w:tc>
          <w:tcPr>
            <w:tcW w:w="30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5752" w:type="dxa"/>
            <w:vMerge w:val="restart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Энергообеспеченность</w:t>
            </w:r>
            <w:r/>
          </w:p>
        </w:tc>
        <w:tc>
          <w:tcPr>
            <w:tcW w:w="170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л.с. на 100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посевной площади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vMerge w:val="restart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vMerge w:val="restart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9"/>
        </w:trPr>
        <w:tc>
          <w:tcPr>
            <w:tcW w:w="30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5752" w:type="dxa"/>
            <w:vMerge w:val="restart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Доля посевов элитных семян</w:t>
            </w:r>
            <w:r/>
          </w:p>
        </w:tc>
        <w:tc>
          <w:tcPr>
            <w:tcW w:w="170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vMerge w:val="restart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vMerge w:val="restart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9"/>
        </w:trPr>
        <w:tc>
          <w:tcPr>
            <w:tcW w:w="30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5752" w:type="dxa"/>
            <w:vMerge w:val="restart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Доля посевов отечественных семян</w:t>
            </w:r>
            <w:r/>
          </w:p>
        </w:tc>
        <w:tc>
          <w:tcPr>
            <w:tcW w:w="170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vMerge w:val="restart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vMerge w:val="restart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restart"/>
            <w:textDirection w:val="lrTb"/>
            <w:noWrap w:val="false"/>
          </w:tcPr>
          <w:p>
            <w:pPr>
              <w:pStyle w:val="1025"/>
              <w:numPr>
                <w:ilvl w:val="0"/>
                <w:numId w:val="17"/>
              </w:numPr>
              <w:ind w:left="313" w:hanging="284"/>
              <w:jc w:val="both"/>
            </w:pPr>
            <w:r>
              <w:t xml:space="preserve">Увеличение объема инвестиций в агропромышленном и рыбохозяйственном комплексах</w:t>
            </w:r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Объем инвестиций в основной капитал по виду деятельности «Сельское, лесное хозяйство, охота, рыболовство и рыбоводство»</w:t>
            </w:r>
            <w:r/>
          </w:p>
        </w:tc>
        <w:tc>
          <w:tcPr>
            <w:tcW w:w="170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млн 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vMerge w:val="restart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6 157,6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vMerge w:val="restart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14 323,4 (нарастающим итогом с 2025 года)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pStyle w:val="1025"/>
              <w:numPr>
                <w:ilvl w:val="0"/>
                <w:numId w:val="17"/>
              </w:numPr>
              <w:ind w:left="313" w:hanging="284"/>
              <w:jc w:val="both"/>
            </w:pPr>
            <w:r/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Объем инвестиций в основной капитал по виду деятельности «Производство пищевых продуктов»</w:t>
            </w:r>
            <w:r/>
          </w:p>
        </w:tc>
        <w:tc>
          <w:tcPr>
            <w:tcW w:w="1706" w:type="dxa"/>
            <w:vAlign w:val="center"/>
            <w:vMerge w:val="continue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vMerge w:val="continue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vMerge w:val="continue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textDirection w:val="lrTb"/>
            <w:noWrap w:val="false"/>
          </w:tcPr>
          <w:p>
            <w:pPr>
              <w:pStyle w:val="1025"/>
              <w:numPr>
                <w:ilvl w:val="0"/>
                <w:numId w:val="17"/>
              </w:numPr>
              <w:ind w:left="313" w:hanging="284"/>
              <w:jc w:val="both"/>
            </w:pPr>
            <w:r>
              <w:t xml:space="preserve">Увеличение объема экспорта продукции агропромышленного комплекса Республики</w:t>
            </w:r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Экспорт продукции АПК Республики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млн долл. США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51,28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64,1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restart"/>
            <w:textDirection w:val="lrTb"/>
            <w:noWrap w:val="false"/>
          </w:tcPr>
          <w:p>
            <w:pPr>
              <w:pStyle w:val="1025"/>
              <w:numPr>
                <w:ilvl w:val="0"/>
                <w:numId w:val="17"/>
              </w:numPr>
              <w:ind w:left="313" w:hanging="284"/>
              <w:jc w:val="both"/>
            </w:pPr>
            <w:r>
              <w:t xml:space="preserve">Сохранение доли сельского населения в общей численности населения Республики</w:t>
            </w:r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Численность сельского населения Республики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418,7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406,1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Доля сельского населения в общей численности населения Республики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Среднемесячные располагаемые ресурсы сельского и городского домохозяйств на члена домохозяйства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21 917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23 780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Соотношение среднемесячных располагаемых ресурсов сельского и городского домохозяйств на члена домохозяйства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79,58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79,58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Доля площади жилых помещений в сельских населенных пунктах, обустроенных водопроводом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49,9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Доля площади жилых помещений в сельских населенных пунктах, обустроенных водоотведением (канализацией)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37,6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40,1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Доля площади жилых помещений в сельских населенных пунктах, обустроенных отоплением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93,41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93,9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134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Среднемесячная номинальная начисленная заработная плата работников по полному кругу по виду деятельности «Сельское, лесное хозяйство, охота, рыболовство и рыбоводство»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48 843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57 213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Среднемесячная номинальная начисленная заработная плата работников по полному кругу по </w:t>
            </w:r>
            <w:r>
              <w:t xml:space="preserve">виду деятельности «Производство пищевых продуктов»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50 838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58 481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Среднемесячная номинальная начисленная заработная плата работников по полному кругу по виду деятельности «Производство напитков»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57 824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65 044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restart"/>
            <w:textDirection w:val="lrTb"/>
            <w:noWrap w:val="false"/>
          </w:tcPr>
          <w:p>
            <w:pPr>
              <w:pStyle w:val="1025"/>
              <w:numPr>
                <w:ilvl w:val="0"/>
                <w:numId w:val="17"/>
              </w:numPr>
              <w:ind w:left="313" w:hanging="284"/>
              <w:jc w:val="both"/>
            </w:pPr>
            <w:r>
              <w:t xml:space="preserve">Эффективное вовлечение в оборот земель сельскохозяйственного назначения Республики</w:t>
            </w:r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Площадь земель сельскохозяйственного назначения Республики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1 005,0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Площадь необрабатываемых земель сельскохозяйственного назначения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Площадь вовлеченных в оборот необрабатываемых земель сельскохозяйственного назначения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4,88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848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pStyle w:val="1025"/>
              <w:numPr>
                <w:ilvl w:val="0"/>
                <w:numId w:val="17"/>
              </w:numPr>
              <w:ind w:left="313" w:hanging="284"/>
              <w:jc w:val="both"/>
            </w:pPr>
            <w:r/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rPr>
                <w:color w:val="000000"/>
              </w:rPr>
              <w:t xml:space="preserve">Реконструкция межхозяйственных оросительных систем федеральной собственности</w:t>
            </w:r>
            <w:r>
              <w:t xml:space="preserve"> (нарастающим итогом)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0,19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restart"/>
            <w:textDirection w:val="lrTb"/>
            <w:noWrap w:val="false"/>
          </w:tcPr>
          <w:p>
            <w:pPr>
              <w:pStyle w:val="1025"/>
              <w:numPr>
                <w:ilvl w:val="0"/>
                <w:numId w:val="17"/>
              </w:numPr>
              <w:ind w:left="313" w:hanging="284"/>
              <w:jc w:val="both"/>
            </w:pPr>
            <w:r>
              <w:t xml:space="preserve">Отраслевая специализация региона в отрасли хмелеводства</w:t>
            </w:r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Площадь под сортовыми насаждениями хмеля (в плодоносящем возрасте) 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Валовый сбор товарного хмеля 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292,3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1 616,9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7"/>
              </w:numPr>
              <w:ind w:left="34" w:firstLine="0"/>
              <w:jc w:val="both"/>
              <w:tabs>
                <w:tab w:val="left" w:pos="34" w:leader="none"/>
              </w:tabs>
            </w:pPr>
            <w:r>
              <w:t xml:space="preserve">Интродукция сортов хмеля зарубежной селекции с высокими качественными характеристиками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gridSpan w:val="5"/>
            <w:tcW w:w="1456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III. Оптимистический сценарий / ускоренное развитие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restart"/>
            <w:textDirection w:val="lrTb"/>
            <w:noWrap w:val="false"/>
          </w:tcPr>
          <w:p>
            <w:pPr>
              <w:pStyle w:val="1025"/>
              <w:numPr>
                <w:ilvl w:val="0"/>
                <w:numId w:val="18"/>
              </w:numPr>
              <w:ind w:left="313" w:hanging="284"/>
              <w:jc w:val="both"/>
            </w:pPr>
            <w:r>
              <w:t xml:space="preserve">Обеспечение продовольственной безопасности Республики</w:t>
            </w:r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Индекс производства по виду деятельности «Производство пищевых продуктов»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100,54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100,54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pStyle w:val="1025"/>
              <w:numPr>
                <w:ilvl w:val="0"/>
                <w:numId w:val="18"/>
              </w:numPr>
              <w:ind w:left="313" w:hanging="284"/>
              <w:jc w:val="both"/>
            </w:pPr>
            <w:r/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Индекс производства по виду деятельности «Производство напитков»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104,4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108,1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pStyle w:val="1025"/>
              <w:numPr>
                <w:ilvl w:val="0"/>
                <w:numId w:val="18"/>
              </w:numPr>
              <w:ind w:left="313" w:hanging="284"/>
              <w:jc w:val="both"/>
            </w:pPr>
            <w:r/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Урожайность зерновых с одного гектара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ц/га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33,5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34,6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pStyle w:val="1025"/>
              <w:numPr>
                <w:ilvl w:val="0"/>
                <w:numId w:val="18"/>
              </w:numPr>
              <w:ind w:left="313" w:hanging="284"/>
              <w:jc w:val="both"/>
            </w:pPr>
            <w:r/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Надой молока на 1 корову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7 197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9 632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9"/>
        </w:trPr>
        <w:tc>
          <w:tcPr>
            <w:tcW w:w="30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5752" w:type="dxa"/>
            <w:vMerge w:val="restart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Доля племенного скота</w:t>
            </w:r>
            <w:r/>
          </w:p>
        </w:tc>
        <w:tc>
          <w:tcPr>
            <w:tcW w:w="170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vMerge w:val="restart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vMerge w:val="restart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restart"/>
            <w:textDirection w:val="lrTb"/>
            <w:noWrap w:val="false"/>
          </w:tcPr>
          <w:p>
            <w:pPr>
              <w:pStyle w:val="1025"/>
              <w:numPr>
                <w:ilvl w:val="0"/>
                <w:numId w:val="18"/>
              </w:numPr>
              <w:ind w:left="313" w:hanging="284"/>
              <w:jc w:val="both"/>
            </w:pPr>
            <w:r>
              <w:t xml:space="preserve">Увеличение произведенной </w:t>
            </w:r>
            <w:r>
              <w:t xml:space="preserve">добавленной стоимости АПК Республики</w:t>
            </w:r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Внесение минеральных удобрений в пересчете на 100 процентов питательных веществ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тонн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28,9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33,5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pStyle w:val="1025"/>
              <w:numPr>
                <w:ilvl w:val="0"/>
                <w:numId w:val="18"/>
              </w:numPr>
              <w:ind w:left="313" w:hanging="284"/>
              <w:jc w:val="both"/>
            </w:pPr>
            <w:r/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Внесение минеральных удобрений на 1 гектар посева сельскохозяйственных культур в пересчете на 100 процентов питательных веществ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pStyle w:val="1025"/>
              <w:numPr>
                <w:ilvl w:val="0"/>
                <w:numId w:val="18"/>
              </w:numPr>
              <w:ind w:left="313" w:hanging="284"/>
              <w:jc w:val="both"/>
            </w:pPr>
            <w:r/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Площадь, удобренная минеральными удобрениями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pStyle w:val="1025"/>
              <w:numPr>
                <w:ilvl w:val="0"/>
                <w:numId w:val="18"/>
              </w:numPr>
              <w:ind w:left="313" w:hanging="284"/>
              <w:jc w:val="both"/>
            </w:pPr>
            <w:r/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Внесение органических удобрений на 1 гектар посева сельскохозяйственных культур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2,85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pStyle w:val="1025"/>
              <w:numPr>
                <w:ilvl w:val="0"/>
                <w:numId w:val="18"/>
              </w:numPr>
              <w:ind w:left="313" w:hanging="284"/>
              <w:jc w:val="both"/>
            </w:pPr>
            <w:r/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Площадь, удобренная органическими удобрениями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pStyle w:val="1025"/>
              <w:numPr>
                <w:ilvl w:val="0"/>
                <w:numId w:val="18"/>
              </w:numPr>
              <w:ind w:left="313" w:hanging="284"/>
              <w:jc w:val="both"/>
            </w:pPr>
            <w:r/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Внесение известняковой муки и других известковых материалов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тонн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pStyle w:val="1025"/>
              <w:numPr>
                <w:ilvl w:val="0"/>
                <w:numId w:val="18"/>
              </w:numPr>
              <w:ind w:left="313" w:hanging="284"/>
              <w:jc w:val="both"/>
            </w:pPr>
            <w:r/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Площадь проведения известкования кислых почв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pStyle w:val="1025"/>
              <w:numPr>
                <w:ilvl w:val="0"/>
                <w:numId w:val="18"/>
              </w:numPr>
              <w:ind w:left="313" w:hanging="284"/>
              <w:jc w:val="both"/>
            </w:pPr>
            <w:r/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Оборот организаций (без субъектов малого предпринимательства, бюджетных организаций, банков, страховых и прочих финансово-кредитных организаций) по виду деятельности «Сельское, лесное хозяйство, охота, рыболовство и рыбоводство»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млн 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14 015,6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21 481,4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9"/>
        </w:trPr>
        <w:tc>
          <w:tcPr>
            <w:tcW w:w="30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5752" w:type="dxa"/>
            <w:vMerge w:val="restart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Энергообеспеченность</w:t>
            </w:r>
            <w:r/>
          </w:p>
        </w:tc>
        <w:tc>
          <w:tcPr>
            <w:tcW w:w="170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л.с. на 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посевной площади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vMerge w:val="restart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vMerge w:val="restart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9"/>
        </w:trPr>
        <w:tc>
          <w:tcPr>
            <w:tcW w:w="30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5752" w:type="dxa"/>
            <w:vMerge w:val="restart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Доля посевов элитных семян</w:t>
            </w:r>
            <w:r/>
          </w:p>
        </w:tc>
        <w:tc>
          <w:tcPr>
            <w:tcW w:w="170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vMerge w:val="restart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vMerge w:val="restart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9"/>
        </w:trPr>
        <w:tc>
          <w:tcPr>
            <w:tcW w:w="30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5752" w:type="dxa"/>
            <w:vMerge w:val="restart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Доля посевов отечественных семян</w:t>
            </w:r>
            <w:r/>
          </w:p>
        </w:tc>
        <w:tc>
          <w:tcPr>
            <w:tcW w:w="170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vMerge w:val="restart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vMerge w:val="restart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restart"/>
            <w:textDirection w:val="lrTb"/>
            <w:noWrap w:val="false"/>
          </w:tcPr>
          <w:p>
            <w:pPr>
              <w:pStyle w:val="1025"/>
              <w:numPr>
                <w:ilvl w:val="0"/>
                <w:numId w:val="18"/>
              </w:numPr>
              <w:ind w:left="313" w:hanging="284"/>
              <w:jc w:val="both"/>
            </w:pPr>
            <w:r>
              <w:t xml:space="preserve">Увеличение объема инвестиций в агропромышленном и рыбохозяйственном комплексах</w:t>
            </w:r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Объем инвестиций в основной капитал по виду деятельности «Сельское, лесное хозяйство, охота, рыболовство и рыбоводство»</w:t>
            </w:r>
            <w:r/>
          </w:p>
        </w:tc>
        <w:tc>
          <w:tcPr>
            <w:tcW w:w="170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млн 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vMerge w:val="restart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6 157,6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vMerge w:val="restart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15 914,9 (нарастающим итогом с 2025 года)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pStyle w:val="1025"/>
              <w:numPr>
                <w:ilvl w:val="0"/>
                <w:numId w:val="18"/>
              </w:numPr>
              <w:ind w:left="313" w:hanging="284"/>
              <w:jc w:val="both"/>
            </w:pPr>
            <w:r/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Объем инвестиций в основной капитал по виду деятельности «Производство пищевых продуктов»</w:t>
            </w:r>
            <w:r/>
          </w:p>
        </w:tc>
        <w:tc>
          <w:tcPr>
            <w:tcW w:w="1706" w:type="dxa"/>
            <w:vMerge w:val="continue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Merge w:val="continue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Merge w:val="continue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textDirection w:val="lrTb"/>
            <w:noWrap w:val="false"/>
          </w:tcPr>
          <w:p>
            <w:pPr>
              <w:pStyle w:val="1025"/>
              <w:numPr>
                <w:ilvl w:val="0"/>
                <w:numId w:val="18"/>
              </w:numPr>
              <w:ind w:left="313" w:hanging="284"/>
              <w:jc w:val="both"/>
            </w:pPr>
            <w:r>
              <w:t xml:space="preserve">Увеличение объема экспорта продукции </w:t>
            </w:r>
            <w:r>
              <w:t xml:space="preserve">агропромышленного комплекса Республики</w:t>
            </w:r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Экспорт продукции АПК Республики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млн долл. США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51,28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89,74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restart"/>
            <w:textDirection w:val="lrTb"/>
            <w:noWrap w:val="false"/>
          </w:tcPr>
          <w:p>
            <w:pPr>
              <w:pStyle w:val="1025"/>
              <w:numPr>
                <w:ilvl w:val="0"/>
                <w:numId w:val="18"/>
              </w:numPr>
              <w:ind w:left="313" w:hanging="284"/>
              <w:jc w:val="both"/>
            </w:pPr>
            <w:r>
              <w:t xml:space="preserve">Сохранение доли сельского населения в общей численности населения Республики</w:t>
            </w:r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Численность сельского населения Республики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418,7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460,6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Доля сельского населения в общей численности населения Республики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39,17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Среднемесячные располагаемые ресурсы сельского и городского домохозяйств на члена домохозяйства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21 917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28 054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Соотношение среднемесячных располагаемых ресурсов сельского и городского домохозяйств на члена домохозяйства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79,58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79,58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Доля площади жилых помещений в сельских населенных пунктах, обустроенных водопроводом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55,47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Доля площади жилых помещений в сельских населенных пунктах, обустроенных водоотведением (канализацией)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37,6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45,01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Доля площади жилых помещений в сельских населенных пунктах, обустроенных отоплением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93,41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9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Среднемесячная номинальная начисленная заработная плата работников по полному кругу по виду деятельности «Сельское, лесное хозяйство, охота, рыболовство и рыбоводство»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48 843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73 952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Среднемесячная номинальная начисленная заработная плата работников по полному кругу по виду деятельности «Производство пищевых продуктов»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50 838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73 767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Среднемесячная номинальная начисленная заработная плата работников по полному кругу по виду деятельности «Производство напитков»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57 824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79 483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restart"/>
            <w:textDirection w:val="lrTb"/>
            <w:noWrap w:val="false"/>
          </w:tcPr>
          <w:p>
            <w:pPr>
              <w:pStyle w:val="1025"/>
              <w:numPr>
                <w:ilvl w:val="0"/>
                <w:numId w:val="18"/>
              </w:numPr>
              <w:ind w:left="313" w:hanging="284"/>
              <w:jc w:val="both"/>
            </w:pPr>
            <w:r>
              <w:t xml:space="preserve">Эффективное вовлечение в оборот </w:t>
            </w:r>
            <w:r>
              <w:t xml:space="preserve">земель сельскохозяйственного назначения Республики</w:t>
            </w:r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Площадь земель сельскохозяйственного назначения Республики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1 005,0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Площадь необрабатываемых земель сельскохозяйственного назначения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Площадь вовлеченных в оборот необрабатываемых земель сельскохозяйственного назначения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3,88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848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pStyle w:val="1025"/>
              <w:numPr>
                <w:ilvl w:val="0"/>
                <w:numId w:val="18"/>
              </w:numPr>
              <w:ind w:left="313" w:hanging="284"/>
              <w:jc w:val="both"/>
            </w:pPr>
            <w:r/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rPr>
                <w:color w:val="000000"/>
              </w:rPr>
              <w:t xml:space="preserve">Реконструкция межхозяйственных оросительных систем федеральной собственности</w:t>
            </w:r>
            <w:r>
              <w:t xml:space="preserve"> (нарастающим итогом)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0,19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1,492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restart"/>
            <w:textDirection w:val="lrTb"/>
            <w:noWrap w:val="false"/>
          </w:tcPr>
          <w:p>
            <w:pPr>
              <w:pStyle w:val="1025"/>
              <w:numPr>
                <w:ilvl w:val="0"/>
                <w:numId w:val="18"/>
              </w:numPr>
              <w:ind w:left="313" w:hanging="284"/>
              <w:jc w:val="both"/>
            </w:pPr>
            <w:r>
              <w:t xml:space="preserve">Отраслевая специализация региона в отрасли хмелеводства</w:t>
            </w:r>
            <w:r/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Площадь под сортовыми насаждениями хмеля (в плодоносящем возрасте)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1 093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Валовый сбор товарного хмеля 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292,3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3059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752" w:type="dxa"/>
            <w:textDirection w:val="lrTb"/>
            <w:noWrap/>
          </w:tcPr>
          <w:p>
            <w:pPr>
              <w:pStyle w:val="1025"/>
              <w:numPr>
                <w:ilvl w:val="1"/>
                <w:numId w:val="18"/>
              </w:numPr>
              <w:ind w:left="34" w:firstLine="0"/>
              <w:jc w:val="both"/>
            </w:pPr>
            <w:r>
              <w:t xml:space="preserve">Интродукция сортов хмеля зарубежной селекции с высокими качественными характеристиками</w:t>
            </w:r>
            <w:r/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6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33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</w:tbl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jc w:val="both"/>
        <w:pageBreakBefore/>
        <w:spacing w:before="0" w:beforeAutospacing="0" w:after="0" w:afterAutospacing="0"/>
        <w:rPr>
          <w:sz w:val="28"/>
        </w:rPr>
      </w:pPr>
      <w:r/>
      <w:bookmarkStart w:id="66" w:name="_Toc176798849"/>
      <w:r>
        <w:rPr>
          <w:caps/>
          <w:sz w:val="28"/>
        </w:rPr>
        <w:t xml:space="preserve">Приложение </w:t>
      </w:r>
      <w:r>
        <w:rPr>
          <w:caps/>
          <w:sz w:val="28"/>
        </w:rPr>
        <w:t xml:space="preserve">7</w:t>
      </w:r>
      <w:r>
        <w:rPr>
          <w:caps/>
          <w:sz w:val="28"/>
        </w:rPr>
        <w:t xml:space="preserve">. </w:t>
      </w:r>
      <w:r>
        <w:rPr>
          <w:sz w:val="28"/>
        </w:rPr>
        <w:t xml:space="preserve">Макроэкономические индикаторы среднесрочного прогноза социально-экономического развития Российской Федерации на 2025–2027 годы (базовый вариант)</w:t>
      </w:r>
      <w:bookmarkEnd w:id="66"/>
      <w:r>
        <w:rPr>
          <w:sz w:val="28"/>
        </w:rPr>
      </w:r>
      <w:r>
        <w:rPr>
          <w:sz w:val="28"/>
        </w:rPr>
      </w:r>
    </w:p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Style w:val="833"/>
        <w:tblW w:w="15163" w:type="dxa"/>
        <w:tblLook w:val="04A0" w:firstRow="1" w:lastRow="0" w:firstColumn="1" w:lastColumn="0" w:noHBand="0" w:noVBand="1"/>
      </w:tblPr>
      <w:tblGrid>
        <w:gridCol w:w="7314"/>
        <w:gridCol w:w="2420"/>
        <w:gridCol w:w="2027"/>
        <w:gridCol w:w="1275"/>
        <w:gridCol w:w="2127"/>
      </w:tblGrid>
      <w:tr>
        <w:tblPrEx/>
        <w:trPr>
          <w:trHeight w:val="255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314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auto"/>
                <w:sz w:val="24"/>
                <w:szCs w:val="24"/>
                <w:lang w:eastAsia="ru-RU"/>
                <w14:ligatures w14:val="none"/>
              </w:rPr>
              <w:t xml:space="preserve">Целевые показатели прогноза социально-экономического развития РФ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0" w:type="dxa"/>
            <w:textDirection w:val="lrTb"/>
            <w:noWrap/>
          </w:tcPr>
          <w:p>
            <w:pPr>
              <w:ind w:firstLine="72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auto"/>
                <w:sz w:val="24"/>
                <w:szCs w:val="24"/>
                <w:lang w:eastAsia="ru-RU"/>
                <w14:ligatures w14:val="none"/>
              </w:rPr>
              <w:t xml:space="preserve">Оценка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29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auto"/>
                <w:sz w:val="24"/>
                <w:szCs w:val="24"/>
                <w:lang w:eastAsia="ru-RU"/>
                <w14:ligatures w14:val="none"/>
              </w:rPr>
              <w:t xml:space="preserve">Прогноз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14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0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27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  <w14:ligatures w14:val="none"/>
              </w:rPr>
              <w:t xml:space="preserve">2025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  <w14:ligatures w14:val="non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7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  <w14:ligatures w14:val="none"/>
              </w:rPr>
              <w:t xml:space="preserve">2027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1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auto"/>
                <w:sz w:val="24"/>
                <w:szCs w:val="24"/>
                <w:lang w:eastAsia="ru-RU"/>
                <w14:ligatures w14:val="none"/>
              </w:rPr>
              <w:t xml:space="preserve">1. Индекс потребительских цен: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0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27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7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14" w:type="dxa"/>
            <w:textDirection w:val="lrTb"/>
            <w:noWrap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auto"/>
                <w:sz w:val="24"/>
                <w:szCs w:val="24"/>
                <w:lang w:eastAsia="ru-RU"/>
                <w14:ligatures w14:val="none"/>
              </w:rPr>
              <w:t xml:space="preserve">декабрь к декабрю, %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0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27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7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1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auto"/>
                <w:sz w:val="24"/>
                <w:szCs w:val="24"/>
                <w:lang w:eastAsia="ru-RU"/>
                <w14:ligatures w14:val="none"/>
              </w:rPr>
              <w:t xml:space="preserve">в среднем за год, % году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0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6,6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27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4,7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7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14" w:type="dxa"/>
            <w:textDirection w:val="lrTb"/>
            <w:noWrap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auto"/>
                <w:sz w:val="24"/>
                <w:szCs w:val="24"/>
                <w:lang w:eastAsia="ru-RU"/>
                <w14:ligatures w14:val="none"/>
              </w:rPr>
              <w:t xml:space="preserve">2.ВВП, темп роста, %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0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2,8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27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2,3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2,3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7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2,4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1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auto"/>
                <w:sz w:val="24"/>
                <w:szCs w:val="24"/>
                <w:lang w:eastAsia="ru-RU"/>
                <w14:ligatures w14:val="none"/>
              </w:rPr>
              <w:t xml:space="preserve">3. Индекс промышленного производства темп роста, %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0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102,5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27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102,3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102,3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7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102,5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51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1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auto"/>
                <w:sz w:val="24"/>
                <w:szCs w:val="24"/>
                <w:lang w:eastAsia="ru-RU"/>
                <w14:ligatures w14:val="none"/>
              </w:rPr>
              <w:t xml:space="preserve">4. Продукция сельского хозяйства во всех категориях хозяйств, млн. рублей, темп роста, %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0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98,1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27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104,0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101,7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7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101,7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51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1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auto"/>
                <w:sz w:val="24"/>
                <w:szCs w:val="24"/>
                <w:lang w:eastAsia="ru-RU"/>
                <w14:ligatures w14:val="none"/>
              </w:rPr>
              <w:t xml:space="preserve">5. Инвестиции в основной капитал по всем источникам финансирования, темп роста, %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0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2,3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27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2,7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7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1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auto"/>
                <w:sz w:val="24"/>
                <w:szCs w:val="24"/>
                <w:lang w:eastAsia="ru-RU"/>
                <w14:ligatures w14:val="none"/>
              </w:rPr>
              <w:t xml:space="preserve">6. Оборот розничной торговли, темп роста (в сопоставимых ценах), %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0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7,7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27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4,8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3,9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7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1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auto"/>
                <w:sz w:val="24"/>
                <w:szCs w:val="24"/>
                <w:lang w:eastAsia="ru-RU"/>
                <w14:ligatures w14:val="none"/>
              </w:rPr>
              <w:t xml:space="preserve">7. Платные услуги населению, темп роста (в сопоставимых ценах), %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0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27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3,6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7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2,6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14" w:type="dxa"/>
            <w:textDirection w:val="lrTb"/>
            <w:noWrap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auto"/>
                <w:sz w:val="24"/>
                <w:szCs w:val="24"/>
                <w:lang w:eastAsia="ru-RU"/>
                <w14:ligatures w14:val="none"/>
              </w:rPr>
              <w:t xml:space="preserve">8. Среднемесячная заработная плата работников организаций, темп роста, %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0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13,6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27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8,4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7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6,6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14" w:type="dxa"/>
            <w:textDirection w:val="lrTb"/>
            <w:noWrap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auto"/>
                <w:sz w:val="24"/>
                <w:szCs w:val="24"/>
                <w:lang w:eastAsia="ru-RU"/>
                <w14:ligatures w14:val="none"/>
              </w:rPr>
              <w:t xml:space="preserve">9. Реальные располагаемые денежные доходы населения, %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0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27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7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2,6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14" w:type="dxa"/>
            <w:textDirection w:val="lrTb"/>
            <w:noWrap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auto"/>
                <w:sz w:val="24"/>
                <w:szCs w:val="24"/>
                <w:lang w:eastAsia="ru-RU"/>
                <w14:ligatures w14:val="none"/>
              </w:rPr>
              <w:t xml:space="preserve">10. Реальная заработная плата работников организации, %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0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27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3,6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2,8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7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14" w:type="dxa"/>
            <w:textDirection w:val="lrTb"/>
            <w:noWrap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auto"/>
                <w:sz w:val="24"/>
                <w:szCs w:val="24"/>
                <w:lang w:eastAsia="ru-RU"/>
                <w14:ligatures w14:val="none"/>
              </w:rPr>
              <w:t xml:space="preserve">11. Уровень безработицы, %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0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27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7" w:type="dxa"/>
            <w:textDirection w:val="lrTb"/>
            <w:noWrap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  <w:t xml:space="preserve">Источник: Сценарные условия Минэкономразвития РФ при подготовке Прогноза социально-экономического развития РФ на 2025 год и на плановый период 2026 и 2027 годов. - </w:t>
      </w:r>
      <w:r>
        <w:rPr>
          <w:rFonts w:ascii="Times New Roman" w:hAnsi="Times New Roman" w:eastAsia="Times New Roman" w:cs="Times New Roman"/>
          <w:sz w:val="24"/>
          <w:szCs w:val="20"/>
          <w:lang w:val="en-US" w:eastAsia="ru-RU"/>
          <w14:ligatures w14:val="none"/>
        </w:rPr>
        <w:t xml:space="preserve">URL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  <w:t xml:space="preserve">: </w:t>
      </w:r>
      <w:r>
        <w:rPr>
          <w:rFonts w:ascii="Times New Roman" w:hAnsi="Times New Roman" w:eastAsia="Times New Roman" w:cs="Times New Roman"/>
          <w:sz w:val="24"/>
          <w:szCs w:val="20"/>
          <w:lang w:val="en-US" w:eastAsia="ru-RU"/>
          <w14:ligatures w14:val="none"/>
        </w:rPr>
        <w:t xml:space="preserve">https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  <w:t xml:space="preserve">://</w:t>
      </w:r>
      <w:r>
        <w:rPr>
          <w:rFonts w:ascii="Times New Roman" w:hAnsi="Times New Roman" w:eastAsia="Times New Roman" w:cs="Times New Roman"/>
          <w:sz w:val="24"/>
          <w:szCs w:val="20"/>
          <w:lang w:val="en-US" w:eastAsia="ru-RU"/>
          <w14:ligatures w14:val="none"/>
        </w:rPr>
        <w:t xml:space="preserve">economy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0"/>
          <w:lang w:val="en-US" w:eastAsia="ru-RU"/>
          <w14:ligatures w14:val="none"/>
        </w:rPr>
        <w:t xml:space="preserve">gov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0"/>
          <w:lang w:val="en-US" w:eastAsia="ru-RU"/>
          <w14:ligatures w14:val="none"/>
        </w:rPr>
        <w:t xml:space="preserve">ru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  <w:t xml:space="preserve">/</w:t>
      </w:r>
      <w:r>
        <w:rPr>
          <w:rFonts w:ascii="Times New Roman" w:hAnsi="Times New Roman" w:eastAsia="Times New Roman" w:cs="Times New Roman"/>
          <w:sz w:val="24"/>
          <w:szCs w:val="20"/>
          <w:lang w:val="en-US" w:eastAsia="ru-RU"/>
          <w14:ligatures w14:val="none"/>
        </w:rPr>
        <w:t xml:space="preserve">material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  <w:t xml:space="preserve">/</w:t>
      </w:r>
      <w:r>
        <w:rPr>
          <w:rFonts w:ascii="Times New Roman" w:hAnsi="Times New Roman" w:eastAsia="Times New Roman" w:cs="Times New Roman"/>
          <w:sz w:val="24"/>
          <w:szCs w:val="20"/>
          <w:lang w:val="en-US" w:eastAsia="ru-RU"/>
          <w14:ligatures w14:val="none"/>
        </w:rPr>
        <w:t xml:space="preserve">directions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  <w:t xml:space="preserve">/</w:t>
      </w:r>
      <w:r>
        <w:rPr>
          <w:rFonts w:ascii="Times New Roman" w:hAnsi="Times New Roman" w:eastAsia="Times New Roman" w:cs="Times New Roman"/>
          <w:sz w:val="24"/>
          <w:szCs w:val="20"/>
          <w:lang w:val="en-US" w:eastAsia="ru-RU"/>
          <w14:ligatures w14:val="none"/>
        </w:rPr>
        <w:t xml:space="preserve">makroec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  <w:t xml:space="preserve">/</w:t>
      </w:r>
      <w:r>
        <w:rPr>
          <w:rFonts w:ascii="Times New Roman" w:hAnsi="Times New Roman" w:eastAsia="Times New Roman" w:cs="Times New Roman"/>
          <w:sz w:val="24"/>
          <w:szCs w:val="20"/>
          <w:lang w:val="en-US" w:eastAsia="ru-RU"/>
          <w14:ligatures w14:val="none"/>
        </w:rPr>
        <w:t xml:space="preserve">prognozy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  <w:t xml:space="preserve">_</w:t>
      </w:r>
      <w:r>
        <w:rPr>
          <w:rFonts w:ascii="Times New Roman" w:hAnsi="Times New Roman" w:eastAsia="Times New Roman" w:cs="Times New Roman"/>
          <w:sz w:val="24"/>
          <w:szCs w:val="20"/>
          <w:lang w:val="en-US" w:eastAsia="ru-RU"/>
          <w14:ligatures w14:val="none"/>
        </w:rPr>
        <w:t xml:space="preserve">socialno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  <w:t xml:space="preserve">_</w:t>
      </w:r>
      <w:r>
        <w:rPr>
          <w:rFonts w:ascii="Times New Roman" w:hAnsi="Times New Roman" w:eastAsia="Times New Roman" w:cs="Times New Roman"/>
          <w:sz w:val="24"/>
          <w:szCs w:val="20"/>
          <w:lang w:val="en-US" w:eastAsia="ru-RU"/>
          <w14:ligatures w14:val="none"/>
        </w:rPr>
        <w:t xml:space="preserve">ekonomicheskogo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  <w:t xml:space="preserve">_</w:t>
      </w:r>
      <w:r>
        <w:rPr>
          <w:rFonts w:ascii="Times New Roman" w:hAnsi="Times New Roman" w:eastAsia="Times New Roman" w:cs="Times New Roman"/>
          <w:sz w:val="24"/>
          <w:szCs w:val="20"/>
          <w:lang w:val="en-US" w:eastAsia="ru-RU"/>
          <w14:ligatures w14:val="none"/>
        </w:rPr>
        <w:t xml:space="preserve">razvitiya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  <w:t xml:space="preserve">/</w:t>
      </w:r>
      <w:r>
        <w:rPr>
          <w:rFonts w:ascii="Times New Roman" w:hAnsi="Times New Roman" w:eastAsia="Times New Roman" w:cs="Times New Roman"/>
          <w:sz w:val="24"/>
          <w:szCs w:val="20"/>
          <w:lang w:val="en-US" w:eastAsia="ru-RU"/>
          <w14:ligatures w14:val="none"/>
        </w:rPr>
        <w:t xml:space="preserve">materials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0"/>
          <w:lang w:val="en-US" w:eastAsia="ru-RU"/>
          <w14:ligatures w14:val="none"/>
        </w:rPr>
        <w:t xml:space="preserve">html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  <w:t xml:space="preserve"> (дата доступа: 01.07.2024)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  <w14:ligatures w14:val="none"/>
        </w:rPr>
      </w:r>
    </w:p>
    <w:p>
      <w:pPr>
        <w:pStyle w:val="771"/>
        <w:jc w:val="both"/>
        <w:pageBreakBefore/>
        <w:spacing w:before="0" w:beforeAutospacing="0" w:after="0" w:afterAutospacing="0" w:line="360" w:lineRule="auto"/>
        <w:rPr>
          <w:caps/>
          <w:sz w:val="28"/>
        </w:rPr>
      </w:pPr>
      <w:r/>
      <w:bookmarkStart w:id="67" w:name="_Toc176798850"/>
      <w:r>
        <w:rPr>
          <w:caps/>
          <w:sz w:val="28"/>
        </w:rPr>
        <w:t xml:space="preserve">Приложение </w:t>
      </w:r>
      <w:r>
        <w:rPr>
          <w:caps/>
          <w:sz w:val="28"/>
        </w:rPr>
        <w:t xml:space="preserve">8</w:t>
      </w:r>
      <w:r>
        <w:rPr>
          <w:caps/>
          <w:sz w:val="28"/>
        </w:rPr>
        <w:t xml:space="preserve">. </w:t>
      </w:r>
      <w:r>
        <w:rPr>
          <w:rFonts w:ascii="Times New Roman Полужирный" w:hAnsi="Times New Roman Полужирный"/>
          <w:sz w:val="28"/>
        </w:rPr>
        <w:t xml:space="preserve">План реализации мероприятий Стратегии</w:t>
      </w:r>
      <w:bookmarkEnd w:id="67"/>
      <w:r>
        <w:rPr>
          <w:caps/>
          <w:sz w:val="28"/>
        </w:rPr>
      </w:r>
      <w:r>
        <w:rPr>
          <w:caps/>
          <w:sz w:val="28"/>
        </w:rPr>
      </w:r>
    </w:p>
    <w:tbl>
      <w:tblPr>
        <w:tblStyle w:val="1022"/>
        <w:tblW w:w="0" w:type="auto"/>
        <w:tblLook w:val="04A0" w:firstRow="1" w:lastRow="0" w:firstColumn="1" w:lastColumn="0" w:noHBand="0" w:noVBand="1"/>
      </w:tblPr>
      <w:tblGrid>
        <w:gridCol w:w="811"/>
        <w:gridCol w:w="6457"/>
        <w:gridCol w:w="2792"/>
        <w:gridCol w:w="4394"/>
      </w:tblGrid>
      <w:tr>
        <w:tblPrEx/>
        <w:trPr>
          <w:tblHeader/>
        </w:trPr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№ п/п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</w:pPr>
            <w:r>
              <w:t xml:space="preserve">Наименование мероприятия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</w:pPr>
            <w:r>
              <w:t xml:space="preserve">Сроки исполнения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</w:pPr>
            <w:r>
              <w:t xml:space="preserve">Ответственные исполнители</w:t>
            </w:r>
            <w:r/>
          </w:p>
        </w:tc>
      </w:tr>
      <w:tr>
        <w:tblPrEx/>
        <w:trPr/>
        <w:tc>
          <w:tcPr>
            <w:gridSpan w:val="4"/>
            <w:tcW w:w="14454" w:type="dxa"/>
            <w:textDirection w:val="lrTb"/>
            <w:noWrap w:val="false"/>
          </w:tcPr>
          <w:p>
            <w:pPr>
              <w:pStyle w:val="1023"/>
            </w:pPr>
            <w:r>
              <w:t xml:space="preserve">Обеспечение продовольственной безопасности республики</w:t>
            </w:r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1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</w:pPr>
            <w:r>
              <w:t xml:space="preserve">Реализация мероприятий регионального проекта «Развитие отраслей овощеводства и картофелеводства»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2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Реализация мероприятий ведомственного проекта «Содействие развитию агропромышленного комплекса»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strike/>
                <w:color w:val="ff0000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strike/>
                <w:color w:val="ff0000"/>
              </w:rPr>
            </w:r>
            <w:r>
              <w:rPr>
                <w:strike/>
                <w:color w:val="ff0000"/>
              </w:rPr>
            </w:r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3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Реализация мероприятий регионального проекта «Развитие отраслей и техническая модернизация агропромышленного комплекса»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  <w:t xml:space="preserve">Министерство промышленности и энергетики Чувашской Республики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4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Реализация мероприятий регионального проекта «Акселерация субъектов малого и среднего предпринимательства»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  <w:p>
            <w:pPr>
              <w:pStyle w:val="1023"/>
              <w:jc w:val="both"/>
            </w:pPr>
            <w:r>
              <w:t xml:space="preserve">Центр компетенций в сфере сельскохозяйственной кооперации и поддержки фермеров КУП Чувашской Республики «Агро-Инновации»</w:t>
            </w:r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5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Вовлечение граждан, проживающих на селе в малое и среднее предпринимательство через реализацию </w:t>
            </w:r>
            <w:r>
              <w:t xml:space="preserve">дополнительных мероприятий по грантовой поддержке крестьянских (фермерских) хозяйств и субсидированию личных подсобных хозяйств 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  <w:p>
            <w:pPr>
              <w:pStyle w:val="1023"/>
              <w:jc w:val="both"/>
            </w:pPr>
            <w:r>
              <w:t xml:space="preserve">Центр компетенций в сфере сельскохозяйственной кооперации и поддержки фермеров КУП Чувашской Республики «Агро-Инновации»</w:t>
            </w:r>
            <w:r/>
          </w:p>
          <w:p>
            <w:pPr>
              <w:pStyle w:val="1023"/>
            </w:pPr>
            <w:r>
              <w:t xml:space="preserve">АУ Чувашской Республики «Фонд развития промышленности и инвестиционной деятельности в Чувашской Республике» Министерства промышленности и энергетики Чувашской Республики</w:t>
            </w:r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6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Развитие сельскохозяйственных потребительских кооперативов путем предоставления субсидий и грантов сельскохозяйственным потребительским кооперативам, а также путем государственной поддержки личных подсобных хозяйств через субсидирование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  <w:p>
            <w:pPr>
              <w:pStyle w:val="1023"/>
              <w:jc w:val="both"/>
            </w:pPr>
            <w:r>
              <w:t xml:space="preserve">Центр компетенций в сфере сельскохозяйственной кооперации и поддержки фермеров КУП Чувашской Республики «Агро-Инновации»</w:t>
            </w:r>
            <w:r/>
          </w:p>
          <w:p>
            <w:pPr>
              <w:pStyle w:val="1023"/>
            </w:pPr>
            <w:r>
              <w:t xml:space="preserve">АУ Чувашской Республики «Фонд развития промышленности и инвестиционной деятельности в Чувашской Республике» Министерства промышленности и энергетики Чувашской Республики</w:t>
            </w:r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7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Консультационная и методологическая поддержка субъектам малого и среднего предпринимательства Чувашской Республики, оказываемая центром компетенций </w:t>
            </w:r>
            <w:r>
              <w:t xml:space="preserve">в сфере сельскохозяйственной кооперации и поддержки фермеров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  <w:p>
            <w:pPr>
              <w:pStyle w:val="1023"/>
              <w:jc w:val="both"/>
            </w:pPr>
            <w:r>
              <w:t xml:space="preserve">Центр компетенций в сфере сельскохозяйственной кооперации и поддержки фермеров КУП Чувашской Республики «Агро-Инновации»</w:t>
            </w:r>
            <w:r/>
          </w:p>
          <w:p>
            <w:pPr>
              <w:pStyle w:val="1023"/>
            </w:pPr>
            <w:r>
              <w:t xml:space="preserve">АУ Чувашской Республики «Фонд развития промышленности и инвестиционной деятельности в Чувашской Республике» Министерства промышленности и энергетики Чувашской Республики</w:t>
            </w:r>
            <w:r/>
          </w:p>
        </w:tc>
      </w:tr>
      <w:tr>
        <w:tblPrEx/>
        <w:trPr/>
        <w:tc>
          <w:tcPr>
            <w:gridSpan w:val="4"/>
            <w:tcW w:w="14454" w:type="dxa"/>
            <w:textDirection w:val="lrTb"/>
            <w:noWrap w:val="false"/>
          </w:tcPr>
          <w:p>
            <w:pPr>
              <w:pStyle w:val="1023"/>
            </w:pPr>
            <w:r>
              <w:t xml:space="preserve">Увеличение произведенной добавленной стоимости АПК республики</w:t>
            </w:r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8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Определение перечня приоритетных проектов в сфере переработки сельскохозяйственной продукции, обеспечение их сопровождения на всех этапах реализации  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  <w:p>
            <w:pPr>
              <w:pStyle w:val="1023"/>
              <w:jc w:val="both"/>
            </w:pPr>
            <w:r>
              <w:t xml:space="preserve">Центр компетенций в сфере сельскохозяйственной кооперации и поддержки фермеров КУП Чувашской Республики «Агро-Инновации»</w:t>
            </w:r>
            <w:r/>
          </w:p>
          <w:p>
            <w:pPr>
              <w:pStyle w:val="1023"/>
              <w:jc w:val="both"/>
            </w:pPr>
            <w:r>
              <w:t xml:space="preserve">АУ Чувашской Республики «Фонд развития промышленности и инвестиционной деятельности в Чувашской Республике» Министерства промышленности и энергетики Чувашской Республики</w:t>
            </w:r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9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Строительство новых, реконструкция и модернизация действующих хранилищ зерна, картофеля, овощей и фруктов </w:t>
            </w:r>
            <w:r>
              <w:t xml:space="preserve">на основе инновационных технологий и современного оборудования, оснащение их технологическим и холодильным оборудованием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  <w:t xml:space="preserve">Министерство промышленности и энергетики Чувашской Республики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  <w:t xml:space="preserve">Министерство строительства, архитектуры и жилищно-коммунального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</w:p>
          <w:p>
            <w:pPr>
              <w:pStyle w:val="1023"/>
              <w:jc w:val="both"/>
            </w:pPr>
            <w:r>
              <w:t xml:space="preserve">Центр компетенций в сфере сельскохозяйственной кооперации и поддержки фермеров КУП Чувашской Республики «Агро-Инновации»</w:t>
            </w:r>
            <w:r/>
          </w:p>
          <w:p>
            <w:pPr>
              <w:pStyle w:val="1023"/>
              <w:jc w:val="both"/>
            </w:pPr>
            <w:r>
              <w:t xml:space="preserve">АУ Чувашской Республики «Фонд развития промышленности и инвестиционной деятельности в Чувашской Республике» Министерства промышленности и энергетики Чувашской Республики</w:t>
            </w:r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10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Создание и развитие оптово–распределительного центра с эффективн</w:t>
            </w:r>
            <w:r>
              <w:t xml:space="preserve">ыми энергосберегающими технологиями, с узкоспециализированными складами, хранилищами, максимально приближенными к производителям и имеющими небольшие мощности для хранения, переработки и фасовки продукции, с участием фермеров и кооперативов на условиях ГЧП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  <w:t xml:space="preserve">Министерство промышленности и энергетики Чувашской Республики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  <w:t xml:space="preserve">Министерство строительства, архитектуры и жилищно-коммунального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</w:p>
          <w:p>
            <w:pPr>
              <w:pStyle w:val="1023"/>
              <w:jc w:val="both"/>
            </w:pPr>
            <w:r>
              <w:t xml:space="preserve">Центр компетенций в сфере сельскохозяйственной кооперации и поддержки фермеров КУП Чувашской </w:t>
            </w:r>
            <w:r>
              <w:t xml:space="preserve">Республики «Агро-Инновации»</w:t>
            </w:r>
            <w:r/>
          </w:p>
          <w:p>
            <w:pPr>
              <w:pStyle w:val="1023"/>
              <w:jc w:val="both"/>
            </w:pPr>
            <w:r>
              <w:t xml:space="preserve">АУ Чувашской Республики «Фонд развития промышленности и инвестиционной деятельности в Чувашской Республике» Министерства промышленности и энергетики Чувашской Республики</w:t>
            </w:r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11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Оказание информационно–консультационного сопровождения хозяйствующих субъектов агропромышленного комплекса, реализующих проекты в сфере глубокой переработки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  <w:p>
            <w:pPr>
              <w:pStyle w:val="1023"/>
              <w:jc w:val="both"/>
            </w:pPr>
            <w:r>
              <w:t xml:space="preserve">Центр компетенций в сфере сельскохозяйственной кооперации и поддержки фермеров КУП Чувашской Республики «Агро-Инновации»</w:t>
            </w:r>
            <w:r/>
          </w:p>
          <w:p>
            <w:pPr>
              <w:pStyle w:val="1023"/>
              <w:jc w:val="both"/>
            </w:pPr>
            <w:r>
              <w:t xml:space="preserve">АУ Чувашской Республики «Фонд развития промышленности и инвестиционной деятельности в Чувашской Республике» Министерства промышленности и энергетики Чувашской Республики</w:t>
            </w:r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12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Организация и проведение республиканских выставок и конкурсов с участием субъектов АПК Чувашской Республики, осуществляющих деятельность в сфере переработки сельскохозяйственной продукции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  <w:p>
            <w:pPr>
              <w:pStyle w:val="1023"/>
              <w:jc w:val="both"/>
            </w:pPr>
            <w:r>
              <w:t xml:space="preserve">Центр компетенций в сфере сельскохозяйственной кооперации и поддержки фермеров КУП Чувашской Республики «Агро-Инновации»</w:t>
            </w:r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13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Разработка системы грантовой поддержки проектов научных </w:t>
            </w:r>
            <w:r>
              <w:t xml:space="preserve">коллективов по реализации проектов в АПК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2025–2026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</w:t>
            </w:r>
            <w:r>
              <w:t xml:space="preserve">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  <w:p>
            <w:pPr>
              <w:pStyle w:val="1023"/>
              <w:jc w:val="both"/>
            </w:pPr>
            <w:r/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14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Тиражирование и внедрение успешных практик бережливого производства в АПК в рамках реализации проекта «Эффективный регион»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  <w:p>
            <w:pPr>
              <w:pStyle w:val="1023"/>
            </w:pPr>
            <w:r>
              <w:rPr>
                <w:sz w:val="26"/>
                <w:szCs w:val="26"/>
              </w:rPr>
              <w:t xml:space="preserve">Госкорпорация «Росатом»</w:t>
            </w:r>
            <w:r/>
          </w:p>
        </w:tc>
      </w:tr>
      <w:tr>
        <w:tblPrEx/>
        <w:trPr/>
        <w:tc>
          <w:tcPr>
            <w:gridSpan w:val="4"/>
            <w:tcW w:w="14454" w:type="dxa"/>
            <w:textDirection w:val="lrTb"/>
            <w:noWrap w:val="false"/>
          </w:tcPr>
          <w:p>
            <w:pPr>
              <w:pStyle w:val="1023"/>
            </w:pPr>
            <w:r>
              <w:t xml:space="preserve">Увеличение объема инвестиций в агропромышленном комплексе</w:t>
            </w:r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15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Реализация мероприятий регионального проекта «Стимулирование инвестиционной деятельности в агропромышленном комплексе»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16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Контроль и поддержка инвестиционных проектов в агропромышленном комплексе на каждом из этапов жизненного цикла реализации проекта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  <w:p>
            <w:pPr>
              <w:pStyle w:val="1023"/>
              <w:jc w:val="both"/>
            </w:pPr>
            <w:r>
              <w:t xml:space="preserve">Центр компетенций в сфере сельскохозяйственной кооперации и поддержки фермеров КУП Чувашской Республики «Агро-Инновации»</w:t>
            </w:r>
            <w:r/>
          </w:p>
          <w:p>
            <w:pPr>
              <w:pStyle w:val="1023"/>
              <w:jc w:val="both"/>
            </w:pPr>
            <w:r>
              <w:t xml:space="preserve">АУ Чувашской Республики «Фонд развития промышленности и инвестиционной деятельности в Чувашской Республике» Министерства промышленности и энергетики </w:t>
            </w:r>
            <w:r>
              <w:t xml:space="preserve">Чувашской Республики</w:t>
            </w:r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17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Поддержка реализации приоритетных инвестиционных проектов АПК, в том числе направленных на внедрение новых технологий и инновационных решений; внедрение, модернизацию и расширение мощностей по глубокой переработке сельскохозяйственного сырья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  <w:p>
            <w:pPr>
              <w:pStyle w:val="1023"/>
              <w:jc w:val="both"/>
            </w:pPr>
            <w:r>
              <w:t xml:space="preserve">Центр компетенций в сфере сельскохозяйственной кооперации и поддержки фермеров КУП Чувашской Республики «Агро-Инновации»</w:t>
            </w:r>
            <w:r/>
          </w:p>
          <w:p>
            <w:pPr>
              <w:pStyle w:val="1023"/>
              <w:jc w:val="both"/>
            </w:pPr>
            <w:r>
              <w:t xml:space="preserve">АУ Чувашской Республики «Фонд развития промышленности и инвестиционной деятельности в Чувашской Республике» Министерства промышленности и энергетики Чувашской Республики</w:t>
            </w:r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18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Расширение практики использования различных инструментов финансирования инвестиционной деятельности в агропромышленном комплексе на основе ГЧП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  <w:p>
            <w:pPr>
              <w:pStyle w:val="1023"/>
              <w:jc w:val="both"/>
            </w:pPr>
            <w:r>
              <w:t xml:space="preserve">Центр компетенций в сфере сельскохозяйственной кооперации и поддержки фермеров КУП Чувашской Республики «Агро-Инновации»</w:t>
            </w:r>
            <w:r/>
          </w:p>
          <w:p>
            <w:pPr>
              <w:pStyle w:val="1023"/>
              <w:jc w:val="both"/>
            </w:pPr>
            <w:r>
              <w:t xml:space="preserve">АУ Чувашской Республики «Фонд развития промышленности и инвестиционной деятельности в Чувашской Республике» Министерства промышленности и энергетики Чувашской Республики</w:t>
            </w:r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19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Информационная и консультационная поддержка инвестиционных проектов на всех стадиях реализации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  <w:p>
            <w:pPr>
              <w:pStyle w:val="1023"/>
              <w:jc w:val="both"/>
            </w:pPr>
            <w:r>
              <w:t xml:space="preserve">Центр компетенций в сфере сельскохозяйственной кооперации и поддержки фермеров КУП Чувашской Республики «Агро-Инновации»</w:t>
            </w:r>
            <w:r/>
          </w:p>
          <w:p>
            <w:pPr>
              <w:pStyle w:val="1023"/>
              <w:jc w:val="both"/>
            </w:pPr>
            <w:r>
              <w:t xml:space="preserve">АУ Чувашской Республики «Фонд развития промышленности и инвестиционной деятельности в Чувашской Республике» Министерства промышленности и энергетики Чувашской Республики</w:t>
            </w:r>
            <w:r/>
          </w:p>
        </w:tc>
      </w:tr>
      <w:tr>
        <w:tblPrEx/>
        <w:trPr/>
        <w:tc>
          <w:tcPr>
            <w:gridSpan w:val="4"/>
            <w:tcW w:w="14454" w:type="dxa"/>
            <w:textDirection w:val="lrTb"/>
            <w:noWrap w:val="false"/>
          </w:tcPr>
          <w:p>
            <w:pPr>
              <w:pStyle w:val="1023"/>
            </w:pPr>
            <w:r>
              <w:t xml:space="preserve">Увеличение объема экспорта продукции агропромышленного комплекса</w:t>
            </w:r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20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Оказание информационно–консультационного сопровождения субъектам агропромышленного комплекса Чувашской Республики в продвижении продукции местного производства на межрегиональном и внешнем рынках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  <w:p>
            <w:pPr>
              <w:pStyle w:val="1023"/>
              <w:jc w:val="both"/>
            </w:pPr>
            <w:r>
              <w:t xml:space="preserve">Центр компетенций в сфере сельскохозяйственной кооперации и поддержки фермеров КУП Чувашской Республики «Агро-Инновации»</w:t>
            </w:r>
            <w:r/>
          </w:p>
          <w:p>
            <w:pPr>
              <w:pStyle w:val="1023"/>
              <w:jc w:val="both"/>
            </w:pPr>
            <w:r>
              <w:t xml:space="preserve">АУ Чувашской Республики «Фонд развития промышленности и инвестиционной деятельности в Чувашской Республике» Министерства промышленности и энергетики Чувашской Республики</w:t>
            </w:r>
            <w:r/>
          </w:p>
          <w:p>
            <w:pPr>
              <w:pStyle w:val="1023"/>
              <w:jc w:val="both"/>
            </w:pPr>
            <w:r>
              <w:t xml:space="preserve">Центр поддержки экспорта Чувашской Республики</w:t>
            </w:r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21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Вовлечение субъектов агропромышленного комплекса Чувашской Республики, в том числе представителей МСП, в межрегиональную торговлю и экспортную деятельность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  <w:p>
            <w:pPr>
              <w:pStyle w:val="1023"/>
              <w:jc w:val="both"/>
            </w:pPr>
            <w:r>
              <w:t xml:space="preserve">Центр компетенций в сфере сельскохозяйственной кооперации и поддержки фермеров КУП Чувашской Республики «Агро-Инновации»</w:t>
            </w:r>
            <w:r/>
          </w:p>
          <w:p>
            <w:pPr>
              <w:pStyle w:val="1023"/>
              <w:jc w:val="both"/>
            </w:pPr>
            <w:r>
              <w:t xml:space="preserve">АУ Чувашской Республики «Фонд развития промышленности и инвестиционной деятельности в Чувашской Республике» Министерства промышленности и энергетики Чувашской Республики</w:t>
            </w:r>
            <w:r/>
          </w:p>
          <w:p>
            <w:pPr>
              <w:pStyle w:val="1023"/>
              <w:jc w:val="both"/>
            </w:pPr>
            <w:r>
              <w:t xml:space="preserve">Центр поддержки экспорта Чувашской Республики</w:t>
            </w:r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22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Разработка предложений по диверсификации межрегиональной торговли и экспорта за счет расширения ассортимента продукции и географии поставок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2025–2026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</w:p>
          <w:p>
            <w:pPr>
              <w:pStyle w:val="1023"/>
            </w:pPr>
            <w:r>
              <w:t xml:space="preserve">Центр поддержки экспорта Чувашской Республики</w:t>
            </w:r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23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Развитие и модернизация транспортной инфраструктуры, в том числе в рамках реализации проекта по созданию торгово–логистической инфраструктуры в странах Ближнего Востока и Индии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транспорта и дорожного хозяйства Чувашской Республики</w:t>
            </w:r>
            <w:r/>
          </w:p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4"/>
            <w:tcW w:w="14454" w:type="dxa"/>
            <w:textDirection w:val="lrTb"/>
            <w:noWrap w:val="false"/>
          </w:tcPr>
          <w:p>
            <w:pPr>
              <w:pStyle w:val="1023"/>
            </w:pPr>
            <w:r>
              <w:t xml:space="preserve">Сохранение доли сельского населения в общей численности населения республики</w:t>
            </w:r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24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Реализация мероприятий государственной программы Чувашской Республики «Комплексное развитие сельских территорий Чувашской Республики»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pStyle w:val="1023"/>
              <w:jc w:val="both"/>
            </w:pPr>
            <w:r>
              <w:t xml:space="preserve">Министерство строительства, архитектуры и жилищно-коммунального хозяйства Чувашской Республики</w:t>
            </w:r>
            <w:r/>
          </w:p>
          <w:p>
            <w:pPr>
              <w:pStyle w:val="1023"/>
              <w:jc w:val="both"/>
            </w:pPr>
            <w:r>
              <w:t xml:space="preserve">Министерство образования и молодежной политики Чувашской Республики</w:t>
            </w:r>
            <w:r/>
          </w:p>
          <w:p>
            <w:pPr>
              <w:pStyle w:val="1023"/>
              <w:jc w:val="both"/>
            </w:pPr>
            <w:r>
              <w:t xml:space="preserve">Министерство здравоохранения Чувашской Республики</w:t>
            </w:r>
            <w:r/>
          </w:p>
          <w:p>
            <w:pPr>
              <w:pStyle w:val="1023"/>
              <w:jc w:val="both"/>
            </w:pPr>
            <w:r>
              <w:t xml:space="preserve">Министерство культуры, по делам национальностей и архивного дела Чувашской Республики</w:t>
            </w:r>
            <w:r/>
          </w:p>
          <w:p>
            <w:pPr>
              <w:pStyle w:val="1023"/>
              <w:jc w:val="both"/>
            </w:pPr>
            <w:r>
              <w:t xml:space="preserve">Министерство физической культуры и спорта Чувашской Республики</w:t>
            </w:r>
            <w:r/>
          </w:p>
          <w:p>
            <w:pPr>
              <w:pStyle w:val="1023"/>
              <w:jc w:val="both"/>
            </w:pPr>
            <w:r>
              <w:t xml:space="preserve">Министерство транспорта и дорожного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25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Создания комфортных условий для проживания путем решения задач комплексного обустройства объектами социальной и инженерной инфраструктуры сельских поселений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pStyle w:val="1023"/>
              <w:jc w:val="both"/>
            </w:pPr>
            <w:r>
              <w:t xml:space="preserve">Министерство строительства, архитектуры и жилищно-коммунального хозяйства Чувашской Республики</w:t>
            </w:r>
            <w:r/>
          </w:p>
          <w:p>
            <w:pPr>
              <w:pStyle w:val="1023"/>
              <w:jc w:val="both"/>
            </w:pPr>
            <w:r>
              <w:t xml:space="preserve">Министерство образования и молодежной политики Чувашской </w:t>
            </w:r>
            <w:r>
              <w:t xml:space="preserve">Республики</w:t>
            </w:r>
            <w:r/>
          </w:p>
          <w:p>
            <w:pPr>
              <w:pStyle w:val="1023"/>
              <w:jc w:val="both"/>
            </w:pPr>
            <w:r>
              <w:t xml:space="preserve">Министерство здравоохранения Чувашской Республики</w:t>
            </w:r>
            <w:r/>
          </w:p>
          <w:p>
            <w:pPr>
              <w:pStyle w:val="1023"/>
              <w:jc w:val="both"/>
            </w:pPr>
            <w:r>
              <w:t xml:space="preserve">Министерство культуры, по делам национальностей и архивного дела Чувашской Республики</w:t>
            </w:r>
            <w:r/>
          </w:p>
          <w:p>
            <w:pPr>
              <w:pStyle w:val="1023"/>
              <w:jc w:val="both"/>
            </w:pPr>
            <w:r>
              <w:t xml:space="preserve">Министерство физической культуры и спорта Чувашской Республики</w:t>
            </w:r>
            <w:r/>
          </w:p>
          <w:p>
            <w:pPr>
              <w:pStyle w:val="1023"/>
              <w:jc w:val="both"/>
            </w:pPr>
            <w:r>
              <w:t xml:space="preserve">Министерство транспорта и дорожного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26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Удовлетворение потребностей сельского населения в благоустроенном жилье, в том числе молодых семей и молодых специалистов, задействованных в реализации инвестиционных проектов в агропромышленном комплексе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pStyle w:val="1023"/>
              <w:jc w:val="both"/>
            </w:pPr>
            <w:r>
              <w:t xml:space="preserve">Министерство строительства, архитектуры и жилищно-коммунального хозяйства Чувашской Республики</w:t>
            </w:r>
            <w:r/>
          </w:p>
          <w:p>
            <w:pPr>
              <w:pStyle w:val="1023"/>
              <w:jc w:val="both"/>
            </w:pPr>
            <w:r>
              <w:t xml:space="preserve">Министерство образования и молодежной политики Чувашской Республики</w:t>
            </w:r>
            <w:r/>
          </w:p>
          <w:p>
            <w:pPr>
              <w:pStyle w:val="1023"/>
              <w:jc w:val="both"/>
            </w:pPr>
            <w:r>
              <w:t xml:space="preserve">Министерство здравоохранения Чувашской Республики</w:t>
            </w:r>
            <w:r/>
          </w:p>
          <w:p>
            <w:pPr>
              <w:pStyle w:val="1023"/>
              <w:jc w:val="both"/>
            </w:pPr>
            <w:r>
              <w:t xml:space="preserve">Министерство культуры, по делам национальностей и архивного дела Чувашской Республики</w:t>
            </w:r>
            <w:r/>
          </w:p>
          <w:p>
            <w:pPr>
              <w:pStyle w:val="1023"/>
              <w:jc w:val="both"/>
            </w:pPr>
            <w:r>
              <w:t xml:space="preserve">Министерство физической культуры и спорта Чувашской Республики</w:t>
            </w:r>
            <w:r/>
          </w:p>
          <w:p>
            <w:pPr>
              <w:pStyle w:val="1023"/>
              <w:jc w:val="both"/>
            </w:pPr>
            <w:r>
              <w:t xml:space="preserve">Министерство транспорта и дорожного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27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Развитие агротуризма, в том числе разработка маршрутной карты, мер государственной поддержки по развитию данного направления в регионе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28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Оказание содействия в подготовке и переподготовке кадров и повышении квалификации работников агропромышленного комплекса со средним профессиональным образованием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  <w:p>
            <w:pPr>
              <w:pStyle w:val="1023"/>
              <w:jc w:val="both"/>
            </w:pPr>
            <w:r>
              <w:t xml:space="preserve">Министерство образования Чувашской Республики</w:t>
            </w:r>
            <w:r/>
          </w:p>
          <w:p>
            <w:pPr>
              <w:pStyle w:val="1023"/>
              <w:jc w:val="both"/>
            </w:pPr>
            <w:r>
              <w:t xml:space="preserve">ФГБОУ ВО «Чувашский государственный аграрный университет»</w:t>
            </w:r>
            <w:r/>
          </w:p>
          <w:p>
            <w:pPr>
              <w:pStyle w:val="1023"/>
              <w:jc w:val="both"/>
            </w:pPr>
            <w:r>
              <w:t xml:space="preserve">Цивильский аграрно-технологический техникум Минобразования Чувашии </w:t>
            </w:r>
            <w:r/>
          </w:p>
          <w:p>
            <w:pPr>
              <w:pStyle w:val="1023"/>
              <w:jc w:val="both"/>
            </w:pPr>
            <w:r>
              <w:t xml:space="preserve">Учебный Центр «Нива»</w:t>
            </w:r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29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Продолжение реализации комплексного подхода по развитию непрерывной системы аграрного образования «детский сад – школа – сельскохозяйственный техникум – аграрный вуз»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  <w:p>
            <w:pPr>
              <w:pStyle w:val="1023"/>
              <w:jc w:val="both"/>
            </w:pPr>
            <w:r>
              <w:t xml:space="preserve">Министерство образования Чувашской Республики</w:t>
            </w:r>
            <w:r/>
          </w:p>
          <w:p>
            <w:pPr>
              <w:pStyle w:val="1023"/>
              <w:jc w:val="both"/>
            </w:pPr>
            <w:r>
              <w:t xml:space="preserve">ФГБОУ ВО «Чувашский государственный аграрный университет»</w:t>
            </w:r>
            <w:r/>
          </w:p>
          <w:p>
            <w:pPr>
              <w:pStyle w:val="1023"/>
              <w:jc w:val="both"/>
            </w:pPr>
            <w:r>
              <w:t xml:space="preserve">Цивильский аграрно-технологический </w:t>
            </w:r>
            <w:r>
              <w:t xml:space="preserve">техникум Минобразования Чувашии </w:t>
            </w:r>
            <w:r/>
          </w:p>
          <w:p>
            <w:pPr>
              <w:pStyle w:val="1023"/>
            </w:pPr>
            <w:r>
              <w:t xml:space="preserve">Учебный Центр «Нива»</w:t>
            </w:r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30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Создание ведущей аграрной профессиональной организации регионального уровня, реализующей интегрированные программы различного уровня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2025–2026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  <w:p>
            <w:pPr>
              <w:pStyle w:val="1023"/>
              <w:jc w:val="both"/>
            </w:pPr>
            <w:r>
              <w:t xml:space="preserve">Министерство образования Чувашской Республики</w:t>
            </w:r>
            <w:r/>
          </w:p>
          <w:p>
            <w:pPr>
              <w:pStyle w:val="1023"/>
              <w:jc w:val="both"/>
            </w:pPr>
            <w:r>
              <w:t xml:space="preserve">ФГБОУ ВО «Чувашский государственный аграрный университет»</w:t>
            </w:r>
            <w:r/>
          </w:p>
          <w:p>
            <w:pPr>
              <w:pStyle w:val="1023"/>
              <w:jc w:val="both"/>
            </w:pPr>
            <w:r>
              <w:t xml:space="preserve">Цивильский аграрно-технологический техникум Минобразования Чувашии </w:t>
            </w:r>
            <w:r/>
          </w:p>
          <w:p>
            <w:pPr>
              <w:pStyle w:val="1023"/>
            </w:pPr>
            <w:r>
              <w:t xml:space="preserve">Учебный Центр «Нива»</w:t>
            </w:r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31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Содействие в организации эффективного сетевого взаимодействия в системе профессионального образования между работодателями АПК региона и учреждениями агарного образования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  <w:p>
            <w:pPr>
              <w:pStyle w:val="1023"/>
              <w:jc w:val="both"/>
            </w:pPr>
            <w:r>
              <w:t xml:space="preserve">Министерство образования Чувашской Республики</w:t>
            </w:r>
            <w:r/>
          </w:p>
          <w:p>
            <w:pPr>
              <w:pStyle w:val="1023"/>
              <w:jc w:val="both"/>
            </w:pPr>
            <w:r>
              <w:t xml:space="preserve">ФГБОУ ВО «Чувашский государственный аграрный университет»</w:t>
            </w:r>
            <w:r/>
          </w:p>
          <w:p>
            <w:pPr>
              <w:pStyle w:val="1023"/>
              <w:jc w:val="both"/>
            </w:pPr>
            <w:r>
              <w:t xml:space="preserve">Цивильский аграрно-технологический техникум Минобразования Чувашии </w:t>
            </w:r>
            <w:r/>
          </w:p>
          <w:p>
            <w:pPr>
              <w:pStyle w:val="1023"/>
            </w:pPr>
            <w:r>
              <w:t xml:space="preserve">Учебный Центр «Нива»</w:t>
            </w:r>
            <w:r/>
          </w:p>
        </w:tc>
      </w:tr>
      <w:tr>
        <w:tblPrEx/>
        <w:trPr/>
        <w:tc>
          <w:tcPr>
            <w:gridSpan w:val="4"/>
            <w:tcW w:w="1445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Повышение эффективности использования земель сельскохозяйственного назначения (биологизация, соблюдение севооборота, мелиорация)</w:t>
            </w:r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32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Реализация мероприятий регионального проекта «Вовлечение в оборот и комплексная мелиорация земель сельскохозяйственного назначения»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highlight w:val="none"/>
                <w:lang w:eastAsia="ru-RU"/>
              </w:rPr>
            </w:r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33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Тиражирование и внедрение успешных практик применения </w:t>
            </w:r>
            <w:r>
              <w:t xml:space="preserve">биологизации</w:t>
            </w:r>
            <w:r>
              <w:t xml:space="preserve"> в производстве сельскохозяйственной продукции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4"/>
            <w:tcW w:w="14454" w:type="dxa"/>
            <w:textDirection w:val="lrTb"/>
            <w:noWrap w:val="false"/>
          </w:tcPr>
          <w:p>
            <w:pPr>
              <w:pStyle w:val="1023"/>
            </w:pPr>
            <w:r>
              <w:t xml:space="preserve">Цифровая трансформация агропромышленного комплекса Республики</w:t>
            </w:r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34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Реализация процессных мероприятий «Формирование государственных информационных ресурсов в сферах обеспечения продовольственной безопасности и управления агропромышленным комплексом»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35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Поддержка сельскохозяйственных товаропроизводителей, внедряющих высокие технологии и роботизацию процессов производства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  <w:p>
            <w:pPr>
              <w:pStyle w:val="1023"/>
              <w:jc w:val="both"/>
            </w:pPr>
            <w:r>
              <w:t xml:space="preserve">Министерство цифрового развития, информационной политики и массовых коммуникаций Чувашской Республики</w:t>
            </w:r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36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Оказание содействия субъектам АПК в переходе к Agricul</w:t>
            </w:r>
            <w:r>
              <w:t xml:space="preserve">ture 4.0, посредством внедрения инновационных технологий, включая датчики, массивы данных и способы их обработки с использованием элементов искусственного интеллекта, машинное обучение, а также средства механизации и автоматизации производства, и пр., что </w:t>
            </w:r>
            <w:r>
              <w:t xml:space="preserve">позволит повысить урожайность, сэкономить время для принятия эффективного решения на основе объективных данных и обеспечить решение задач по продовольственной безопасности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  <w:p>
            <w:pPr>
              <w:pStyle w:val="1023"/>
            </w:pPr>
            <w:r>
              <w:t xml:space="preserve">Министерство цифрового развития, </w:t>
            </w:r>
            <w:r>
              <w:t xml:space="preserve">информационной политики и массовых коммуникаций Чувашской Республики</w:t>
            </w:r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37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Организация системы подготовки профильных ИТ-специалистов для работы в агропромышленном комплексе региона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  <w:p>
            <w:pPr>
              <w:pStyle w:val="1023"/>
              <w:jc w:val="both"/>
            </w:pPr>
            <w:r>
              <w:t xml:space="preserve">Министерство цифрового развития, информационной политики и массовых коммуникаций Чувашской Республики</w:t>
            </w:r>
            <w:r/>
          </w:p>
          <w:p>
            <w:pPr>
              <w:pStyle w:val="1023"/>
              <w:jc w:val="both"/>
            </w:pPr>
            <w:r>
              <w:t xml:space="preserve">Министерство образования Чувашской Республики</w:t>
            </w:r>
            <w:r/>
          </w:p>
          <w:p>
            <w:pPr>
              <w:pStyle w:val="1023"/>
              <w:jc w:val="both"/>
            </w:pPr>
            <w:r>
              <w:t xml:space="preserve">ООО «Мобильное Электронное Образование»</w:t>
            </w:r>
            <w:r/>
          </w:p>
          <w:p>
            <w:pPr>
              <w:pStyle w:val="1023"/>
              <w:jc w:val="both"/>
            </w:pPr>
            <w:r>
              <w:t xml:space="preserve">АО «Россельхозбанк»</w:t>
            </w:r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38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Оказание содействия в обучении руководителей и специалистов в сфере АПК, непосредственно связанных с внедрением в практическую деятельность предприятий цифровых технологий, и повышении квалификации на постоянной основе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  <w:p>
            <w:pPr>
              <w:pStyle w:val="1023"/>
            </w:pPr>
            <w:r>
              <w:t xml:space="preserve">Министерство цифрового развития, информационной политики и массовых коммуникаций Чувашской Республики</w:t>
            </w:r>
            <w:r/>
          </w:p>
          <w:p>
            <w:pPr>
              <w:pStyle w:val="1023"/>
              <w:jc w:val="both"/>
            </w:pPr>
            <w:r>
              <w:t xml:space="preserve">Министерство образования Чувашской Республики</w:t>
            </w:r>
            <w:r/>
          </w:p>
          <w:p>
            <w:pPr>
              <w:pStyle w:val="1023"/>
              <w:jc w:val="both"/>
            </w:pPr>
            <w:r>
              <w:t xml:space="preserve">ООО «Мобильное Электронное Образование»</w:t>
            </w:r>
            <w:r/>
          </w:p>
          <w:p>
            <w:pPr>
              <w:pStyle w:val="1023"/>
            </w:pPr>
            <w:r>
              <w:t xml:space="preserve">АО «Россельхозбанк»</w:t>
            </w:r>
            <w:r/>
          </w:p>
        </w:tc>
      </w:tr>
      <w:tr>
        <w:tblPrEx/>
        <w:trPr/>
        <w:tc>
          <w:tcPr>
            <w:gridSpan w:val="4"/>
            <w:tcW w:w="14454" w:type="dxa"/>
            <w:textDirection w:val="lrTb"/>
            <w:noWrap w:val="false"/>
          </w:tcPr>
          <w:p>
            <w:pPr>
              <w:pStyle w:val="1023"/>
            </w:pPr>
            <w:r>
              <w:t xml:space="preserve">Отраслевая специализация региона в отрасли хмелеводства – Центр компетенций «Чувашия – центр производства хмеля»</w:t>
            </w:r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39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</w:pPr>
            <w:r>
              <w:t xml:space="preserve">Реализация мероприятий регионального проекта «Развитие производства хмеля»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  <w:p>
            <w:pPr>
              <w:pStyle w:val="1023"/>
              <w:jc w:val="both"/>
            </w:pPr>
            <w:r>
              <w:t xml:space="preserve">ФГБОУ ВО «Чувашский государственный аграрный университет»</w:t>
            </w:r>
            <w:r/>
          </w:p>
          <w:p>
            <w:pPr>
              <w:jc w:val="both"/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  <w:t xml:space="preserve">ФГБНУ Чувашский Научно-Исследовательский институт Сельского Хозяйства</w:t>
            </w:r>
            <w:r/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40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</w:pPr>
            <w:r>
              <w:t xml:space="preserve">Техническое и технологическое обновление хмелеводства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промышленности и энергетики Чувашской Республики</w:t>
            </w:r>
            <w:r/>
          </w:p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</w:tc>
      </w:tr>
      <w:tr>
        <w:tblPrEx/>
        <w:trPr/>
        <w:tc>
          <w:tcPr>
            <w:tcW w:w="811" w:type="dxa"/>
            <w:textDirection w:val="lrTb"/>
            <w:noWrap w:val="false"/>
          </w:tcPr>
          <w:p>
            <w:pPr>
              <w:pStyle w:val="1023"/>
            </w:pPr>
            <w:r>
              <w:t xml:space="preserve">41</w:t>
            </w:r>
            <w:r/>
          </w:p>
        </w:tc>
        <w:tc>
          <w:tcPr>
            <w:tcW w:w="6457" w:type="dxa"/>
            <w:textDirection w:val="lrTb"/>
            <w:noWrap w:val="false"/>
          </w:tcPr>
          <w:p>
            <w:pPr>
              <w:pStyle w:val="1023"/>
            </w:pPr>
            <w:r>
              <w:t xml:space="preserve">Совершенствование деятельности Центра компетенций «Чувашия – центр производства хмеля»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pStyle w:val="1023"/>
              <w:jc w:val="center"/>
            </w:pPr>
            <w:r>
              <w:t xml:space="preserve">2025–2030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023"/>
              <w:jc w:val="both"/>
            </w:pPr>
            <w:r>
              <w:t xml:space="preserve">Министерство сельского хозяйства Чувашской Республики</w:t>
            </w:r>
            <w:r/>
          </w:p>
          <w:p>
            <w:pPr>
              <w:jc w:val="both"/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  <w:lang w:eastAsia="ru-RU"/>
              </w:rPr>
              <w:t xml:space="preserve">Территориальные органы Министерства сельского хозяйства Чувашской Республики</w:t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strike/>
                <w:color w:val="ff0000"/>
                <w:sz w:val="24"/>
                <w:szCs w:val="24"/>
              </w:rPr>
            </w:r>
          </w:p>
          <w:p>
            <w:pPr>
              <w:pStyle w:val="1023"/>
              <w:jc w:val="both"/>
            </w:pPr>
            <w:r>
              <w:t xml:space="preserve">ФГБОУ ВО «Чувашский государственный аграрный университет»</w:t>
            </w:r>
            <w:r/>
          </w:p>
          <w:p>
            <w:pPr>
              <w:pStyle w:val="1023"/>
              <w:jc w:val="both"/>
            </w:pPr>
            <w:r>
              <w:t xml:space="preserve">ФГБНУ Чувашский Научно-Исследовательский институт Сельского Хозяйства</w:t>
            </w:r>
            <w:r/>
          </w:p>
        </w:tc>
      </w:tr>
    </w:tbl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1"/>
        <w:jc w:val="both"/>
        <w:pageBreakBefore/>
        <w:spacing w:before="0" w:beforeAutospacing="0" w:after="0" w:afterAutospacing="0"/>
        <w:rPr>
          <w:sz w:val="28"/>
          <w:szCs w:val="28"/>
        </w:rPr>
      </w:pPr>
      <w:r/>
      <w:bookmarkStart w:id="68" w:name="_Toc176798851"/>
      <w:r>
        <w:rPr>
          <w:caps/>
          <w:sz w:val="28"/>
        </w:rPr>
        <w:t xml:space="preserve">Приложение </w:t>
      </w:r>
      <w:r>
        <w:rPr>
          <w:caps/>
          <w:sz w:val="28"/>
        </w:rPr>
        <w:t xml:space="preserve">9</w:t>
      </w:r>
      <w:r>
        <w:rPr>
          <w:caps/>
          <w:sz w:val="28"/>
        </w:rPr>
        <w:t xml:space="preserve">. </w:t>
      </w:r>
      <w:r>
        <w:rPr>
          <w:sz w:val="28"/>
          <w:szCs w:val="28"/>
        </w:rPr>
        <w:t xml:space="preserve">Перечень инвестиционных проектов в сфере АПК, планируемых к реализации в период 2025–2030 гг. в Чувашской Республике</w:t>
      </w:r>
      <w:bookmarkEnd w:id="68"/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50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3826"/>
        <w:gridCol w:w="1139"/>
        <w:gridCol w:w="1032"/>
        <w:gridCol w:w="9"/>
        <w:gridCol w:w="1479"/>
        <w:gridCol w:w="1116"/>
        <w:gridCol w:w="884"/>
        <w:gridCol w:w="884"/>
        <w:gridCol w:w="1041"/>
        <w:gridCol w:w="9"/>
        <w:gridCol w:w="1028"/>
        <w:gridCol w:w="867"/>
        <w:gridCol w:w="9"/>
        <w:gridCol w:w="1125"/>
        <w:gridCol w:w="9"/>
      </w:tblGrid>
      <w:tr>
        <w:tblPrEx/>
        <w:trPr>
          <w:gridAfter w:val="1"/>
          <w:trHeight w:val="666"/>
          <w:tblHeader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ind w:right="-10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Годы реализации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ind w:left="-107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Мощность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488" w:type="dxa"/>
            <w:vAlign w:val="center"/>
            <w:textDirection w:val="lrTb"/>
            <w:noWrap w:val="false"/>
          </w:tcPr>
          <w:p>
            <w:pPr>
              <w:ind w:right="-130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Прогнозные объемы финансирования (бюджетные и внебюджетные)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Всего, в т.ч.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16"/>
            <w:shd w:val="clear" w:color="000000" w:fill="ffffff"/>
            <w:tcW w:w="1501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Алатырский муниципальный округ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24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Модернизация и развитие осетрового рыбоводного хозяйства, КФХ Кириллов Евгений Олегович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2027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 тонн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зерносушильного комплекса в п. Восход, ООО Агрохолдинг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КиПиАй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ind w:right="-71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 тонн/час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69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овцеводческой фермы на 1000 голов и цеха переработки, ИП Чалых Андрей Михайлович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2026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 тонн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171"/>
        </w:trPr>
        <w:tc>
          <w:tcPr>
            <w:gridSpan w:val="5"/>
            <w:shd w:val="clear" w:color="000000" w:fill="ffffff"/>
            <w:tcW w:w="6567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Итого по Алатырскому муниципальному округу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479" w:type="dxa"/>
            <w:vAlign w:val="center"/>
            <w:textDirection w:val="lrTb"/>
            <w:noWrap w:val="false"/>
          </w:tcPr>
          <w:p>
            <w:pPr>
              <w:ind w:left="-3" w:right="-179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135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4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3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87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16"/>
            <w:shd w:val="clear" w:color="ffffff" w:fill="ffffff"/>
            <w:tcW w:w="1501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Аликовский муниципальный округ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84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СХПК «Новый путь», строительство телятника в д. Большие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Шиуши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молочно-товарного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 комплекса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24,0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12"/>
        </w:trPr>
        <w:tc>
          <w:tcPr>
            <w:gridSpan w:val="5"/>
            <w:shd w:val="clear" w:color="000000" w:fill="ffffff"/>
            <w:tcW w:w="6567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Итого по Аликовскому муниципальному округу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47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24,0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24,0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4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3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87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16"/>
            <w:shd w:val="clear" w:color="000000" w:fill="ffffff"/>
            <w:tcW w:w="1501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Батыревский муниципальный округ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526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ООО Агрофирма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Кзыл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–Камыш, овощехранилище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415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Индустриальный парк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ind w:right="-71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892,0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892,0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239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СППК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Агроспутник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», строительство молочного цеха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66,6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66,6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1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СХПК «Труд», строительство коровника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1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Агрофирма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Куснар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», молочно–товарный комплекс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2025-2027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1200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500,0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1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КФХ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Санзяпов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 Р.Ш., строительство коровника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2025-2026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250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1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КФХ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Санзяпов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 Р.Ш., строительство телятника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2025-2026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186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ЗАО «Батыревский», МТФ на 400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400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СХПК Красное знамя, молочно–товарный комплекс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400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5"/>
            <w:shd w:val="clear" w:color="ffffff" w:fill="ffffff"/>
            <w:tcW w:w="6567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Итого по Батыревскому муниципальному округу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47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1802,6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1162,6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440,0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8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16"/>
            <w:shd w:val="clear" w:color="ffffff" w:fill="ffffff"/>
            <w:tcW w:w="1501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Вурнарский муниципальный округ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24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зерносклада на 1000 тонн СХПК им. К. Маркса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2027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1000 тонн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зерносклада на 1000 тонн ООО «Агрофирма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Санары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2029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1000 тонн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5"/>
            <w:shd w:val="clear" w:color="000000" w:fill="ffffff"/>
            <w:tcW w:w="6567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Итого по Вурнарскому муниципальному округу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479" w:type="dxa"/>
            <w:vAlign w:val="center"/>
            <w:textDirection w:val="lrTb"/>
            <w:noWrap w:val="false"/>
          </w:tcPr>
          <w:p>
            <w:pPr>
              <w:ind w:right="-174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4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3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87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65"/>
        </w:trPr>
        <w:tc>
          <w:tcPr>
            <w:gridSpan w:val="16"/>
            <w:shd w:val="clear" w:color="ffffff" w:fill="ffffff"/>
            <w:tcW w:w="1501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Ибресинский муниципальный округ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24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МТФ колхоза «Красный партизан» на 600 голов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2025–2026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4200 тонн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Расширение производства сыров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br/>
              <w:t xml:space="preserve">ООО «Волжское перерабатывающее предприятие»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2025–2030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576 млн рублей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576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5"/>
            <w:shd w:val="clear" w:color="000000" w:fill="ffffff"/>
            <w:tcW w:w="6567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Итого по Ибресинскому муниципальному округу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479" w:type="dxa"/>
            <w:vAlign w:val="center"/>
            <w:textDirection w:val="lrTb"/>
            <w:noWrap w:val="false"/>
          </w:tcPr>
          <w:p>
            <w:pPr>
              <w:ind w:right="-174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776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4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3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87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16"/>
            <w:shd w:val="clear" w:color="ffffff" w:fill="ffffff"/>
            <w:tcW w:w="1501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Канашский муниципальный округ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24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животноводческого комплекса молочного направления КРС на 600 голов, СХПК им Кирова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600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218,52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72,84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72,84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72,84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зерносушильного комплекса, ООО «Канаш–Агро»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50 тонн в час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Чувашский мед–пекарня, СППК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Мелилотус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помещения для содержания КРС на 100 голов, КФХ Никонова В.М.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помещения для содержания телят на 100 голов, КФХ Никонова В.М.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Реконструкция и модернизация птичников, ООО «ППЗ "Канашский»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250000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183"/>
        </w:trPr>
        <w:tc>
          <w:tcPr>
            <w:gridSpan w:val="5"/>
            <w:shd w:val="clear" w:color="ffffff" w:fill="ffffff"/>
            <w:tcW w:w="6567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Итого по Канашскому муниципальному округу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479" w:type="dxa"/>
            <w:vAlign w:val="center"/>
            <w:textDirection w:val="lrTb"/>
            <w:noWrap w:val="false"/>
          </w:tcPr>
          <w:p>
            <w:pPr>
              <w:ind w:right="-174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703,52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557,84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72,84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4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72,84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3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87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16"/>
            <w:shd w:val="clear" w:color="000000" w:fill="ffffff"/>
            <w:tcW w:w="15018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Козловский муниципальный округ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теплиц для производства рассады овощных культур и цветов, КФХ Семенова И.В.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зимовального пруда для рыб. Приобретение оборудования в КФХ Сергеева О.М.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Реконструкция цеха по производству комбикормов в КФХ Афанасьева А.Ю.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Реконструкция цеха по переработке рыбы в КФХ Афанасьева А.Ю.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130"/>
        </w:trPr>
        <w:tc>
          <w:tcPr>
            <w:gridSpan w:val="5"/>
            <w:shd w:val="clear" w:color="000000" w:fill="ffffff"/>
            <w:tcW w:w="6567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Итого по Козловскому муниципальному округу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479" w:type="dxa"/>
            <w:vAlign w:val="center"/>
            <w:textDirection w:val="lrTb"/>
            <w:noWrap w:val="false"/>
          </w:tcPr>
          <w:p>
            <w:pPr>
              <w:ind w:right="-174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4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3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87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16"/>
            <w:shd w:val="clear" w:color="000000" w:fill="ffffff"/>
            <w:tcW w:w="15018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Комсомольский муниципальный округ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СХПК «Восток», строительство летнего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лагеля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 для телок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СХПК «Восток», строительство зерносклада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1500 тонн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СХПК «Восток», строительство ангара для хранения зерна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300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колхоз «Искра», строительство ангара для хранения зерна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5"/>
            <w:shd w:val="clear" w:color="000000" w:fill="ffffff"/>
            <w:tcW w:w="6567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Итого по Комсомольскому муниципальному округу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479" w:type="dxa"/>
            <w:vAlign w:val="center"/>
            <w:textDirection w:val="lrTb"/>
            <w:noWrap w:val="false"/>
          </w:tcPr>
          <w:p>
            <w:pPr>
              <w:ind w:right="-174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14,1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14,1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4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3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87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16"/>
            <w:shd w:val="clear" w:color="000000" w:fill="ffffff"/>
            <w:tcW w:w="15018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Красноармейский муниципальный округ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Животноводческий комплекс молочного направления на 1800 голов КРС ООО «Красное Сормово» – региональный проект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11 800 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объем финансирования, 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719,5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119,5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ИП Глава КФХ Игнатьева И.В., строительство молочно– товарной фермы на 150 голов – региональный проект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2027–2030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150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ИП Глава КФХ Шумилов В.Н., строительство картофеле – и овощехранилище – региональный проект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2027–2030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1500 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ИП Глава КФХ Харитонов В.А., строительство телятника – региональный проект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2027–2030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КФХ Николаева А.Н. строительство зерносклада – региональный проект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2027–2030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500 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69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ИП Ильин Г.В., строительство овощехранилище – региональный проект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1500 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ИП Глава КФХ Ермаков В.Ю., строительство зернохранилища с комплексом переработки – региональный проект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2025–2030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3000 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ООО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Волит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», строительство телятника на 150 голов (молочное направления) – региональный проект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150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5"/>
            <w:shd w:val="clear" w:color="ffffff" w:fill="ffffff"/>
            <w:tcW w:w="6567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Итого по Красноармейскому муниципальному округу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479" w:type="dxa"/>
            <w:vAlign w:val="center"/>
            <w:textDirection w:val="lrTb"/>
            <w:noWrap w:val="false"/>
          </w:tcPr>
          <w:p>
            <w:pPr>
              <w:ind w:right="-174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836,5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144,5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138,5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4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138,5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3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138,5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87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138,5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138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65"/>
        </w:trPr>
        <w:tc>
          <w:tcPr>
            <w:gridSpan w:val="16"/>
            <w:shd w:val="clear" w:color="000000" w:fill="ffffff"/>
            <w:tcW w:w="15018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Красночетайский муниципальный округ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525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коровника на 200 голов, СХПК «Нива»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овчарни на 7000 голов, ООО «Луга Чувашии»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2024–2026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7000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молочно –товарной фермы на 1000 голов, ООО «Луга Чувашии»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2025–2027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молочного завода ООО «Луга Чувашии»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2025–2027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убойного цеха ООО «Луга Чуваши»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2026–2028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180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180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(реконструкция) зернохранилища, ИП Глава КФХ Хохлов Н.П.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2024–2026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Строительство(установка)сушилки трав ООО «СТК 21»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2024–2028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цеха переработки и доработки семян зерновых, зернобобовых и трав ООО «СТК 21»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зерноскладов ООО «СТК 21»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5"/>
            <w:shd w:val="clear" w:color="ffffff" w:fill="ffffff"/>
            <w:tcW w:w="6567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Итого по Красночетайскому муниципальному округу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479" w:type="dxa"/>
            <w:vAlign w:val="center"/>
            <w:textDirection w:val="lrTb"/>
            <w:noWrap w:val="false"/>
          </w:tcPr>
          <w:p>
            <w:pPr>
              <w:ind w:right="-174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891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4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3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280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87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16"/>
            <w:shd w:val="clear" w:color="ffffff" w:fill="ffffff"/>
            <w:tcW w:w="1501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Мариинско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–Посадский муниципальный округ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24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силостных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 ям КФХ Федоров Александр Витальевич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Реконструкция здания для содержания молодняка (крупнорогатого скота) КФХ Федоров Александр Витальевич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Создание и развитие аквафермы по выращиванию сома ИП Краюшкин Александр Викторович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2028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11,42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11,42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Обрядин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 А.Г. «Аквакультура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Марпосад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2026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11,43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11,43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5"/>
            <w:shd w:val="clear" w:color="000000" w:fill="ffffff"/>
            <w:tcW w:w="6567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Итого по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Мариинско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–Посадскому муниципальному округу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479" w:type="dxa"/>
            <w:vAlign w:val="center"/>
            <w:textDirection w:val="lrTb"/>
            <w:noWrap w:val="false"/>
          </w:tcPr>
          <w:p>
            <w:pPr>
              <w:ind w:right="-174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29,847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11,427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4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3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11,42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87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16"/>
            <w:shd w:val="clear" w:color="ffffff" w:fill="ffffff"/>
            <w:tcW w:w="1501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Моргаушский муниципальный округ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24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«Производство безалкогольных напитков», ООО «Хмель–Чувашии»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2023–2026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ИП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Ерцев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 Д.И., производство и переработка сельскохозяйственной продукции. производство сыров, соков и т. д.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ООО «Юнга», сыроделие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2022–2026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14,3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14,3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ИП Павлов В.П., товарная аквакультура (форель)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2023–2027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5,7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5,7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ООО АФ им. Мичурина, посадка многолетних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ягодно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–кустарниковых и многолетних плодовых насаждений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2018–2026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ИП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Самушков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 Е. Ю., выращивание ягодных культур (клубника садовая)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2021–2025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15 га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ИП Иванов А.В. Выращивание ягодных культур (клубника садовая)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2022–2025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18 га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21,7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21,7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ООО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Агрико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», производство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субстрактов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 для выращивания грибов вешенок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2021–2025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ИП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Плечов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 Е.И., выращивание земляники садовой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2022–2026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 га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4,4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4,4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ИП Кондратьев А.В., выращивание земляники садовой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2022–2026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 га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5,7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5,7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ИП Васильев Н.А., выращивание земляники садовой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2023–2027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 га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5,7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5,7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ИП Краснов Е.Ю., выращивание земляники садовой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2023–2027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 га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5,7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5,7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0"/>
        </w:trPr>
        <w:tc>
          <w:tcPr>
            <w:shd w:val="clear" w:color="ffffff" w:fill="ffffff"/>
            <w:tcW w:w="561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ИП Рыбаков С.В., выращивание овец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2023–2027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3,8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3,8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КФХ Афанасьевой А.А., строительство ангара для хранения техники с подъездными путями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2021–2026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/>
          </w:tcPr>
          <w:p>
            <w:pPr>
              <w:ind w:right="-71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1680 кв. 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КФХ Толстов А.А., строительство овощехранилища для хранения овощей на 3000 тонн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3000 тонн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СХПК им. Суворова, строительство доильного зала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36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СХПК им. Суворова, строительство коровников на 1000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2025–2028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АО «АФ "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Куснар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», строительство коровника на 500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2025–2028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500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КФХ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Мерлов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 А.В., строительство зерносклада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2020–2025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900 кв. м.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ИП Шуваев Е.А.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2023-2027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5"/>
            <w:shd w:val="clear" w:color="000000" w:fill="ffffff"/>
            <w:tcW w:w="6567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Итого по Моргаушскому муниципальному округу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479" w:type="dxa"/>
            <w:vAlign w:val="center"/>
            <w:textDirection w:val="lrTb"/>
            <w:noWrap w:val="false"/>
          </w:tcPr>
          <w:p>
            <w:pPr>
              <w:ind w:right="-174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1171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189,7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150,4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41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120,9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37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876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16"/>
            <w:shd w:val="clear" w:color="ffffff" w:fill="ffffff"/>
            <w:tcW w:w="15018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Общерегиональные проекты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Запуск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Агрохаба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 в д. Ландыши Моргаушского муниципального округа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2035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4099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4099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40"/>
        </w:trPr>
        <w:tc>
          <w:tcPr>
            <w:gridSpan w:val="16"/>
            <w:shd w:val="clear" w:color="ffffff" w:fill="ffffff"/>
            <w:tcW w:w="1501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Порецкий муниципальный округ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Проект по развитию агротуризма КФХ Васильев А.Л.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13,4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13,4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5"/>
            <w:shd w:val="clear" w:color="000000" w:fill="ffffff"/>
            <w:tcW w:w="6567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Итого по Порецкому муниципальному округу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479" w:type="dxa"/>
            <w:vAlign w:val="center"/>
            <w:textDirection w:val="lrTb"/>
            <w:noWrap w:val="false"/>
          </w:tcPr>
          <w:p>
            <w:pPr>
              <w:ind w:right="-174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13,4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13,4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4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3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87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40"/>
        </w:trPr>
        <w:tc>
          <w:tcPr>
            <w:gridSpan w:val="16"/>
            <w:shd w:val="clear" w:color="ffffff" w:fill="ffffff"/>
            <w:tcW w:w="1501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Урмарский муниципальный округ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зернохранилища, ООО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Свебрата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2025–2030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2 000 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животноводческой фермы на 200 голов КРС молочного направления, КФХ Иванов В.А.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3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2025–2030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65,0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35,0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мелиоративной системы и гидротехнического сооружения в ООО «Каспий–Агро»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2025–2030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35,0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35,0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зерносклада на 18х90 м.  ИП КФХ Иванов В.А.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3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2025–2030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1 620 м2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15,0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15,0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зерносклада на 3000 тонн зерна и приобретение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оборудования для производства комбикорма, ИП КФХ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Иваншкин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 В.Я.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39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2025–2030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3 000 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зерносклада на 3000 тонн зерна и приобретение оборудования для производства комбикорма ИП КФХ Яковлев В.Н.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3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2025–2030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5"/>
            <w:shd w:val="clear" w:color="000000" w:fill="ffffff"/>
            <w:tcW w:w="6567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Итого по Урмарскому муниципальному округу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479" w:type="dxa"/>
            <w:vAlign w:val="center"/>
            <w:textDirection w:val="lrTb"/>
            <w:noWrap w:val="false"/>
          </w:tcPr>
          <w:p>
            <w:pPr>
              <w:ind w:right="-174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165,0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105,0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4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3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87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16"/>
            <w:shd w:val="clear" w:color="ffffff" w:fill="ffffff"/>
            <w:tcW w:w="1501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Цивильский муниципальный округ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24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ООО "ВДС", строительство цеха для убоя и переработки птицы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1500 голов в час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комбикормового центра, АО «Агрофирма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Куснар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2026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площадки по выращиванию нетелей АО «Агрофирма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Куснар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2026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МТФ, АО «Агрофирма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Куснар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572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572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резервуаров под рапсовое масло ООО «ТД Хорошавина А. В.»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зерноскладов для хранения зерновых и масличных культур ООО «ТД Хорошавина А. В.»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000000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Завершение строительство склада для картофеля, ООО КФХ «Луч»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116"/>
        </w:trPr>
        <w:tc>
          <w:tcPr>
            <w:gridSpan w:val="5"/>
            <w:shd w:val="clear" w:color="000000" w:fill="ffffff"/>
            <w:tcW w:w="6567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Итого по Цивильскому муниципальному округу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479" w:type="dxa"/>
            <w:vAlign w:val="center"/>
            <w:textDirection w:val="lrTb"/>
            <w:noWrap w:val="false"/>
          </w:tcPr>
          <w:p>
            <w:pPr>
              <w:ind w:right="-174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1097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697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4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3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87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40"/>
        </w:trPr>
        <w:tc>
          <w:tcPr>
            <w:gridSpan w:val="16"/>
            <w:shd w:val="clear" w:color="ffffff" w:fill="ffffff"/>
            <w:tcW w:w="1501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Общерегиональные проекты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0"/>
        </w:trPr>
        <w:tc>
          <w:tcPr>
            <w:gridSpan w:val="2"/>
            <w:shd w:val="clear" w:color="000000" w:fill="ffffff"/>
            <w:tcW w:w="4387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Общерегиональный проект б/н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1149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749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40"/>
        </w:trPr>
        <w:tc>
          <w:tcPr>
            <w:gridSpan w:val="16"/>
            <w:shd w:val="clear" w:color="ffffff" w:fill="ffffff"/>
            <w:tcW w:w="1501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Чебоксарский муниципальный округ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Реконструкция и модернизация тепличного комплекса, АО «Агрофирма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Ольдеевская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2020–2030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60,8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12,5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12,5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13,0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12,0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10,8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животноводческого комплекса КРС на 400 дойных коров, АО «Агрофирма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Ольдеевская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2020–2030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400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105,0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21,0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21,0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21,0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21,0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21,0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площадки по выращиванию и откорму молодняка КРС молочной породы на 296 голов,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br/>
              <w:t xml:space="preserve">АО «Агрофирма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Ольдеевская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2022–2025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296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64,1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64,1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1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Реконструкция коровника,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br/>
              <w:t xml:space="preserve">АО «Агрофирма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Ольдеевская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2023–2025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кормоцеха,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br/>
              <w:t xml:space="preserve">АО «Агрофирма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Ольдеевская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2023–2025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127,1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127,1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Реконструкция птичника 14 корпусов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br/>
              <w:t xml:space="preserve">д.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Хурынлых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, Чебоксарский район,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br/>
              <w:t xml:space="preserve">ООО «Мега ЮРМА»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862,0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862,0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1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Реконструкция площадки для откорма цыплят-бройлеров, ст. Тюрлема, Козловский р-н, ООО «Мега ЮРМА»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956,0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956,0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завода по переработке побочных продуктов убоя,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br/>
              <w:t xml:space="preserve">ООО «Мега ЮРМА»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226,0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226,0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цеха по переработке мяса КРС, ООО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ЧебоМилк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300,0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площадки по выращиванию и откорму молодняка КРС молочных пород, АО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Чурачикское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120,0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120,0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животноводческого комплекса на 2400 голов, АО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Чурачикское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»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2 400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1200,0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Создание селекционной лаборатории племенного животноводства со строительством помещения для содержания племенных быков–производителей, АО «Чувашское» по племенной работе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2025–2028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68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Модернизация и ремонт на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Алатырьском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 комбикормовом заводе,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br/>
              <w:t xml:space="preserve">ООО «Мега ЮРМА»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74,0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14,0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000000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9"/>
        </w:trPr>
        <w:tc>
          <w:tcPr>
            <w:gridSpan w:val="5"/>
            <w:shd w:val="clear" w:color="000000" w:fill="ffffff"/>
            <w:tcW w:w="6567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Итого по Чебоксарскому муниципальному округу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479" w:type="dxa"/>
            <w:vAlign w:val="center"/>
            <w:textDirection w:val="lrTb"/>
            <w:noWrap w:val="false"/>
          </w:tcPr>
          <w:p>
            <w:pPr>
              <w:ind w:right="-174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4205,0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2745,2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373,5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4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363,5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3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258,0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87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233,0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231,8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16"/>
            <w:shd w:val="clear" w:color="ffffff" w:fill="ffffff"/>
            <w:tcW w:w="1501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Шемуршинский муниципальный округ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1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и модернизация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телятника,  КФХ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 Егоров А.П.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652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и модернизация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телятника,  КФХ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Хлюкин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 О.А.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2026–2027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522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телятника по откорму КРС, КФХ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Рахматуллов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 Ф.С.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2027–2028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461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и модернизация телятника, КФХ Макаров Г.Н.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1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Развитие хмелеводства, КФХ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Хлюкин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 О.А.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2025–2030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57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Реконструкция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зернохранилища,  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br/>
              <w:t xml:space="preserve">ОО "Победа"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2027–2028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532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Реконструкция зернохранилища, КФХ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Пондякова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 Е.В.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2026–2027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1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и модернизация телятника, КФХ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Хлюкин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 О.А.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2026–2027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130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5"/>
            <w:shd w:val="clear" w:color="000000" w:fill="ffffff"/>
            <w:tcW w:w="6567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Итого по Шемуршинскому муниципальному округу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479" w:type="dxa"/>
            <w:vAlign w:val="center"/>
            <w:textDirection w:val="lrTb"/>
            <w:noWrap w:val="false"/>
          </w:tcPr>
          <w:p>
            <w:pPr>
              <w:ind w:right="-33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98,5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41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22,5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37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876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16"/>
            <w:shd w:val="clear" w:color="ffffff" w:fill="ffffff"/>
            <w:tcW w:w="1501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Шумерлинский муниципальный округ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5"/>
            <w:shd w:val="clear" w:color="ffffff" w:fill="ffffff"/>
            <w:tcW w:w="6567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Итого по Шумерлинскому муниципальному округу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479" w:type="dxa"/>
            <w:vAlign w:val="center"/>
            <w:textDirection w:val="lrTb"/>
            <w:noWrap w:val="false"/>
          </w:tcPr>
          <w:p>
            <w:pPr>
              <w:ind w:right="-106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4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3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87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16"/>
            <w:shd w:val="clear" w:color="ffffff" w:fill="ffffff"/>
            <w:tcW w:w="1501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Ядринский муниципальный округ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24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Приобретение линии розлива молока и молочных продуктов в ПЭТ–бутылку, ОАО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Ядринмолоко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Приобретение оборудования для производства сыра (3000 кг в сутки)», ОАО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Ядринмолоко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2025–2026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140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140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24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здания цеха розлива алкогольной продукции, ООО «Спиртовой завод «Ядринский»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1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Линия розлива производительностью 9 000 бут. в час ООО «Спиртовой завод «Ядринский»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24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рыбного хозяйства с последующей модернизацией аквакультуры», крестьянское (фермерское) хозяйство Кольцова Алексея Николаевича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9,9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9,9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молочно–товарной фермы на 1000 голов, ООО «Родина»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384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384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24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Строительства молочной фермы на 6000 голов, ОАО «Племенной конный завод им. В.И. Чапаева»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н/д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6000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овощехранилища с автоматическим регулированием климата, сельскохозяйственный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обслуживающий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снабженческо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–сбытовой потребительский кооператив «НИМЕ»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1500 тонн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24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склада для семян кормовых культур, крестьянское (фермерское) хозяйство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Гармонистова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 Андрея Рудольфовича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2000 тонн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Модернизация производства пивной продукции», ООО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Евротрейдин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24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хмельников, ООО «Хмель Отчизны»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2026–2027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1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хмелесушильного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 комплекса, ООО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РусХмель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184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Закладка многолетних насаждений (хмель) 10 га, ООО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РусХмель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»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 га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1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Закладка питомника, ООО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РусХмель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2025–2026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24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ангара, КФХ Кольцова Алексея Николаевича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2024–2025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5"/>
            <w:shd w:val="clear" w:color="ffffff" w:fill="ffffff"/>
            <w:tcW w:w="6567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Итого по Ядринскому муниципальному округу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479" w:type="dxa"/>
            <w:vAlign w:val="center"/>
            <w:textDirection w:val="lrTb"/>
            <w:noWrap w:val="false"/>
          </w:tcPr>
          <w:p>
            <w:pPr>
              <w:ind w:right="-106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1422,0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886,1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315,9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4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220,0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3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87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16"/>
            <w:shd w:val="clear" w:color="ffffff" w:fill="ffffff"/>
            <w:tcW w:w="1501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Яльчикский муниципальный округ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24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зерноочистительного комплекса ООО «АСК–Яльчики»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Строительство зерносклада на 700 тонн ИП Главой КФХ Головиным Б.П.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700 тонн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72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Реконструкция телятника на 150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150 голов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000000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8,0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8,0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5"/>
            <w:shd w:val="clear" w:color="ffffff" w:fill="ffffff"/>
            <w:tcW w:w="6567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Итого по Яльчикскому муниципальному округу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479" w:type="dxa"/>
            <w:vAlign w:val="center"/>
            <w:textDirection w:val="lrTb"/>
            <w:noWrap w:val="false"/>
          </w:tcPr>
          <w:p>
            <w:pPr>
              <w:ind w:right="-106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4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3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87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65"/>
        </w:trPr>
        <w:tc>
          <w:tcPr>
            <w:gridSpan w:val="16"/>
            <w:shd w:val="clear" w:color="ffffff" w:fill="ffffff"/>
            <w:tcW w:w="1501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Янтиковский муниципальный округ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gridAfter w:val="1"/>
          <w:trHeight w:val="240"/>
        </w:trPr>
        <w:tc>
          <w:tcPr>
            <w:shd w:val="clear" w:color="ffffff" w:fill="ffffff"/>
            <w:tcW w:w="5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3826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АО «Фирма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Акконд-агро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», строительство комплекса в составе двух телятников на 480 голов, карантинного помещения для телят, бетонной площадки для хранения навоза, силосной траншеи, благоустройства территории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2025–2026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2976 тонн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48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281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181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50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6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70"/>
        </w:trPr>
        <w:tc>
          <w:tcPr>
            <w:gridSpan w:val="5"/>
            <w:shd w:val="clear" w:color="ffffff" w:fill="ffffff"/>
            <w:tcW w:w="6567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Итого по Янтиковскому муниципальному округу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479" w:type="dxa"/>
            <w:vAlign w:val="center"/>
            <w:textDirection w:val="lrTb"/>
            <w:noWrap w:val="false"/>
          </w:tcPr>
          <w:p>
            <w:pPr>
              <w:ind w:right="-106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281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181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4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37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876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37"/>
        </w:trPr>
        <w:tc>
          <w:tcPr>
            <w:gridSpan w:val="16"/>
            <w:shd w:val="clear" w:color="ffffff" w:fill="ffffff"/>
            <w:tcW w:w="1501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ЧУВАШСКАЯ РЕСПУБЛИКА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191"/>
        </w:trPr>
        <w:tc>
          <w:tcPr>
            <w:gridSpan w:val="5"/>
            <w:shd w:val="clear" w:color="ffffff" w:fill="ffffff"/>
            <w:tcW w:w="6567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Всего по Чувашской Республике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479" w:type="dxa"/>
            <w:vAlign w:val="center"/>
            <w:textDirection w:val="lrTb"/>
            <w:noWrap w:val="false"/>
          </w:tcPr>
          <w:p>
            <w:pPr>
              <w:ind w:right="-106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116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19 009,5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ind w:hanging="197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7 908,0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884" w:type="dxa"/>
            <w:vAlign w:val="center"/>
            <w:textDirection w:val="lrTb"/>
            <w:noWrap w:val="false"/>
          </w:tcPr>
          <w:p>
            <w:pPr>
              <w:ind w:hanging="89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2 812,0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104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1 709,2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037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1 512,9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876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497,5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4 569,8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</w:p>
        </w:tc>
      </w:tr>
    </w:tbl>
    <w:p>
      <w:r/>
      <w:r/>
    </w:p>
    <w:sectPr>
      <w:footnotePr/>
      <w:endnotePr/>
      <w:type w:val="nextPage"/>
      <w:pgSz w:w="16838" w:h="11906" w:orient="landscape"/>
      <w:pgMar w:top="1701" w:right="1134" w:bottom="850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CYR">
    <w:panose1 w:val="02000603000000000000"/>
  </w:font>
  <w:font w:name="MADE Evolve Sans">
    <w:panose1 w:val="02000603000000000000"/>
  </w:font>
  <w:font w:name="Roboto">
    <w:panose1 w:val="02000000000000000000"/>
  </w:font>
  <w:font w:name="Times New Roman Полужирный">
    <w:panose1 w:val="02000603000000000000"/>
  </w:font>
  <w:font w:name="Symbol">
    <w:panose1 w:val="05010000000000000000"/>
  </w:font>
  <w:font w:name="Courier New">
    <w:panose1 w:val="02070409020205020404"/>
  </w:font>
  <w:font w:name="Wingdings">
    <w:panose1 w:val="05010000000000000000"/>
  </w:font>
  <w:font w:name="Tahoma">
    <w:panose1 w:val="020B0604030504040204"/>
  </w:font>
  <w:font w:name="Candara">
    <w:panose1 w:val="020F0502020204030204"/>
  </w:font>
  <w:font w:name="Times New Roman CYR">
    <w:panose1 w:val="02000603000000000000"/>
  </w:font>
  <w:font w:name="Calibri">
    <w:panose1 w:val="020F0502020204030204"/>
  </w:font>
  <w:font w:name="Times New Roman">
    <w:panose1 w:val="02020603050405020304"/>
  </w:font>
  <w:font w:name="PT Astra Serif">
    <w:panose1 w:val="020A0603040505020204"/>
  </w:font>
  <w:font w:name="Arial Unicode MS">
    <w:panose1 w:val="020B0506020203020204"/>
  </w:font>
  <w:font w:name="NSimSun">
    <w:panose1 w:val="02000506000000020000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588651040"/>
      <w:docPartObj>
        <w:docPartGallery w:val="Page Numbers (Bottom of Page)"/>
        <w:docPartUnique w:val="true"/>
      </w:docPartObj>
      <w:rPr>
        <w:rFonts w:ascii="Times New Roman" w:hAnsi="Times New Roman" w:cs="Times New Roman"/>
        <w:sz w:val="20"/>
        <w:szCs w:val="20"/>
      </w:rPr>
    </w:sdtPr>
    <w:sdtContent>
      <w:p>
        <w:pPr>
          <w:pStyle w:val="1017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6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36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3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6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3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36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3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360" w:leader="none"/>
        </w:tabs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83" w:hanging="360"/>
      </w:pPr>
      <w:rPr>
        <w:rFonts w:hint="default" w:ascii="Wingdings" w:hAnsi="Wingdings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50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3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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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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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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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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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36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3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6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3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36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3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36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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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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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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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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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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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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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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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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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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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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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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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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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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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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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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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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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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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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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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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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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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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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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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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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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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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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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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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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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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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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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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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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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83" w:hanging="360"/>
      </w:pPr>
      <w:rPr>
        <w:rFonts w:hint="default" w:ascii="Wingdings" w:hAnsi="Wingdings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50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3" w:hanging="360"/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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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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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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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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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2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21"/>
  </w:num>
  <w:num w:numId="2">
    <w:abstractNumId w:val="33"/>
  </w:num>
  <w:num w:numId="3">
    <w:abstractNumId w:val="2"/>
  </w:num>
  <w:num w:numId="4">
    <w:abstractNumId w:val="26"/>
  </w:num>
  <w:num w:numId="5">
    <w:abstractNumId w:val="15"/>
  </w:num>
  <w:num w:numId="6">
    <w:abstractNumId w:val="27"/>
  </w:num>
  <w:num w:numId="7">
    <w:abstractNumId w:val="34"/>
  </w:num>
  <w:num w:numId="8">
    <w:abstractNumId w:val="11"/>
  </w:num>
  <w:num w:numId="9">
    <w:abstractNumId w:val="29"/>
  </w:num>
  <w:num w:numId="10">
    <w:abstractNumId w:val="20"/>
  </w:num>
  <w:num w:numId="11">
    <w:abstractNumId w:val="12"/>
  </w:num>
  <w:num w:numId="12">
    <w:abstractNumId w:val="23"/>
  </w:num>
  <w:num w:numId="13">
    <w:abstractNumId w:val="35"/>
  </w:num>
  <w:num w:numId="14">
    <w:abstractNumId w:val="32"/>
  </w:num>
  <w:num w:numId="15">
    <w:abstractNumId w:val="37"/>
  </w:num>
  <w:num w:numId="16">
    <w:abstractNumId w:val="13"/>
  </w:num>
  <w:num w:numId="17">
    <w:abstractNumId w:val="10"/>
  </w:num>
  <w:num w:numId="18">
    <w:abstractNumId w:val="5"/>
  </w:num>
  <w:num w:numId="19">
    <w:abstractNumId w:val="36"/>
  </w:num>
  <w:num w:numId="20">
    <w:abstractNumId w:val="7"/>
  </w:num>
  <w:num w:numId="21">
    <w:abstractNumId w:val="3"/>
  </w:num>
  <w:num w:numId="22">
    <w:abstractNumId w:val="6"/>
  </w:num>
  <w:num w:numId="23">
    <w:abstractNumId w:val="17"/>
  </w:num>
  <w:num w:numId="24">
    <w:abstractNumId w:val="24"/>
  </w:num>
  <w:num w:numId="25">
    <w:abstractNumId w:val="4"/>
  </w:num>
  <w:num w:numId="26">
    <w:abstractNumId w:val="8"/>
  </w:num>
  <w:num w:numId="27">
    <w:abstractNumId w:val="25"/>
  </w:num>
  <w:num w:numId="28">
    <w:abstractNumId w:val="0"/>
  </w:num>
  <w:num w:numId="29">
    <w:abstractNumId w:val="18"/>
  </w:num>
  <w:num w:numId="30">
    <w:abstractNumId w:val="16"/>
  </w:num>
  <w:num w:numId="31">
    <w:abstractNumId w:val="22"/>
  </w:num>
  <w:num w:numId="32">
    <w:abstractNumId w:val="14"/>
  </w:num>
  <w:num w:numId="33">
    <w:abstractNumId w:val="9"/>
  </w:num>
  <w:num w:numId="34">
    <w:abstractNumId w:val="1"/>
  </w:num>
  <w:num w:numId="35">
    <w:abstractNumId w:val="31"/>
  </w:num>
  <w:num w:numId="36">
    <w:abstractNumId w:val="30"/>
  </w:num>
  <w:num w:numId="37">
    <w:abstractNumId w:val="19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51">
    <w:name w:val="Plain Table 1"/>
    <w:basedOn w:val="7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2">
    <w:name w:val="Plain Table 2"/>
    <w:basedOn w:val="78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3">
    <w:name w:val="Plain Table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4">
    <w:name w:val="Plain Table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Plain Table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6">
    <w:name w:val="Grid Table 1 Light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4"/>
    <w:basedOn w:val="7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0">
    <w:name w:val="Grid Table 5 Dark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1">
    <w:name w:val="Grid Table 6 Colorful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2">
    <w:name w:val="Grid Table 7 Colorful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5">
    <w:name w:val="List Table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5 Dark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8">
    <w:name w:val="List Table 6 Colorful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9">
    <w:name w:val="List Table 7 Colorful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paragraph" w:styleId="770" w:default="1">
    <w:name w:val="Normal"/>
    <w:qFormat/>
  </w:style>
  <w:style w:type="paragraph" w:styleId="771">
    <w:name w:val="Heading 1"/>
    <w:basedOn w:val="770"/>
    <w:link w:val="1011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772">
    <w:name w:val="Heading 2"/>
    <w:basedOn w:val="770"/>
    <w:next w:val="770"/>
    <w:link w:val="85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73">
    <w:name w:val="Heading 3"/>
    <w:basedOn w:val="770"/>
    <w:next w:val="770"/>
    <w:link w:val="85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74">
    <w:name w:val="Heading 4"/>
    <w:basedOn w:val="770"/>
    <w:next w:val="770"/>
    <w:link w:val="85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75">
    <w:name w:val="Heading 5"/>
    <w:basedOn w:val="770"/>
    <w:next w:val="770"/>
    <w:link w:val="85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76">
    <w:name w:val="Heading 6"/>
    <w:basedOn w:val="770"/>
    <w:next w:val="770"/>
    <w:link w:val="85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77">
    <w:name w:val="Heading 7"/>
    <w:basedOn w:val="770"/>
    <w:next w:val="770"/>
    <w:link w:val="85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78">
    <w:name w:val="Heading 8"/>
    <w:basedOn w:val="770"/>
    <w:next w:val="770"/>
    <w:link w:val="86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79">
    <w:name w:val="Heading 9"/>
    <w:basedOn w:val="770"/>
    <w:next w:val="770"/>
    <w:link w:val="86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0" w:default="1">
    <w:name w:val="Default Paragraph Font"/>
    <w:uiPriority w:val="1"/>
    <w:unhideWhenUsed/>
  </w:style>
  <w:style w:type="table" w:styleId="78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2" w:default="1">
    <w:name w:val="No List"/>
    <w:uiPriority w:val="99"/>
    <w:semiHidden/>
    <w:unhideWhenUsed/>
  </w:style>
  <w:style w:type="table" w:styleId="783" w:customStyle="1">
    <w:name w:val="Таблица простая 11"/>
    <w:basedOn w:val="78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4" w:customStyle="1">
    <w:name w:val="Таблица простая 21"/>
    <w:basedOn w:val="78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5" w:customStyle="1">
    <w:name w:val="Таблица простая 31"/>
    <w:basedOn w:val="7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6" w:customStyle="1">
    <w:name w:val="Таблица простая 41"/>
    <w:basedOn w:val="7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Таблица простая 51"/>
    <w:basedOn w:val="7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8" w:customStyle="1">
    <w:name w:val="Таблица-сетка 1 светлая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Таблица-сетка 2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Таблица-сетка 3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Таблица-сетка 41"/>
    <w:basedOn w:val="7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2" w:customStyle="1">
    <w:name w:val="Таблица-сетка 5 темная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3" w:customStyle="1">
    <w:name w:val="Таблица-сетка 6 цветная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4" w:customStyle="1">
    <w:name w:val="Таблица-сетка 7 цветная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5" w:customStyle="1">
    <w:name w:val="Список-таблица 1 светлая1"/>
    <w:basedOn w:val="7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Список-таблица 2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7" w:customStyle="1">
    <w:name w:val="Список-таблица 3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Список-таблица 4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Список-таблица 5 темная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Список-таблица 6 цветная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1" w:customStyle="1">
    <w:name w:val="Список-таблица 7 цветная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2" w:customStyle="1">
    <w:name w:val="Таблица простая 11"/>
    <w:basedOn w:val="78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3" w:customStyle="1">
    <w:name w:val="Таблица простая 21"/>
    <w:basedOn w:val="78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4" w:customStyle="1">
    <w:name w:val="Таблица простая 31"/>
    <w:basedOn w:val="7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5" w:customStyle="1">
    <w:name w:val="Таблица простая 41"/>
    <w:basedOn w:val="7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Таблица простая 51"/>
    <w:basedOn w:val="7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7" w:customStyle="1">
    <w:name w:val="Таблица-сетка 1 светлая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Таблица-сетка 2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Таблица-сетка 3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Таблица-сетка 41"/>
    <w:basedOn w:val="7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1" w:customStyle="1">
    <w:name w:val="Таблица-сетка 5 темная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12" w:customStyle="1">
    <w:name w:val="Таблица-сетка 6 цветная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3" w:customStyle="1">
    <w:name w:val="Таблица-сетка 7 цветная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Список-таблица 1 светлая1"/>
    <w:basedOn w:val="7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Список-таблица 2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6" w:customStyle="1">
    <w:name w:val="Список-таблица 3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Список-таблица 4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Список-таблица 5 темная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Список-таблица 6 цветная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0" w:customStyle="1">
    <w:name w:val="Список-таблица 7 цветная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821" w:customStyle="1">
    <w:name w:val="Heading 2 Char"/>
    <w:basedOn w:val="780"/>
    <w:uiPriority w:val="9"/>
    <w:rPr>
      <w:rFonts w:ascii="Arial" w:hAnsi="Arial" w:eastAsia="Arial" w:cs="Arial"/>
      <w:sz w:val="34"/>
    </w:rPr>
  </w:style>
  <w:style w:type="character" w:styleId="822" w:customStyle="1">
    <w:name w:val="Heading 3 Char"/>
    <w:basedOn w:val="780"/>
    <w:uiPriority w:val="9"/>
    <w:rPr>
      <w:rFonts w:ascii="Arial" w:hAnsi="Arial" w:eastAsia="Arial" w:cs="Arial"/>
      <w:sz w:val="30"/>
      <w:szCs w:val="30"/>
    </w:rPr>
  </w:style>
  <w:style w:type="character" w:styleId="823" w:customStyle="1">
    <w:name w:val="Heading 4 Char"/>
    <w:basedOn w:val="780"/>
    <w:uiPriority w:val="9"/>
    <w:rPr>
      <w:rFonts w:ascii="Arial" w:hAnsi="Arial" w:eastAsia="Arial" w:cs="Arial"/>
      <w:b/>
      <w:bCs/>
      <w:sz w:val="26"/>
      <w:szCs w:val="26"/>
    </w:rPr>
  </w:style>
  <w:style w:type="character" w:styleId="824" w:customStyle="1">
    <w:name w:val="Heading 5 Char"/>
    <w:basedOn w:val="780"/>
    <w:uiPriority w:val="9"/>
    <w:rPr>
      <w:rFonts w:ascii="Arial" w:hAnsi="Arial" w:eastAsia="Arial" w:cs="Arial"/>
      <w:b/>
      <w:bCs/>
      <w:sz w:val="24"/>
      <w:szCs w:val="24"/>
    </w:rPr>
  </w:style>
  <w:style w:type="character" w:styleId="825" w:customStyle="1">
    <w:name w:val="Heading 6 Char"/>
    <w:basedOn w:val="780"/>
    <w:uiPriority w:val="9"/>
    <w:rPr>
      <w:rFonts w:ascii="Arial" w:hAnsi="Arial" w:eastAsia="Arial" w:cs="Arial"/>
      <w:b/>
      <w:bCs/>
      <w:sz w:val="22"/>
      <w:szCs w:val="22"/>
    </w:rPr>
  </w:style>
  <w:style w:type="character" w:styleId="826" w:customStyle="1">
    <w:name w:val="Heading 7 Char"/>
    <w:basedOn w:val="78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27" w:customStyle="1">
    <w:name w:val="Heading 8 Char"/>
    <w:basedOn w:val="780"/>
    <w:uiPriority w:val="9"/>
    <w:rPr>
      <w:rFonts w:ascii="Arial" w:hAnsi="Arial" w:eastAsia="Arial" w:cs="Arial"/>
      <w:i/>
      <w:iCs/>
      <w:sz w:val="22"/>
      <w:szCs w:val="22"/>
    </w:rPr>
  </w:style>
  <w:style w:type="character" w:styleId="828" w:customStyle="1">
    <w:name w:val="Heading 9 Char"/>
    <w:basedOn w:val="780"/>
    <w:uiPriority w:val="9"/>
    <w:rPr>
      <w:rFonts w:ascii="Arial" w:hAnsi="Arial" w:eastAsia="Arial" w:cs="Arial"/>
      <w:i/>
      <w:iCs/>
      <w:sz w:val="21"/>
      <w:szCs w:val="21"/>
    </w:rPr>
  </w:style>
  <w:style w:type="character" w:styleId="829" w:customStyle="1">
    <w:name w:val="Title Char"/>
    <w:basedOn w:val="780"/>
    <w:uiPriority w:val="10"/>
    <w:rPr>
      <w:sz w:val="48"/>
      <w:szCs w:val="48"/>
    </w:rPr>
  </w:style>
  <w:style w:type="character" w:styleId="830" w:customStyle="1">
    <w:name w:val="Subtitle Char"/>
    <w:basedOn w:val="780"/>
    <w:uiPriority w:val="11"/>
    <w:rPr>
      <w:sz w:val="24"/>
      <w:szCs w:val="24"/>
    </w:rPr>
  </w:style>
  <w:style w:type="character" w:styleId="831" w:customStyle="1">
    <w:name w:val="Quote Char"/>
    <w:uiPriority w:val="29"/>
    <w:rPr>
      <w:i/>
    </w:rPr>
  </w:style>
  <w:style w:type="character" w:styleId="832" w:customStyle="1">
    <w:name w:val="Intense Quote Char"/>
    <w:uiPriority w:val="30"/>
    <w:rPr>
      <w:i/>
    </w:rPr>
  </w:style>
  <w:style w:type="table" w:styleId="833" w:customStyle="1">
    <w:name w:val="Таблица простая 11"/>
    <w:basedOn w:val="78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4" w:customStyle="1">
    <w:name w:val="Таблица простая 21"/>
    <w:basedOn w:val="78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5" w:customStyle="1">
    <w:name w:val="Таблица простая 31"/>
    <w:basedOn w:val="7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36" w:customStyle="1">
    <w:name w:val="Таблица простая 41"/>
    <w:basedOn w:val="7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Таблица простая 51"/>
    <w:basedOn w:val="7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8" w:customStyle="1">
    <w:name w:val="Таблица-сетка 1 светлая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Таблица-сетка 2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Таблица-сетка 3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Таблица-сетка 41"/>
    <w:basedOn w:val="7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2" w:customStyle="1">
    <w:name w:val="Таблица-сетка 5 темная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43" w:customStyle="1">
    <w:name w:val="Таблица-сетка 6 цветная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44" w:customStyle="1">
    <w:name w:val="Таблица-сетка 7 цветная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Список-таблица 1 светлая1"/>
    <w:basedOn w:val="7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Список-таблица 2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47" w:customStyle="1">
    <w:name w:val="Список-таблица 3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Список-таблица 4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Список-таблица 5 темная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0" w:customStyle="1">
    <w:name w:val="Список-таблица 6 цветная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51" w:customStyle="1">
    <w:name w:val="Список-таблица 7 цветная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852" w:customStyle="1">
    <w:name w:val="Endnote Text Char"/>
    <w:uiPriority w:val="99"/>
    <w:rPr>
      <w:sz w:val="20"/>
    </w:rPr>
  </w:style>
  <w:style w:type="character" w:styleId="853" w:customStyle="1">
    <w:name w:val="Heading 1 Char"/>
    <w:basedOn w:val="780"/>
    <w:uiPriority w:val="9"/>
    <w:rPr>
      <w:rFonts w:ascii="Arial" w:hAnsi="Arial" w:eastAsia="Arial" w:cs="Arial"/>
      <w:sz w:val="40"/>
      <w:szCs w:val="40"/>
    </w:rPr>
  </w:style>
  <w:style w:type="character" w:styleId="854" w:customStyle="1">
    <w:name w:val="Заголовок 2 Знак"/>
    <w:basedOn w:val="780"/>
    <w:link w:val="772"/>
    <w:uiPriority w:val="9"/>
    <w:rPr>
      <w:rFonts w:ascii="Arial" w:hAnsi="Arial" w:eastAsia="Arial" w:cs="Arial"/>
      <w:sz w:val="34"/>
    </w:rPr>
  </w:style>
  <w:style w:type="character" w:styleId="855" w:customStyle="1">
    <w:name w:val="Заголовок 3 Знак"/>
    <w:basedOn w:val="780"/>
    <w:link w:val="773"/>
    <w:uiPriority w:val="9"/>
    <w:rPr>
      <w:rFonts w:ascii="Arial" w:hAnsi="Arial" w:eastAsia="Arial" w:cs="Arial"/>
      <w:sz w:val="30"/>
      <w:szCs w:val="30"/>
    </w:rPr>
  </w:style>
  <w:style w:type="character" w:styleId="856" w:customStyle="1">
    <w:name w:val="Заголовок 4 Знак"/>
    <w:basedOn w:val="780"/>
    <w:link w:val="774"/>
    <w:uiPriority w:val="9"/>
    <w:rPr>
      <w:rFonts w:ascii="Arial" w:hAnsi="Arial" w:eastAsia="Arial" w:cs="Arial"/>
      <w:b/>
      <w:bCs/>
      <w:sz w:val="26"/>
      <w:szCs w:val="26"/>
    </w:rPr>
  </w:style>
  <w:style w:type="character" w:styleId="857" w:customStyle="1">
    <w:name w:val="Заголовок 5 Знак"/>
    <w:basedOn w:val="780"/>
    <w:link w:val="775"/>
    <w:uiPriority w:val="9"/>
    <w:rPr>
      <w:rFonts w:ascii="Arial" w:hAnsi="Arial" w:eastAsia="Arial" w:cs="Arial"/>
      <w:b/>
      <w:bCs/>
      <w:sz w:val="24"/>
      <w:szCs w:val="24"/>
    </w:rPr>
  </w:style>
  <w:style w:type="character" w:styleId="858" w:customStyle="1">
    <w:name w:val="Заголовок 6 Знак"/>
    <w:basedOn w:val="780"/>
    <w:link w:val="776"/>
    <w:uiPriority w:val="9"/>
    <w:rPr>
      <w:rFonts w:ascii="Arial" w:hAnsi="Arial" w:eastAsia="Arial" w:cs="Arial"/>
      <w:b/>
      <w:bCs/>
      <w:sz w:val="22"/>
      <w:szCs w:val="22"/>
    </w:rPr>
  </w:style>
  <w:style w:type="character" w:styleId="859" w:customStyle="1">
    <w:name w:val="Заголовок 7 Знак"/>
    <w:basedOn w:val="780"/>
    <w:link w:val="77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60" w:customStyle="1">
    <w:name w:val="Заголовок 8 Знак"/>
    <w:basedOn w:val="780"/>
    <w:link w:val="778"/>
    <w:uiPriority w:val="9"/>
    <w:rPr>
      <w:rFonts w:ascii="Arial" w:hAnsi="Arial" w:eastAsia="Arial" w:cs="Arial"/>
      <w:i/>
      <w:iCs/>
      <w:sz w:val="22"/>
      <w:szCs w:val="22"/>
    </w:rPr>
  </w:style>
  <w:style w:type="character" w:styleId="861" w:customStyle="1">
    <w:name w:val="Заголовок 9 Знак"/>
    <w:basedOn w:val="780"/>
    <w:link w:val="779"/>
    <w:uiPriority w:val="9"/>
    <w:rPr>
      <w:rFonts w:ascii="Arial" w:hAnsi="Arial" w:eastAsia="Arial" w:cs="Arial"/>
      <w:i/>
      <w:iCs/>
      <w:sz w:val="21"/>
      <w:szCs w:val="21"/>
    </w:rPr>
  </w:style>
  <w:style w:type="paragraph" w:styleId="862">
    <w:name w:val="Title"/>
    <w:basedOn w:val="770"/>
    <w:next w:val="770"/>
    <w:link w:val="86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63" w:customStyle="1">
    <w:name w:val="Заголовок Знак"/>
    <w:basedOn w:val="780"/>
    <w:link w:val="862"/>
    <w:uiPriority w:val="10"/>
    <w:rPr>
      <w:sz w:val="48"/>
      <w:szCs w:val="48"/>
    </w:rPr>
  </w:style>
  <w:style w:type="paragraph" w:styleId="864">
    <w:name w:val="Subtitle"/>
    <w:basedOn w:val="770"/>
    <w:next w:val="770"/>
    <w:link w:val="865"/>
    <w:uiPriority w:val="11"/>
    <w:qFormat/>
    <w:pPr>
      <w:spacing w:before="200" w:after="200"/>
    </w:pPr>
    <w:rPr>
      <w:sz w:val="24"/>
      <w:szCs w:val="24"/>
    </w:rPr>
  </w:style>
  <w:style w:type="character" w:styleId="865" w:customStyle="1">
    <w:name w:val="Подзаголовок Знак"/>
    <w:basedOn w:val="780"/>
    <w:link w:val="864"/>
    <w:uiPriority w:val="11"/>
    <w:rPr>
      <w:sz w:val="24"/>
      <w:szCs w:val="24"/>
    </w:rPr>
  </w:style>
  <w:style w:type="paragraph" w:styleId="866">
    <w:name w:val="Quote"/>
    <w:basedOn w:val="770"/>
    <w:next w:val="770"/>
    <w:link w:val="867"/>
    <w:uiPriority w:val="29"/>
    <w:qFormat/>
    <w:pPr>
      <w:ind w:left="720" w:right="720"/>
    </w:pPr>
    <w:rPr>
      <w:i/>
    </w:rPr>
  </w:style>
  <w:style w:type="character" w:styleId="867" w:customStyle="1">
    <w:name w:val="Цитата 2 Знак"/>
    <w:link w:val="866"/>
    <w:uiPriority w:val="29"/>
    <w:rPr>
      <w:i/>
    </w:rPr>
  </w:style>
  <w:style w:type="paragraph" w:styleId="868">
    <w:name w:val="Intense Quote"/>
    <w:basedOn w:val="770"/>
    <w:next w:val="770"/>
    <w:link w:val="86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69" w:customStyle="1">
    <w:name w:val="Выделенная цитата Знак"/>
    <w:link w:val="868"/>
    <w:uiPriority w:val="30"/>
    <w:rPr>
      <w:i/>
    </w:rPr>
  </w:style>
  <w:style w:type="character" w:styleId="870" w:customStyle="1">
    <w:name w:val="Header Char"/>
    <w:basedOn w:val="780"/>
    <w:uiPriority w:val="99"/>
  </w:style>
  <w:style w:type="character" w:styleId="871" w:customStyle="1">
    <w:name w:val="Footer Char"/>
    <w:basedOn w:val="780"/>
    <w:uiPriority w:val="99"/>
  </w:style>
  <w:style w:type="paragraph" w:styleId="872">
    <w:name w:val="Caption"/>
    <w:basedOn w:val="770"/>
    <w:next w:val="77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873" w:customStyle="1">
    <w:name w:val="Caption Char"/>
    <w:uiPriority w:val="99"/>
  </w:style>
  <w:style w:type="table" w:styleId="874" w:customStyle="1">
    <w:name w:val="Table Grid Light"/>
    <w:basedOn w:val="78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75" w:customStyle="1">
    <w:name w:val="Таблица простая 11"/>
    <w:basedOn w:val="78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76" w:customStyle="1">
    <w:name w:val="Таблица простая 21"/>
    <w:basedOn w:val="78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77" w:customStyle="1">
    <w:name w:val="Таблица простая 31"/>
    <w:basedOn w:val="7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78" w:customStyle="1">
    <w:name w:val="Таблица простая 41"/>
    <w:basedOn w:val="7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 w:customStyle="1">
    <w:name w:val="Таблица простая 51"/>
    <w:basedOn w:val="7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80" w:customStyle="1">
    <w:name w:val="Таблица-сетка 1 светлая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 w:customStyle="1">
    <w:name w:val="Grid Table 1 Light - Accent 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Grid Table 1 Light - Accent 2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Grid Table 1 Light - Accent 3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Grid Table 1 Light - Accent 4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Grid Table 1 Light - Accent 5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 w:customStyle="1">
    <w:name w:val="Grid Table 1 Light - Accent 6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Таблица-сетка 2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Grid Table 2 - Accent 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Grid Table 2 - Accent 2"/>
    <w:basedOn w:val="7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Grid Table 2 - Accent 3"/>
    <w:basedOn w:val="7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Grid Table 2 - Accent 4"/>
    <w:basedOn w:val="7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Grid Table 2 - Accent 5"/>
    <w:basedOn w:val="7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Grid Table 2 - Accent 6"/>
    <w:basedOn w:val="7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Таблица-сетка 3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Grid Table 3 - Accent 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Grid Table 3 - Accent 2"/>
    <w:basedOn w:val="7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Grid Table 3 - Accent 3"/>
    <w:basedOn w:val="7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Grid Table 3 - Accent 4"/>
    <w:basedOn w:val="7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Grid Table 3 - Accent 5"/>
    <w:basedOn w:val="7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Grid Table 3 - Accent 6"/>
    <w:basedOn w:val="7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Таблица-сетка 41"/>
    <w:basedOn w:val="7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02" w:customStyle="1">
    <w:name w:val="Grid Table 4 - Accent 1"/>
    <w:basedOn w:val="7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903" w:customStyle="1">
    <w:name w:val="Grid Table 4 - Accent 2"/>
    <w:basedOn w:val="7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904" w:customStyle="1">
    <w:name w:val="Grid Table 4 - Accent 3"/>
    <w:basedOn w:val="7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905" w:customStyle="1">
    <w:name w:val="Grid Table 4 - Accent 4"/>
    <w:basedOn w:val="7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906" w:customStyle="1">
    <w:name w:val="Grid Table 4 - Accent 5"/>
    <w:basedOn w:val="7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907" w:customStyle="1">
    <w:name w:val="Grid Table 4 - Accent 6"/>
    <w:basedOn w:val="7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908" w:customStyle="1">
    <w:name w:val="Таблица-сетка 5 темная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909" w:customStyle="1">
    <w:name w:val="Grid Table 5 Dark- Accent 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910" w:customStyle="1">
    <w:name w:val="Grid Table 5 Dark - Accent 2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911" w:customStyle="1">
    <w:name w:val="Grid Table 5 Dark - Accent 3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912" w:customStyle="1">
    <w:name w:val="Grid Table 5 Dark- Accent 4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913" w:customStyle="1">
    <w:name w:val="Grid Table 5 Dark - Accent 5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914" w:customStyle="1">
    <w:name w:val="Grid Table 5 Dark - Accent 6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915" w:customStyle="1">
    <w:name w:val="Таблица-сетка 6 цветная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16" w:customStyle="1">
    <w:name w:val="Grid Table 6 Colorful - Accent 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917" w:customStyle="1">
    <w:name w:val="Grid Table 6 Colorful - Accent 2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918" w:customStyle="1">
    <w:name w:val="Grid Table 6 Colorful - Accent 3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919" w:customStyle="1">
    <w:name w:val="Grid Table 6 Colorful - Accent 4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920" w:customStyle="1">
    <w:name w:val="Grid Table 6 Colorful - Accent 5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921" w:customStyle="1">
    <w:name w:val="Grid Table 6 Colorful - Accent 6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922" w:customStyle="1">
    <w:name w:val="Таблица-сетка 7 цветная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 w:customStyle="1">
    <w:name w:val="Grid Table 7 Colorful - Accent 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 w:customStyle="1">
    <w:name w:val="Grid Table 7 Colorful - Accent 2"/>
    <w:basedOn w:val="7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 w:customStyle="1">
    <w:name w:val="Grid Table 7 Colorful - Accent 3"/>
    <w:basedOn w:val="7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 w:customStyle="1">
    <w:name w:val="Grid Table 7 Colorful - Accent 4"/>
    <w:basedOn w:val="7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 w:customStyle="1">
    <w:name w:val="Grid Table 7 Colorful - Accent 5"/>
    <w:basedOn w:val="7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 w:customStyle="1">
    <w:name w:val="Grid Table 7 Colorful - Accent 6"/>
    <w:basedOn w:val="7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 w:customStyle="1">
    <w:name w:val="Список-таблица 1 светлая1"/>
    <w:basedOn w:val="7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 w:customStyle="1">
    <w:name w:val="List Table 1 Light - Accent 1"/>
    <w:basedOn w:val="7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 w:customStyle="1">
    <w:name w:val="List Table 1 Light - Accent 2"/>
    <w:basedOn w:val="7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2" w:customStyle="1">
    <w:name w:val="List Table 1 Light - Accent 3"/>
    <w:basedOn w:val="7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3" w:customStyle="1">
    <w:name w:val="List Table 1 Light - Accent 4"/>
    <w:basedOn w:val="7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4" w:customStyle="1">
    <w:name w:val="List Table 1 Light - Accent 5"/>
    <w:basedOn w:val="7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5" w:customStyle="1">
    <w:name w:val="List Table 1 Light - Accent 6"/>
    <w:basedOn w:val="7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6" w:customStyle="1">
    <w:name w:val="Список-таблица 2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37" w:customStyle="1">
    <w:name w:val="List Table 2 - Accent 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938" w:customStyle="1">
    <w:name w:val="List Table 2 - Accent 2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939" w:customStyle="1">
    <w:name w:val="List Table 2 - Accent 3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940" w:customStyle="1">
    <w:name w:val="List Table 2 - Accent 4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941" w:customStyle="1">
    <w:name w:val="List Table 2 - Accent 5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942" w:customStyle="1">
    <w:name w:val="List Table 2 - Accent 6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943" w:customStyle="1">
    <w:name w:val="Список-таблица 3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4" w:customStyle="1">
    <w:name w:val="List Table 3 - Accent 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5" w:customStyle="1">
    <w:name w:val="List Table 3 - Accent 2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6" w:customStyle="1">
    <w:name w:val="List Table 3 - Accent 3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7" w:customStyle="1">
    <w:name w:val="List Table 3 - Accent 4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8" w:customStyle="1">
    <w:name w:val="List Table 3 - Accent 5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9" w:customStyle="1">
    <w:name w:val="List Table 3 - Accent 6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0" w:customStyle="1">
    <w:name w:val="Список-таблица 4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1" w:customStyle="1">
    <w:name w:val="List Table 4 - Accent 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2" w:customStyle="1">
    <w:name w:val="List Table 4 - Accent 2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3" w:customStyle="1">
    <w:name w:val="List Table 4 - Accent 3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4" w:customStyle="1">
    <w:name w:val="List Table 4 - Accent 4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5" w:customStyle="1">
    <w:name w:val="List Table 4 - Accent 5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6" w:customStyle="1">
    <w:name w:val="List Table 4 - Accent 6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7" w:customStyle="1">
    <w:name w:val="Список-таблица 5 темная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58" w:customStyle="1">
    <w:name w:val="List Table 5 Dark - Accent 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59" w:customStyle="1">
    <w:name w:val="List Table 5 Dark - Accent 2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0" w:customStyle="1">
    <w:name w:val="List Table 5 Dark - Accent 3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1" w:customStyle="1">
    <w:name w:val="List Table 5 Dark - Accent 4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2" w:customStyle="1">
    <w:name w:val="List Table 5 Dark - Accent 5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3" w:customStyle="1">
    <w:name w:val="List Table 5 Dark - Accent 6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4" w:customStyle="1">
    <w:name w:val="Список-таблица 6 цветная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65" w:customStyle="1">
    <w:name w:val="List Table 6 Colorful - Accent 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966" w:customStyle="1">
    <w:name w:val="List Table 6 Colorful - Accent 2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67" w:customStyle="1">
    <w:name w:val="List Table 6 Colorful - Accent 3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68" w:customStyle="1">
    <w:name w:val="List Table 6 Colorful - Accent 4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69" w:customStyle="1">
    <w:name w:val="List Table 6 Colorful - Accent 5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970" w:customStyle="1">
    <w:name w:val="List Table 6 Colorful - Accent 6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71" w:customStyle="1">
    <w:name w:val="Список-таблица 7 цветная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2" w:customStyle="1">
    <w:name w:val="List Table 7 Colorful - Accent 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3" w:customStyle="1">
    <w:name w:val="List Table 7 Colorful - Accent 2"/>
    <w:basedOn w:val="7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4" w:customStyle="1">
    <w:name w:val="List Table 7 Colorful - Accent 3"/>
    <w:basedOn w:val="7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5" w:customStyle="1">
    <w:name w:val="List Table 7 Colorful - Accent 4"/>
    <w:basedOn w:val="7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6" w:customStyle="1">
    <w:name w:val="List Table 7 Colorful - Accent 5"/>
    <w:basedOn w:val="7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7" w:customStyle="1">
    <w:name w:val="List Table 7 Colorful - Accent 6"/>
    <w:basedOn w:val="7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8" w:customStyle="1">
    <w:name w:val="Lined - Accent"/>
    <w:basedOn w:val="78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79" w:customStyle="1">
    <w:name w:val="Lined - Accent 1"/>
    <w:basedOn w:val="78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980" w:customStyle="1">
    <w:name w:val="Lined - Accent 2"/>
    <w:basedOn w:val="78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81" w:customStyle="1">
    <w:name w:val="Lined - Accent 3"/>
    <w:basedOn w:val="78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82" w:customStyle="1">
    <w:name w:val="Lined - Accent 4"/>
    <w:basedOn w:val="78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83" w:customStyle="1">
    <w:name w:val="Lined - Accent 5"/>
    <w:basedOn w:val="78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984" w:customStyle="1">
    <w:name w:val="Lined - Accent 6"/>
    <w:basedOn w:val="78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85" w:customStyle="1">
    <w:name w:val="Bordered &amp; Lined - Accent"/>
    <w:basedOn w:val="78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86" w:customStyle="1">
    <w:name w:val="Bordered &amp; Lined - Accent 1"/>
    <w:basedOn w:val="78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987" w:customStyle="1">
    <w:name w:val="Bordered &amp; Lined - Accent 2"/>
    <w:basedOn w:val="78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88" w:customStyle="1">
    <w:name w:val="Bordered &amp; Lined - Accent 3"/>
    <w:basedOn w:val="78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89" w:customStyle="1">
    <w:name w:val="Bordered &amp; Lined - Accent 4"/>
    <w:basedOn w:val="78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90" w:customStyle="1">
    <w:name w:val="Bordered &amp; Lined - Accent 5"/>
    <w:basedOn w:val="78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991" w:customStyle="1">
    <w:name w:val="Bordered &amp; Lined - Accent 6"/>
    <w:basedOn w:val="78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92" w:customStyle="1">
    <w:name w:val="Bordered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93" w:customStyle="1">
    <w:name w:val="Bordered - Accent 1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994" w:customStyle="1">
    <w:name w:val="Bordered - Accent 2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95" w:customStyle="1">
    <w:name w:val="Bordered - Accent 3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96" w:customStyle="1">
    <w:name w:val="Bordered - Accent 4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97" w:customStyle="1">
    <w:name w:val="Bordered - Accent 5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998" w:customStyle="1">
    <w:name w:val="Bordered - Accent 6"/>
    <w:basedOn w:val="7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99" w:customStyle="1">
    <w:name w:val="Footnote Text Char"/>
    <w:uiPriority w:val="99"/>
    <w:rPr>
      <w:sz w:val="18"/>
    </w:rPr>
  </w:style>
  <w:style w:type="paragraph" w:styleId="1000">
    <w:name w:val="endnote text"/>
    <w:basedOn w:val="770"/>
    <w:link w:val="1001"/>
    <w:uiPriority w:val="99"/>
    <w:semiHidden/>
    <w:unhideWhenUsed/>
    <w:pPr>
      <w:spacing w:after="0" w:line="240" w:lineRule="auto"/>
    </w:pPr>
    <w:rPr>
      <w:sz w:val="20"/>
    </w:rPr>
  </w:style>
  <w:style w:type="character" w:styleId="1001" w:customStyle="1">
    <w:name w:val="Текст концевой сноски Знак"/>
    <w:link w:val="1000"/>
    <w:uiPriority w:val="99"/>
    <w:rPr>
      <w:sz w:val="20"/>
    </w:rPr>
  </w:style>
  <w:style w:type="character" w:styleId="1002">
    <w:name w:val="endnote reference"/>
    <w:basedOn w:val="780"/>
    <w:uiPriority w:val="99"/>
    <w:semiHidden/>
    <w:unhideWhenUsed/>
    <w:rPr>
      <w:vertAlign w:val="superscript"/>
    </w:rPr>
  </w:style>
  <w:style w:type="paragraph" w:styleId="1003">
    <w:name w:val="toc 4"/>
    <w:basedOn w:val="770"/>
    <w:next w:val="770"/>
    <w:uiPriority w:val="39"/>
    <w:unhideWhenUsed/>
    <w:pPr>
      <w:ind w:left="850"/>
      <w:spacing w:after="57"/>
    </w:pPr>
  </w:style>
  <w:style w:type="paragraph" w:styleId="1004">
    <w:name w:val="toc 5"/>
    <w:basedOn w:val="770"/>
    <w:next w:val="770"/>
    <w:uiPriority w:val="39"/>
    <w:unhideWhenUsed/>
    <w:pPr>
      <w:ind w:left="1134"/>
      <w:spacing w:after="57"/>
    </w:pPr>
  </w:style>
  <w:style w:type="paragraph" w:styleId="1005">
    <w:name w:val="toc 6"/>
    <w:basedOn w:val="770"/>
    <w:next w:val="770"/>
    <w:uiPriority w:val="39"/>
    <w:unhideWhenUsed/>
    <w:pPr>
      <w:ind w:left="1417"/>
      <w:spacing w:after="57"/>
    </w:pPr>
  </w:style>
  <w:style w:type="paragraph" w:styleId="1006">
    <w:name w:val="toc 7"/>
    <w:basedOn w:val="770"/>
    <w:next w:val="770"/>
    <w:uiPriority w:val="39"/>
    <w:unhideWhenUsed/>
    <w:pPr>
      <w:ind w:left="1701"/>
      <w:spacing w:after="57"/>
    </w:pPr>
  </w:style>
  <w:style w:type="paragraph" w:styleId="1007">
    <w:name w:val="toc 8"/>
    <w:basedOn w:val="770"/>
    <w:next w:val="770"/>
    <w:uiPriority w:val="39"/>
    <w:unhideWhenUsed/>
    <w:pPr>
      <w:ind w:left="1984"/>
      <w:spacing w:after="57"/>
    </w:pPr>
  </w:style>
  <w:style w:type="paragraph" w:styleId="1008">
    <w:name w:val="toc 9"/>
    <w:basedOn w:val="770"/>
    <w:next w:val="770"/>
    <w:uiPriority w:val="39"/>
    <w:unhideWhenUsed/>
    <w:pPr>
      <w:ind w:left="2268"/>
      <w:spacing w:after="57"/>
    </w:pPr>
  </w:style>
  <w:style w:type="paragraph" w:styleId="1009">
    <w:name w:val="TOC Heading"/>
    <w:uiPriority w:val="39"/>
    <w:unhideWhenUsed/>
  </w:style>
  <w:style w:type="paragraph" w:styleId="1010">
    <w:name w:val="table of figures"/>
    <w:basedOn w:val="770"/>
    <w:next w:val="770"/>
    <w:uiPriority w:val="99"/>
    <w:unhideWhenUsed/>
    <w:pPr>
      <w:spacing w:after="0"/>
    </w:pPr>
  </w:style>
  <w:style w:type="character" w:styleId="1011" w:customStyle="1">
    <w:name w:val="Заголовок 1 Знак"/>
    <w:basedOn w:val="780"/>
    <w:link w:val="771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1012">
    <w:name w:val="Hyperlink"/>
    <w:basedOn w:val="780"/>
    <w:uiPriority w:val="99"/>
    <w:unhideWhenUsed/>
    <w:rPr>
      <w:color w:val="0000ff"/>
      <w:u w:val="single"/>
    </w:rPr>
  </w:style>
  <w:style w:type="paragraph" w:styleId="1013">
    <w:name w:val="toc 1"/>
    <w:basedOn w:val="770"/>
    <w:next w:val="770"/>
    <w:uiPriority w:val="39"/>
    <w:unhideWhenUsed/>
    <w:pPr>
      <w:jc w:val="both"/>
      <w:spacing w:after="0" w:line="360" w:lineRule="auto"/>
      <w:tabs>
        <w:tab w:val="right" w:pos="9345" w:leader="dot"/>
      </w:tabs>
    </w:pPr>
    <w:rPr>
      <w:rFonts w:ascii="Times New Roman" w:hAnsi="Times New Roman" w:eastAsia="Times New Roman" w:cs="Times New Roman"/>
      <w:bCs/>
      <w:caps/>
      <w:sz w:val="28"/>
      <w:szCs w:val="28"/>
      <w:lang w:eastAsia="ru-RU"/>
    </w:rPr>
  </w:style>
  <w:style w:type="paragraph" w:styleId="1014" w:customStyle="1">
    <w:name w:val="ConsPlusTitle"/>
    <w:pPr>
      <w:spacing w:after="0" w:line="240" w:lineRule="auto"/>
      <w:widowControl w:val="off"/>
    </w:pPr>
    <w:rPr>
      <w:rFonts w:ascii="Calibri" w:hAnsi="Calibri" w:eastAsia="Times New Roman" w:cs="Times New Roman"/>
      <w:b/>
      <w:color w:val="000000"/>
      <w:szCs w:val="20"/>
      <w:lang w:eastAsia="ru-RU"/>
      <w14:ligatures w14:val="none"/>
    </w:rPr>
  </w:style>
  <w:style w:type="paragraph" w:styleId="1015">
    <w:name w:val="Header"/>
    <w:basedOn w:val="770"/>
    <w:link w:val="101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1016" w:customStyle="1">
    <w:name w:val="Верхний колонтитул Знак"/>
    <w:basedOn w:val="780"/>
    <w:link w:val="1015"/>
    <w:uiPriority w:val="99"/>
  </w:style>
  <w:style w:type="paragraph" w:styleId="1017">
    <w:name w:val="Footer"/>
    <w:basedOn w:val="770"/>
    <w:link w:val="101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1018" w:customStyle="1">
    <w:name w:val="Нижний колонтитул Знак"/>
    <w:basedOn w:val="780"/>
    <w:link w:val="1017"/>
    <w:uiPriority w:val="99"/>
  </w:style>
  <w:style w:type="paragraph" w:styleId="1019">
    <w:name w:val="footnote text"/>
    <w:basedOn w:val="770"/>
    <w:link w:val="1020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1020" w:customStyle="1">
    <w:name w:val="Текст сноски Знак"/>
    <w:basedOn w:val="780"/>
    <w:link w:val="1019"/>
    <w:uiPriority w:val="99"/>
    <w:rPr>
      <w:sz w:val="20"/>
      <w:szCs w:val="20"/>
    </w:rPr>
  </w:style>
  <w:style w:type="character" w:styleId="1021">
    <w:name w:val="footnote reference"/>
    <w:basedOn w:val="780"/>
    <w:uiPriority w:val="99"/>
    <w:unhideWhenUsed/>
    <w:rPr>
      <w:vertAlign w:val="superscript"/>
    </w:rPr>
  </w:style>
  <w:style w:type="table" w:styleId="1022">
    <w:name w:val="Table Grid"/>
    <w:basedOn w:val="781"/>
    <w:uiPriority w:val="59"/>
    <w:pPr>
      <w:spacing w:after="0" w:line="240" w:lineRule="auto"/>
    </w:pPr>
    <w:rPr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23" w:customStyle="1">
    <w:name w:val="ConsPlusNormal"/>
    <w:link w:val="1024"/>
    <w:qFormat/>
    <w:pPr>
      <w:spacing w:after="0" w:line="240" w:lineRule="auto"/>
      <w:widowControl w:val="off"/>
    </w:pPr>
    <w:rPr>
      <w:rFonts w:ascii="Times New Roman" w:hAnsi="Times New Roman" w:cs="Times New Roman" w:eastAsiaTheme="minorEastAsia"/>
      <w:sz w:val="24"/>
      <w:szCs w:val="24"/>
      <w:lang w:eastAsia="ru-RU"/>
      <w14:ligatures w14:val="none"/>
    </w:rPr>
  </w:style>
  <w:style w:type="character" w:styleId="1024" w:customStyle="1">
    <w:name w:val="ConsPlusNormal Знак"/>
    <w:link w:val="1023"/>
    <w:rPr>
      <w:rFonts w:ascii="Times New Roman" w:hAnsi="Times New Roman" w:cs="Times New Roman" w:eastAsiaTheme="minorEastAsia"/>
      <w:sz w:val="24"/>
      <w:szCs w:val="24"/>
      <w:lang w:eastAsia="ru-RU"/>
      <w14:ligatures w14:val="none"/>
    </w:rPr>
  </w:style>
  <w:style w:type="paragraph" w:styleId="1025">
    <w:name w:val="List Paragraph"/>
    <w:basedOn w:val="770"/>
    <w:link w:val="1036"/>
    <w:uiPriority w:val="34"/>
    <w:qFormat/>
    <w:pPr>
      <w:contextualSpacing/>
      <w:ind w:left="72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paragraph" w:styleId="1026" w:customStyle="1">
    <w:name w:val="Нормальный (таблица)"/>
    <w:basedOn w:val="770"/>
    <w:next w:val="770"/>
    <w:uiPriority w:val="99"/>
    <w:pPr>
      <w:jc w:val="both"/>
      <w:spacing w:after="0" w:line="240" w:lineRule="auto"/>
      <w:widowControl w:val="off"/>
    </w:pPr>
    <w:rPr>
      <w:rFonts w:ascii="Times New Roman CYR" w:hAnsi="Times New Roman CYR" w:eastAsia="Times New Roman" w:cs="Times New Roman CYR"/>
      <w:sz w:val="24"/>
      <w:szCs w:val="24"/>
      <w:lang w:eastAsia="ru-RU"/>
      <w14:ligatures w14:val="none"/>
    </w:rPr>
  </w:style>
  <w:style w:type="paragraph" w:styleId="1027">
    <w:name w:val="No Spacing"/>
    <w:link w:val="1028"/>
    <w:uiPriority w:val="1"/>
    <w:qFormat/>
    <w:pPr>
      <w:spacing w:after="0" w:line="240" w:lineRule="auto"/>
    </w:pPr>
    <w:rPr>
      <w:rFonts w:ascii="Calibri" w:hAnsi="Calibri" w:eastAsia="Calibri" w:cs="Times New Roman"/>
      <w14:ligatures w14:val="none"/>
    </w:rPr>
  </w:style>
  <w:style w:type="character" w:styleId="1028" w:customStyle="1">
    <w:name w:val="Без интервала Знак"/>
    <w:link w:val="1027"/>
    <w:rPr>
      <w:rFonts w:ascii="Calibri" w:hAnsi="Calibri" w:eastAsia="Calibri" w:cs="Times New Roman"/>
      <w14:ligatures w14:val="none"/>
    </w:rPr>
  </w:style>
  <w:style w:type="paragraph" w:styleId="1029">
    <w:name w:val="Body Text Indent 2"/>
    <w:basedOn w:val="770"/>
    <w:link w:val="1030"/>
    <w:pPr>
      <w:ind w:left="283"/>
      <w:spacing w:after="120" w:line="480" w:lineRule="auto"/>
    </w:pPr>
    <w:rPr>
      <w:rFonts w:ascii="Times New Roman" w:hAnsi="Times New Roman" w:eastAsia="Calibri" w:cs="Times New Roman"/>
      <w:sz w:val="24"/>
      <w:szCs w:val="24"/>
      <w:lang w:eastAsia="ru-RU"/>
      <w14:ligatures w14:val="none"/>
    </w:rPr>
  </w:style>
  <w:style w:type="character" w:styleId="1030" w:customStyle="1">
    <w:name w:val="Основной текст с отступом 2 Знак"/>
    <w:basedOn w:val="780"/>
    <w:link w:val="1029"/>
    <w:rPr>
      <w:rFonts w:ascii="Times New Roman" w:hAnsi="Times New Roman" w:eastAsia="Calibri" w:cs="Times New Roman"/>
      <w:sz w:val="24"/>
      <w:szCs w:val="24"/>
      <w:lang w:eastAsia="ru-RU"/>
      <w14:ligatures w14:val="none"/>
    </w:rPr>
  </w:style>
  <w:style w:type="paragraph" w:styleId="1031" w:customStyle="1">
    <w:name w:val="Default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  <w14:ligatures w14:val="none"/>
    </w:rPr>
  </w:style>
  <w:style w:type="paragraph" w:styleId="1032">
    <w:name w:val="Normal (Web)"/>
    <w:basedOn w:val="770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paragraph" w:styleId="1033" w:customStyle="1">
    <w:name w:val="s_1"/>
    <w:basedOn w:val="77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character" w:styleId="1034" w:customStyle="1">
    <w:name w:val="Font Style16"/>
    <w:basedOn w:val="780"/>
    <w:uiPriority w:val="99"/>
    <w:rPr>
      <w:rFonts w:hint="default" w:ascii="Candara" w:hAnsi="Candara" w:cs="Candara"/>
      <w:sz w:val="24"/>
      <w:szCs w:val="24"/>
    </w:rPr>
  </w:style>
  <w:style w:type="paragraph" w:styleId="1035" w:customStyle="1">
    <w:name w:val="Style2"/>
    <w:basedOn w:val="770"/>
    <w:uiPriority w:val="99"/>
    <w:pPr>
      <w:ind w:firstLine="228"/>
      <w:jc w:val="both"/>
      <w:spacing w:after="0" w:line="290" w:lineRule="exact"/>
      <w:widowControl w:val="off"/>
    </w:pPr>
    <w:rPr>
      <w:rFonts w:ascii="Candara" w:hAnsi="Candara" w:eastAsia="Times New Roman" w:cs="Times New Roman"/>
      <w:sz w:val="24"/>
      <w:szCs w:val="24"/>
      <w:lang w:eastAsia="ru-RU"/>
      <w14:ligatures w14:val="none"/>
    </w:rPr>
  </w:style>
  <w:style w:type="character" w:styleId="1036" w:customStyle="1">
    <w:name w:val="Абзац списка Знак"/>
    <w:link w:val="1025"/>
    <w:uiPriority w:val="34"/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paragraph" w:styleId="1037" w:customStyle="1">
    <w:name w:val="LO-normal"/>
    <w:qFormat/>
    <w:pPr>
      <w:spacing w:after="0" w:line="240" w:lineRule="auto"/>
    </w:pPr>
    <w:rPr>
      <w:rFonts w:ascii="Times New Roman" w:hAnsi="Times New Roman" w:eastAsia="NSimSun" w:cs="Arial"/>
      <w:sz w:val="20"/>
      <w:szCs w:val="20"/>
      <w:lang w:eastAsia="zh-CN" w:bidi="hi-IN"/>
      <w14:ligatures w14:val="none"/>
    </w:rPr>
  </w:style>
  <w:style w:type="paragraph" w:styleId="1038">
    <w:name w:val="toc 2"/>
    <w:basedOn w:val="770"/>
    <w:next w:val="770"/>
    <w:uiPriority w:val="39"/>
    <w:unhideWhenUsed/>
    <w:pPr>
      <w:jc w:val="both"/>
      <w:spacing w:after="100"/>
      <w:tabs>
        <w:tab w:val="right" w:pos="9345" w:leader="dot"/>
      </w:tabs>
    </w:pPr>
  </w:style>
  <w:style w:type="paragraph" w:styleId="1039">
    <w:name w:val="Body Text"/>
    <w:basedOn w:val="770"/>
    <w:link w:val="1040"/>
    <w:uiPriority w:val="99"/>
    <w:semiHidden/>
    <w:unhideWhenUsed/>
    <w:pPr>
      <w:spacing w:after="120"/>
    </w:pPr>
  </w:style>
  <w:style w:type="character" w:styleId="1040" w:customStyle="1">
    <w:name w:val="Основной текст Знак"/>
    <w:basedOn w:val="780"/>
    <w:link w:val="1039"/>
    <w:uiPriority w:val="99"/>
    <w:semiHidden/>
  </w:style>
  <w:style w:type="paragraph" w:styleId="1041">
    <w:name w:val="toc 3"/>
    <w:basedOn w:val="770"/>
    <w:next w:val="770"/>
    <w:uiPriority w:val="39"/>
    <w:unhideWhenUsed/>
    <w:pPr>
      <w:jc w:val="both"/>
      <w:spacing w:after="100"/>
      <w:tabs>
        <w:tab w:val="right" w:pos="9345" w:leader="dot"/>
      </w:tabs>
    </w:pPr>
  </w:style>
  <w:style w:type="character" w:styleId="1042">
    <w:name w:val="FollowedHyperlink"/>
    <w:basedOn w:val="780"/>
    <w:uiPriority w:val="99"/>
    <w:semiHidden/>
    <w:unhideWhenUsed/>
    <w:rPr>
      <w:color w:val="800080"/>
      <w:u w:val="single"/>
    </w:rPr>
  </w:style>
  <w:style w:type="paragraph" w:styleId="1043" w:customStyle="1">
    <w:name w:val="msonormal"/>
    <w:basedOn w:val="77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paragraph" w:styleId="1044" w:customStyle="1">
    <w:name w:val="font5"/>
    <w:basedOn w:val="77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i/>
      <w:iCs/>
      <w:color w:val="000000"/>
      <w:sz w:val="18"/>
      <w:szCs w:val="18"/>
      <w:lang w:eastAsia="ru-RU"/>
      <w14:ligatures w14:val="none"/>
    </w:rPr>
  </w:style>
  <w:style w:type="paragraph" w:styleId="1045" w:customStyle="1">
    <w:name w:val="font6"/>
    <w:basedOn w:val="77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000000"/>
      <w:sz w:val="18"/>
      <w:szCs w:val="18"/>
      <w:lang w:eastAsia="ru-RU"/>
      <w14:ligatures w14:val="none"/>
    </w:rPr>
  </w:style>
  <w:style w:type="paragraph" w:styleId="1046" w:customStyle="1">
    <w:name w:val="font7"/>
    <w:basedOn w:val="77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  <w:lang w:eastAsia="ru-RU"/>
      <w14:ligatures w14:val="none"/>
    </w:rPr>
  </w:style>
  <w:style w:type="paragraph" w:styleId="1047" w:customStyle="1">
    <w:name w:val="xl68"/>
    <w:basedOn w:val="77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048" w:customStyle="1">
    <w:name w:val="xl69"/>
    <w:basedOn w:val="77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color w:val="000000"/>
      <w:sz w:val="18"/>
      <w:szCs w:val="18"/>
      <w:lang w:eastAsia="ru-RU"/>
      <w14:ligatures w14:val="none"/>
    </w:rPr>
  </w:style>
  <w:style w:type="paragraph" w:styleId="1049" w:customStyle="1">
    <w:name w:val="xl70"/>
    <w:basedOn w:val="77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050" w:customStyle="1">
    <w:name w:val="xl71"/>
    <w:basedOn w:val="770"/>
    <w:pPr>
      <w:spacing w:before="100" w:beforeAutospacing="1" w:after="100" w:afterAutospacing="1" w:line="240" w:lineRule="auto"/>
      <w:pBdr>
        <w:top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051" w:customStyle="1">
    <w:name w:val="xl72"/>
    <w:basedOn w:val="77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052" w:customStyle="1">
    <w:name w:val="xl73"/>
    <w:basedOn w:val="770"/>
    <w:pPr>
      <w:spacing w:before="100" w:beforeAutospacing="1" w:after="100" w:afterAutospacing="1" w:line="240" w:lineRule="auto"/>
      <w:shd w:val="clear" w:color="000000" w:fill="ffffff"/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053" w:customStyle="1">
    <w:name w:val="xl74"/>
    <w:basedOn w:val="770"/>
    <w:pPr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054" w:customStyle="1">
    <w:name w:val="xl75"/>
    <w:basedOn w:val="77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055" w:customStyle="1">
    <w:name w:val="xl76"/>
    <w:basedOn w:val="77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056" w:customStyle="1">
    <w:name w:val="xl77"/>
    <w:basedOn w:val="77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color w:val="000000"/>
      <w:sz w:val="18"/>
      <w:szCs w:val="18"/>
      <w:lang w:eastAsia="ru-RU"/>
      <w14:ligatures w14:val="none"/>
    </w:rPr>
  </w:style>
  <w:style w:type="paragraph" w:styleId="1057" w:customStyle="1">
    <w:name w:val="xl78"/>
    <w:basedOn w:val="77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color w:val="000000"/>
      <w:sz w:val="18"/>
      <w:szCs w:val="18"/>
      <w:lang w:eastAsia="ru-RU"/>
      <w14:ligatures w14:val="none"/>
    </w:rPr>
  </w:style>
  <w:style w:type="paragraph" w:styleId="1058" w:customStyle="1">
    <w:name w:val="xl79"/>
    <w:basedOn w:val="77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i/>
      <w:iCs/>
      <w:color w:val="000000"/>
      <w:sz w:val="18"/>
      <w:szCs w:val="18"/>
      <w:lang w:eastAsia="ru-RU"/>
      <w14:ligatures w14:val="none"/>
    </w:rPr>
  </w:style>
  <w:style w:type="paragraph" w:styleId="1059" w:customStyle="1">
    <w:name w:val="xl80"/>
    <w:basedOn w:val="77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060" w:customStyle="1">
    <w:name w:val="xl81"/>
    <w:basedOn w:val="77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061" w:customStyle="1">
    <w:name w:val="xl82"/>
    <w:basedOn w:val="77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062" w:customStyle="1">
    <w:name w:val="xl83"/>
    <w:basedOn w:val="770"/>
    <w:pPr>
      <w:spacing w:before="100" w:beforeAutospacing="1" w:after="100" w:afterAutospacing="1" w:line="240" w:lineRule="auto"/>
      <w:pBdr>
        <w:bottom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063" w:customStyle="1">
    <w:name w:val="xl84"/>
    <w:basedOn w:val="770"/>
    <w:pPr>
      <w:spacing w:before="100" w:beforeAutospacing="1" w:after="100" w:afterAutospacing="1" w:line="240" w:lineRule="auto"/>
      <w:shd w:val="clear" w:color="000000" w:fill="ffffff"/>
      <w:pBdr>
        <w:bottom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064" w:customStyle="1">
    <w:name w:val="xl85"/>
    <w:basedOn w:val="77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i/>
      <w:iCs/>
      <w:sz w:val="18"/>
      <w:szCs w:val="18"/>
      <w:lang w:eastAsia="ru-RU"/>
      <w14:ligatures w14:val="none"/>
    </w:rPr>
  </w:style>
  <w:style w:type="paragraph" w:styleId="1065" w:customStyle="1">
    <w:name w:val="xl86"/>
    <w:basedOn w:val="77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i/>
      <w:iCs/>
      <w:sz w:val="18"/>
      <w:szCs w:val="18"/>
      <w:lang w:eastAsia="ru-RU"/>
      <w14:ligatures w14:val="none"/>
    </w:rPr>
  </w:style>
  <w:style w:type="paragraph" w:styleId="1066" w:customStyle="1">
    <w:name w:val="xl87"/>
    <w:basedOn w:val="770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067" w:customStyle="1">
    <w:name w:val="xl88"/>
    <w:basedOn w:val="77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068" w:customStyle="1">
    <w:name w:val="xl89"/>
    <w:basedOn w:val="77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069" w:customStyle="1">
    <w:name w:val="xl90"/>
    <w:basedOn w:val="77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070" w:customStyle="1">
    <w:name w:val="xl91"/>
    <w:basedOn w:val="77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000000"/>
      <w:sz w:val="18"/>
      <w:szCs w:val="18"/>
      <w:lang w:eastAsia="ru-RU"/>
      <w14:ligatures w14:val="none"/>
    </w:rPr>
  </w:style>
  <w:style w:type="paragraph" w:styleId="1071" w:customStyle="1">
    <w:name w:val="xl92"/>
    <w:basedOn w:val="77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000000"/>
      <w:sz w:val="18"/>
      <w:szCs w:val="18"/>
      <w:lang w:eastAsia="ru-RU"/>
      <w14:ligatures w14:val="none"/>
    </w:rPr>
  </w:style>
  <w:style w:type="paragraph" w:styleId="1072" w:customStyle="1">
    <w:name w:val="xl93"/>
    <w:basedOn w:val="77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073" w:customStyle="1">
    <w:name w:val="xl94"/>
    <w:basedOn w:val="77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074" w:customStyle="1">
    <w:name w:val="xl95"/>
    <w:basedOn w:val="77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075" w:customStyle="1">
    <w:name w:val="xl96"/>
    <w:basedOn w:val="77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076" w:customStyle="1">
    <w:name w:val="xl97"/>
    <w:basedOn w:val="77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077" w:customStyle="1">
    <w:name w:val="xl98"/>
    <w:basedOn w:val="77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078" w:customStyle="1">
    <w:name w:val="xl99"/>
    <w:basedOn w:val="77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079" w:customStyle="1">
    <w:name w:val="xl100"/>
    <w:basedOn w:val="77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sz w:val="18"/>
      <w:szCs w:val="18"/>
      <w:lang w:eastAsia="ru-RU"/>
      <w14:ligatures w14:val="none"/>
    </w:rPr>
  </w:style>
  <w:style w:type="paragraph" w:styleId="1080" w:customStyle="1">
    <w:name w:val="xl101"/>
    <w:basedOn w:val="77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081" w:customStyle="1">
    <w:name w:val="xl102"/>
    <w:basedOn w:val="77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082" w:customStyle="1">
    <w:name w:val="xl103"/>
    <w:basedOn w:val="77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083" w:customStyle="1">
    <w:name w:val="xl104"/>
    <w:basedOn w:val="77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084" w:customStyle="1">
    <w:name w:val="xl105"/>
    <w:basedOn w:val="77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000000"/>
      <w:sz w:val="18"/>
      <w:szCs w:val="18"/>
      <w:lang w:eastAsia="ru-RU"/>
      <w14:ligatures w14:val="none"/>
    </w:rPr>
  </w:style>
  <w:style w:type="paragraph" w:styleId="1085" w:customStyle="1">
    <w:name w:val="xl106"/>
    <w:basedOn w:val="77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086" w:customStyle="1">
    <w:name w:val="xl107"/>
    <w:basedOn w:val="77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087" w:customStyle="1">
    <w:name w:val="xl108"/>
    <w:basedOn w:val="77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sz w:val="18"/>
      <w:szCs w:val="18"/>
      <w:lang w:eastAsia="ru-RU"/>
      <w14:ligatures w14:val="none"/>
    </w:rPr>
  </w:style>
  <w:style w:type="paragraph" w:styleId="1088" w:customStyle="1">
    <w:name w:val="xl109"/>
    <w:basedOn w:val="77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000000"/>
      <w:sz w:val="18"/>
      <w:szCs w:val="18"/>
      <w:lang w:eastAsia="ru-RU"/>
      <w14:ligatures w14:val="none"/>
    </w:rPr>
  </w:style>
  <w:style w:type="paragraph" w:styleId="1089" w:customStyle="1">
    <w:name w:val="xl110"/>
    <w:basedOn w:val="770"/>
    <w:pPr>
      <w:jc w:val="center"/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090" w:customStyle="1">
    <w:name w:val="xl111"/>
    <w:basedOn w:val="77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091" w:customStyle="1">
    <w:name w:val="xl112"/>
    <w:basedOn w:val="770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092" w:customStyle="1">
    <w:name w:val="xl113"/>
    <w:basedOn w:val="770"/>
    <w:pPr>
      <w:jc w:val="center"/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093" w:customStyle="1">
    <w:name w:val="xl114"/>
    <w:basedOn w:val="77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094" w:customStyle="1">
    <w:name w:val="xl115"/>
    <w:basedOn w:val="770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095" w:customStyle="1">
    <w:name w:val="xl116"/>
    <w:basedOn w:val="77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096" w:customStyle="1">
    <w:name w:val="xl117"/>
    <w:basedOn w:val="77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097" w:customStyle="1">
    <w:name w:val="xl118"/>
    <w:basedOn w:val="770"/>
    <w:pPr>
      <w:jc w:val="center"/>
      <w:spacing w:before="100" w:beforeAutospacing="1" w:after="100" w:afterAutospacing="1" w:line="240" w:lineRule="auto"/>
      <w:pBdr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098" w:customStyle="1">
    <w:name w:val="xl119"/>
    <w:basedOn w:val="77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099" w:customStyle="1">
    <w:name w:val="xl120"/>
    <w:basedOn w:val="77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100" w:customStyle="1">
    <w:name w:val="xl121"/>
    <w:basedOn w:val="77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i/>
      <w:iCs/>
      <w:sz w:val="18"/>
      <w:szCs w:val="18"/>
      <w:lang w:eastAsia="ru-RU"/>
      <w14:ligatures w14:val="none"/>
    </w:rPr>
  </w:style>
  <w:style w:type="paragraph" w:styleId="1101" w:customStyle="1">
    <w:name w:val="xl122"/>
    <w:basedOn w:val="770"/>
    <w:pPr>
      <w:jc w:val="center"/>
      <w:spacing w:before="100" w:beforeAutospacing="1" w:after="100" w:afterAutospacing="1" w:line="240" w:lineRule="auto"/>
      <w:shd w:val="clear" w:color="000000" w:fill="ffffff"/>
      <w:pBdr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102" w:customStyle="1">
    <w:name w:val="xl123"/>
    <w:basedOn w:val="770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</w:pBdr>
    </w:pPr>
    <w:rPr>
      <w:rFonts w:ascii="Times New Roman" w:hAnsi="Times New Roman" w:eastAsia="Times New Roman" w:cs="Times New Roman"/>
      <w:b/>
      <w:bCs/>
      <w:sz w:val="18"/>
      <w:szCs w:val="18"/>
      <w:lang w:eastAsia="ru-RU"/>
      <w14:ligatures w14:val="none"/>
    </w:rPr>
  </w:style>
  <w:style w:type="paragraph" w:styleId="1103" w:customStyle="1">
    <w:name w:val="xl124"/>
    <w:basedOn w:val="77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104" w:customStyle="1">
    <w:name w:val="xl125"/>
    <w:basedOn w:val="770"/>
    <w:pPr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105" w:customStyle="1">
    <w:name w:val="xl126"/>
    <w:basedOn w:val="770"/>
    <w:pPr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106" w:customStyle="1">
    <w:name w:val="xl127"/>
    <w:basedOn w:val="77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107" w:customStyle="1">
    <w:name w:val="xl128"/>
    <w:basedOn w:val="77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sz w:val="18"/>
      <w:szCs w:val="18"/>
      <w:lang w:eastAsia="ru-RU"/>
      <w14:ligatures w14:val="none"/>
    </w:rPr>
  </w:style>
  <w:style w:type="paragraph" w:styleId="1108" w:customStyle="1">
    <w:name w:val="xl129"/>
    <w:basedOn w:val="77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109" w:customStyle="1">
    <w:name w:val="xl130"/>
    <w:basedOn w:val="770"/>
    <w:pPr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110" w:customStyle="1">
    <w:name w:val="xl131"/>
    <w:basedOn w:val="77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color w:val="000000"/>
      <w:sz w:val="18"/>
      <w:szCs w:val="18"/>
      <w:lang w:eastAsia="ru-RU"/>
      <w14:ligatures w14:val="none"/>
    </w:rPr>
  </w:style>
  <w:style w:type="paragraph" w:styleId="1111" w:customStyle="1">
    <w:name w:val="xl132"/>
    <w:basedOn w:val="77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i/>
      <w:iCs/>
      <w:sz w:val="18"/>
      <w:szCs w:val="18"/>
      <w:lang w:eastAsia="ru-RU"/>
      <w14:ligatures w14:val="none"/>
    </w:rPr>
  </w:style>
  <w:style w:type="paragraph" w:styleId="1112" w:customStyle="1">
    <w:name w:val="xl133"/>
    <w:basedOn w:val="77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color w:val="000000"/>
      <w:sz w:val="18"/>
      <w:szCs w:val="18"/>
      <w:lang w:eastAsia="ru-RU"/>
      <w14:ligatures w14:val="none"/>
    </w:rPr>
  </w:style>
  <w:style w:type="paragraph" w:styleId="1113" w:customStyle="1">
    <w:name w:val="xl134"/>
    <w:basedOn w:val="77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color w:val="000000"/>
      <w:sz w:val="18"/>
      <w:szCs w:val="18"/>
      <w:lang w:eastAsia="ru-RU"/>
      <w14:ligatures w14:val="none"/>
    </w:rPr>
  </w:style>
  <w:style w:type="paragraph" w:styleId="1114" w:customStyle="1">
    <w:name w:val="xl135"/>
    <w:basedOn w:val="77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i/>
      <w:iCs/>
      <w:sz w:val="18"/>
      <w:szCs w:val="18"/>
      <w:lang w:eastAsia="ru-RU"/>
      <w14:ligatures w14:val="none"/>
    </w:rPr>
  </w:style>
  <w:style w:type="paragraph" w:styleId="1115" w:customStyle="1">
    <w:name w:val="xl136"/>
    <w:basedOn w:val="77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000000"/>
      <w:sz w:val="18"/>
      <w:szCs w:val="18"/>
      <w:lang w:eastAsia="ru-RU"/>
      <w14:ligatures w14:val="none"/>
    </w:rPr>
  </w:style>
  <w:style w:type="paragraph" w:styleId="1116" w:customStyle="1">
    <w:name w:val="xl137"/>
    <w:basedOn w:val="77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000000"/>
      <w:sz w:val="18"/>
      <w:szCs w:val="18"/>
      <w:lang w:eastAsia="ru-RU"/>
      <w14:ligatures w14:val="none"/>
    </w:rPr>
  </w:style>
  <w:style w:type="paragraph" w:styleId="1117" w:customStyle="1">
    <w:name w:val="xl138"/>
    <w:basedOn w:val="770"/>
    <w:pPr>
      <w:jc w:val="center"/>
      <w:spacing w:before="100" w:beforeAutospacing="1" w:after="100" w:afterAutospacing="1" w:line="240" w:lineRule="auto"/>
      <w:pBdr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118" w:customStyle="1">
    <w:name w:val="xl139"/>
    <w:basedOn w:val="77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119" w:customStyle="1">
    <w:name w:val="xl140"/>
    <w:basedOn w:val="77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120" w:customStyle="1">
    <w:name w:val="xl141"/>
    <w:basedOn w:val="77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121" w:customStyle="1">
    <w:name w:val="xl142"/>
    <w:basedOn w:val="770"/>
    <w:pPr>
      <w:jc w:val="center"/>
      <w:spacing w:before="100" w:beforeAutospacing="1" w:after="100" w:afterAutospacing="1" w:line="240" w:lineRule="auto"/>
      <w:pBdr>
        <w:top w:val="single" w:color="000000" w:sz="4" w:space="0"/>
      </w:pBdr>
    </w:pPr>
    <w:rPr>
      <w:rFonts w:ascii="Times New Roman" w:hAnsi="Times New Roman" w:eastAsia="Times New Roman" w:cs="Times New Roman"/>
      <w:b/>
      <w:bCs/>
      <w:sz w:val="18"/>
      <w:szCs w:val="18"/>
      <w:lang w:eastAsia="ru-RU"/>
      <w14:ligatures w14:val="none"/>
    </w:rPr>
  </w:style>
  <w:style w:type="paragraph" w:styleId="1122" w:customStyle="1">
    <w:name w:val="xl143"/>
    <w:basedOn w:val="770"/>
    <w:pPr>
      <w:jc w:val="center"/>
      <w:spacing w:before="100" w:beforeAutospacing="1" w:after="100" w:afterAutospacing="1" w:line="240" w:lineRule="auto"/>
      <w:pBdr>
        <w:top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sz w:val="18"/>
      <w:szCs w:val="18"/>
      <w:lang w:eastAsia="ru-RU"/>
      <w14:ligatures w14:val="none"/>
    </w:rPr>
  </w:style>
  <w:style w:type="paragraph" w:styleId="1123" w:customStyle="1">
    <w:name w:val="xl144"/>
    <w:basedOn w:val="770"/>
    <w:pPr>
      <w:jc w:val="center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b/>
      <w:bCs/>
      <w:sz w:val="18"/>
      <w:szCs w:val="18"/>
      <w:lang w:eastAsia="ru-RU"/>
      <w14:ligatures w14:val="none"/>
    </w:rPr>
  </w:style>
  <w:style w:type="paragraph" w:styleId="1124" w:customStyle="1">
    <w:name w:val="xl145"/>
    <w:basedOn w:val="770"/>
    <w:pPr>
      <w:jc w:val="center"/>
      <w:spacing w:before="100" w:beforeAutospacing="1" w:after="100" w:afterAutospacing="1" w:line="240" w:lineRule="auto"/>
      <w:pBdr>
        <w:right w:val="single" w:color="000000" w:sz="4" w:space="0"/>
      </w:pBdr>
    </w:pPr>
    <w:rPr>
      <w:rFonts w:ascii="Times New Roman" w:hAnsi="Times New Roman" w:eastAsia="Times New Roman" w:cs="Times New Roman"/>
      <w:b/>
      <w:bCs/>
      <w:sz w:val="18"/>
      <w:szCs w:val="18"/>
      <w:lang w:eastAsia="ru-RU"/>
      <w14:ligatures w14:val="none"/>
    </w:rPr>
  </w:style>
  <w:style w:type="paragraph" w:styleId="1125" w:customStyle="1">
    <w:name w:val="xl146"/>
    <w:basedOn w:val="770"/>
    <w:pPr>
      <w:jc w:val="center"/>
      <w:spacing w:before="100" w:beforeAutospacing="1" w:after="100" w:afterAutospacing="1" w:line="240" w:lineRule="auto"/>
      <w:pBdr>
        <w:bottom w:val="single" w:color="000000" w:sz="4" w:space="0"/>
      </w:pBdr>
    </w:pPr>
    <w:rPr>
      <w:rFonts w:ascii="Times New Roman" w:hAnsi="Times New Roman" w:eastAsia="Times New Roman" w:cs="Times New Roman"/>
      <w:b/>
      <w:bCs/>
      <w:sz w:val="18"/>
      <w:szCs w:val="18"/>
      <w:lang w:eastAsia="ru-RU"/>
      <w14:ligatures w14:val="none"/>
    </w:rPr>
  </w:style>
  <w:style w:type="paragraph" w:styleId="1126" w:customStyle="1">
    <w:name w:val="xl147"/>
    <w:basedOn w:val="770"/>
    <w:pPr>
      <w:jc w:val="center"/>
      <w:spacing w:before="100" w:beforeAutospacing="1" w:after="100" w:afterAutospacing="1" w:line="240" w:lineRule="auto"/>
      <w:pBdr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sz w:val="18"/>
      <w:szCs w:val="18"/>
      <w:lang w:eastAsia="ru-RU"/>
      <w14:ligatures w14:val="none"/>
    </w:rPr>
  </w:style>
  <w:style w:type="paragraph" w:styleId="1127" w:customStyle="1">
    <w:name w:val="xl148"/>
    <w:basedOn w:val="770"/>
    <w:pPr>
      <w:jc w:val="center"/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128" w:customStyle="1">
    <w:name w:val="xl149"/>
    <w:basedOn w:val="770"/>
    <w:pPr>
      <w:jc w:val="center"/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b/>
      <w:bCs/>
      <w:i/>
      <w:iCs/>
      <w:sz w:val="18"/>
      <w:szCs w:val="18"/>
      <w:lang w:eastAsia="ru-RU"/>
      <w14:ligatures w14:val="none"/>
    </w:rPr>
  </w:style>
  <w:style w:type="paragraph" w:styleId="1129" w:customStyle="1">
    <w:name w:val="xl150"/>
    <w:basedOn w:val="77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b/>
      <w:bCs/>
      <w:i/>
      <w:iCs/>
      <w:sz w:val="18"/>
      <w:szCs w:val="18"/>
      <w:lang w:eastAsia="ru-RU"/>
      <w14:ligatures w14:val="none"/>
    </w:rPr>
  </w:style>
  <w:style w:type="paragraph" w:styleId="1130" w:customStyle="1">
    <w:name w:val="xl151"/>
    <w:basedOn w:val="77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</w:pBdr>
    </w:pPr>
    <w:rPr>
      <w:rFonts w:ascii="Times New Roman" w:hAnsi="Times New Roman" w:eastAsia="Times New Roman" w:cs="Times New Roman"/>
      <w:b/>
      <w:bCs/>
      <w:i/>
      <w:iCs/>
      <w:sz w:val="18"/>
      <w:szCs w:val="18"/>
      <w:lang w:eastAsia="ru-RU"/>
      <w14:ligatures w14:val="none"/>
    </w:rPr>
  </w:style>
  <w:style w:type="paragraph" w:styleId="1131" w:customStyle="1">
    <w:name w:val="xl152"/>
    <w:basedOn w:val="77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132" w:customStyle="1">
    <w:name w:val="xl153"/>
    <w:basedOn w:val="770"/>
    <w:pPr>
      <w:jc w:val="center"/>
      <w:spacing w:before="100" w:beforeAutospacing="1" w:after="100" w:afterAutospacing="1" w:line="240" w:lineRule="auto"/>
      <w:pBdr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133" w:customStyle="1">
    <w:name w:val="xl154"/>
    <w:basedOn w:val="77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134" w:customStyle="1">
    <w:name w:val="xl155"/>
    <w:basedOn w:val="770"/>
    <w:pPr>
      <w:jc w:val="center"/>
      <w:spacing w:before="100" w:beforeAutospacing="1" w:after="100" w:afterAutospacing="1" w:line="240" w:lineRule="auto"/>
      <w:pBdr>
        <w:lef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135" w:customStyle="1">
    <w:name w:val="xl156"/>
    <w:basedOn w:val="77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136" w:customStyle="1">
    <w:name w:val="xl157"/>
    <w:basedOn w:val="770"/>
    <w:pPr>
      <w:jc w:val="center"/>
      <w:spacing w:before="100" w:beforeAutospacing="1" w:after="100" w:afterAutospacing="1" w:line="240" w:lineRule="auto"/>
      <w:pBdr>
        <w:lef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137" w:customStyle="1">
    <w:name w:val="xl158"/>
    <w:basedOn w:val="770"/>
    <w:pPr>
      <w:jc w:val="center"/>
      <w:spacing w:before="100" w:beforeAutospacing="1" w:after="100" w:afterAutospacing="1" w:line="240" w:lineRule="auto"/>
      <w:pBdr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138" w:customStyle="1">
    <w:name w:val="xl159"/>
    <w:basedOn w:val="77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139" w:customStyle="1">
    <w:name w:val="xl160"/>
    <w:basedOn w:val="770"/>
    <w:pPr>
      <w:jc w:val="center"/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i/>
      <w:iCs/>
      <w:sz w:val="18"/>
      <w:szCs w:val="18"/>
      <w:lang w:eastAsia="ru-RU"/>
      <w14:ligatures w14:val="none"/>
    </w:rPr>
  </w:style>
  <w:style w:type="paragraph" w:styleId="1140" w:customStyle="1">
    <w:name w:val="xl161"/>
    <w:basedOn w:val="77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000000"/>
      <w:sz w:val="18"/>
      <w:szCs w:val="18"/>
      <w:lang w:eastAsia="ru-RU"/>
      <w14:ligatures w14:val="none"/>
    </w:rPr>
  </w:style>
  <w:style w:type="paragraph" w:styleId="1141" w:customStyle="1">
    <w:name w:val="xl162"/>
    <w:basedOn w:val="770"/>
    <w:pPr>
      <w:jc w:val="center"/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sz w:val="18"/>
      <w:szCs w:val="18"/>
      <w:lang w:eastAsia="ru-RU"/>
      <w14:ligatures w14:val="none"/>
    </w:rPr>
  </w:style>
  <w:style w:type="paragraph" w:styleId="1142" w:customStyle="1">
    <w:name w:val="xl163"/>
    <w:basedOn w:val="770"/>
    <w:pPr>
      <w:jc w:val="center"/>
      <w:spacing w:before="100" w:beforeAutospacing="1" w:after="100" w:afterAutospacing="1" w:line="240" w:lineRule="auto"/>
      <w:shd w:val="clear" w:color="000000" w:fill="ffffff"/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143" w:customStyle="1">
    <w:name w:val="xl164"/>
    <w:basedOn w:val="770"/>
    <w:pPr>
      <w:jc w:val="center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144" w:customStyle="1">
    <w:name w:val="xl165"/>
    <w:basedOn w:val="77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145" w:customStyle="1">
    <w:name w:val="xl166"/>
    <w:basedOn w:val="770"/>
    <w:pPr>
      <w:jc w:val="center"/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146" w:customStyle="1">
    <w:name w:val="xl167"/>
    <w:basedOn w:val="77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147" w:customStyle="1">
    <w:name w:val="xl168"/>
    <w:basedOn w:val="770"/>
    <w:pPr>
      <w:jc w:val="center"/>
      <w:spacing w:before="100" w:beforeAutospacing="1" w:after="100" w:afterAutospacing="1" w:line="240" w:lineRule="auto"/>
      <w:pBdr>
        <w:top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148" w:customStyle="1">
    <w:name w:val="xl169"/>
    <w:basedOn w:val="77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149" w:customStyle="1">
    <w:name w:val="xl170"/>
    <w:basedOn w:val="770"/>
    <w:pPr>
      <w:jc w:val="center"/>
      <w:spacing w:before="100" w:beforeAutospacing="1" w:after="100" w:afterAutospacing="1" w:line="240" w:lineRule="auto"/>
      <w:pBdr>
        <w:top w:val="single" w:color="000000" w:sz="4" w:space="0"/>
      </w:pBdr>
    </w:pPr>
    <w:rPr>
      <w:rFonts w:ascii="Times New Roman" w:hAnsi="Times New Roman" w:eastAsia="Times New Roman" w:cs="Times New Roman"/>
      <w:b/>
      <w:bCs/>
      <w:i/>
      <w:iCs/>
      <w:sz w:val="18"/>
      <w:szCs w:val="18"/>
      <w:lang w:eastAsia="ru-RU"/>
      <w14:ligatures w14:val="none"/>
    </w:rPr>
  </w:style>
  <w:style w:type="paragraph" w:styleId="1150" w:customStyle="1">
    <w:name w:val="xl171"/>
    <w:basedOn w:val="77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151" w:customStyle="1">
    <w:name w:val="xl172"/>
    <w:basedOn w:val="77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sz w:val="18"/>
      <w:szCs w:val="18"/>
      <w:lang w:eastAsia="ru-RU"/>
      <w14:ligatures w14:val="none"/>
    </w:rPr>
  </w:style>
  <w:style w:type="paragraph" w:styleId="1152" w:customStyle="1">
    <w:name w:val="xl173"/>
    <w:basedOn w:val="77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153" w:customStyle="1">
    <w:name w:val="xl174"/>
    <w:basedOn w:val="77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154" w:customStyle="1">
    <w:name w:val="xl175"/>
    <w:basedOn w:val="770"/>
    <w:pPr>
      <w:spacing w:before="100" w:beforeAutospacing="1" w:after="100" w:afterAutospacing="1" w:line="240" w:lineRule="auto"/>
      <w:pBdr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155" w:customStyle="1">
    <w:name w:val="xl176"/>
    <w:basedOn w:val="770"/>
    <w:pPr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156" w:customStyle="1">
    <w:name w:val="xl177"/>
    <w:basedOn w:val="77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157" w:customStyle="1">
    <w:name w:val="xl178"/>
    <w:basedOn w:val="770"/>
    <w:pPr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158" w:customStyle="1">
    <w:name w:val="xl179"/>
    <w:basedOn w:val="770"/>
    <w:pPr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159" w:customStyle="1">
    <w:name w:val="xl180"/>
    <w:basedOn w:val="77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160" w:customStyle="1">
    <w:name w:val="xl181"/>
    <w:basedOn w:val="77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i/>
      <w:iCs/>
      <w:sz w:val="18"/>
      <w:szCs w:val="18"/>
      <w:lang w:eastAsia="ru-RU"/>
      <w14:ligatures w14:val="none"/>
    </w:rPr>
  </w:style>
  <w:style w:type="paragraph" w:styleId="1161" w:customStyle="1">
    <w:name w:val="xl182"/>
    <w:basedOn w:val="77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162" w:customStyle="1">
    <w:name w:val="xl183"/>
    <w:basedOn w:val="770"/>
    <w:pPr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163" w:customStyle="1">
    <w:name w:val="xl184"/>
    <w:basedOn w:val="770"/>
    <w:pPr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164" w:customStyle="1">
    <w:name w:val="xl185"/>
    <w:basedOn w:val="77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165" w:customStyle="1">
    <w:name w:val="xl186"/>
    <w:basedOn w:val="770"/>
    <w:pPr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166" w:customStyle="1">
    <w:name w:val="xl187"/>
    <w:basedOn w:val="770"/>
    <w:pPr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sz w:val="18"/>
      <w:szCs w:val="18"/>
      <w:lang w:eastAsia="ru-RU"/>
      <w14:ligatures w14:val="none"/>
    </w:rPr>
  </w:style>
  <w:style w:type="paragraph" w:styleId="1167" w:customStyle="1">
    <w:name w:val="xl188"/>
    <w:basedOn w:val="770"/>
    <w:pPr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i/>
      <w:iCs/>
      <w:sz w:val="18"/>
      <w:szCs w:val="18"/>
      <w:lang w:eastAsia="ru-RU"/>
      <w14:ligatures w14:val="none"/>
    </w:rPr>
  </w:style>
  <w:style w:type="paragraph" w:styleId="1168" w:customStyle="1">
    <w:name w:val="xl189"/>
    <w:basedOn w:val="77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000000"/>
      <w:sz w:val="18"/>
      <w:szCs w:val="18"/>
      <w:lang w:eastAsia="ru-RU"/>
      <w14:ligatures w14:val="none"/>
    </w:rPr>
  </w:style>
  <w:style w:type="paragraph" w:styleId="1169" w:customStyle="1">
    <w:name w:val="xl190"/>
    <w:basedOn w:val="77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170" w:customStyle="1">
    <w:name w:val="xl191"/>
    <w:basedOn w:val="77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171" w:customStyle="1">
    <w:name w:val="xl192"/>
    <w:basedOn w:val="770"/>
    <w:pPr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172" w:customStyle="1">
    <w:name w:val="xl193"/>
    <w:basedOn w:val="77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173" w:customStyle="1">
    <w:name w:val="xl194"/>
    <w:basedOn w:val="770"/>
    <w:pPr>
      <w:spacing w:before="100" w:beforeAutospacing="1" w:after="100" w:afterAutospacing="1" w:line="240" w:lineRule="auto"/>
      <w:shd w:val="clear" w:color="000000" w:fill="ffffff"/>
      <w:pBdr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174" w:customStyle="1">
    <w:name w:val="xl195"/>
    <w:basedOn w:val="770"/>
    <w:pPr>
      <w:spacing w:before="100" w:beforeAutospacing="1" w:after="100" w:afterAutospacing="1" w:line="240" w:lineRule="auto"/>
      <w:shd w:val="clear" w:color="000000" w:fill="ffffff"/>
      <w:pBdr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175" w:customStyle="1">
    <w:name w:val="xl196"/>
    <w:basedOn w:val="77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</w:pBdr>
    </w:pPr>
    <w:rPr>
      <w:rFonts w:ascii="Times New Roman" w:hAnsi="Times New Roman" w:eastAsia="Times New Roman" w:cs="Times New Roman"/>
      <w:b/>
      <w:bCs/>
      <w:sz w:val="18"/>
      <w:szCs w:val="18"/>
      <w:lang w:eastAsia="ru-RU"/>
      <w14:ligatures w14:val="none"/>
    </w:rPr>
  </w:style>
  <w:style w:type="paragraph" w:styleId="1176" w:customStyle="1">
    <w:name w:val="xl197"/>
    <w:basedOn w:val="770"/>
    <w:pPr>
      <w:spacing w:before="100" w:beforeAutospacing="1" w:after="100" w:afterAutospacing="1" w:line="240" w:lineRule="auto"/>
      <w:pBdr>
        <w:top w:val="single" w:color="000000" w:sz="4" w:space="0"/>
      </w:pBdr>
    </w:pPr>
    <w:rPr>
      <w:rFonts w:ascii="Times New Roman" w:hAnsi="Times New Roman" w:eastAsia="Times New Roman" w:cs="Times New Roman"/>
      <w:b/>
      <w:bCs/>
      <w:sz w:val="18"/>
      <w:szCs w:val="18"/>
      <w:lang w:eastAsia="ru-RU"/>
      <w14:ligatures w14:val="none"/>
    </w:rPr>
  </w:style>
  <w:style w:type="paragraph" w:styleId="1177" w:customStyle="1">
    <w:name w:val="xl198"/>
    <w:basedOn w:val="770"/>
    <w:pPr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b/>
      <w:bCs/>
      <w:sz w:val="18"/>
      <w:szCs w:val="18"/>
      <w:lang w:eastAsia="ru-RU"/>
      <w14:ligatures w14:val="none"/>
    </w:rPr>
  </w:style>
  <w:style w:type="paragraph" w:styleId="1178" w:customStyle="1">
    <w:name w:val="xl199"/>
    <w:basedOn w:val="770"/>
    <w:pPr>
      <w:spacing w:before="100" w:beforeAutospacing="1" w:after="100" w:afterAutospacing="1" w:line="240" w:lineRule="auto"/>
      <w:pBdr>
        <w:bottom w:val="single" w:color="000000" w:sz="4" w:space="0"/>
      </w:pBdr>
    </w:pPr>
    <w:rPr>
      <w:rFonts w:ascii="Times New Roman" w:hAnsi="Times New Roman" w:eastAsia="Times New Roman" w:cs="Times New Roman"/>
      <w:b/>
      <w:bCs/>
      <w:sz w:val="18"/>
      <w:szCs w:val="18"/>
      <w:lang w:eastAsia="ru-RU"/>
      <w14:ligatures w14:val="none"/>
    </w:rPr>
  </w:style>
  <w:style w:type="paragraph" w:styleId="1179" w:customStyle="1">
    <w:name w:val="xl200"/>
    <w:basedOn w:val="77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180" w:customStyle="1">
    <w:name w:val="xl201"/>
    <w:basedOn w:val="77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181" w:customStyle="1">
    <w:name w:val="xl202"/>
    <w:basedOn w:val="77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182" w:customStyle="1">
    <w:name w:val="xl203"/>
    <w:basedOn w:val="770"/>
    <w:pPr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183" w:customStyle="1">
    <w:name w:val="xl204"/>
    <w:basedOn w:val="770"/>
    <w:pPr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184" w:customStyle="1">
    <w:name w:val="xl205"/>
    <w:basedOn w:val="77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sz w:val="18"/>
      <w:szCs w:val="18"/>
      <w:lang w:eastAsia="ru-RU"/>
      <w14:ligatures w14:val="none"/>
    </w:rPr>
  </w:style>
  <w:style w:type="paragraph" w:styleId="1185" w:customStyle="1">
    <w:name w:val="xl206"/>
    <w:basedOn w:val="77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i/>
      <w:iCs/>
      <w:sz w:val="18"/>
      <w:szCs w:val="18"/>
      <w:lang w:eastAsia="ru-RU"/>
      <w14:ligatures w14:val="none"/>
    </w:rPr>
  </w:style>
  <w:style w:type="paragraph" w:styleId="1186" w:customStyle="1">
    <w:name w:val="xl207"/>
    <w:basedOn w:val="77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187" w:customStyle="1">
    <w:name w:val="xl208"/>
    <w:basedOn w:val="770"/>
    <w:pPr>
      <w:spacing w:before="100" w:beforeAutospacing="1" w:after="100" w:afterAutospacing="1" w:line="240" w:lineRule="auto"/>
      <w:shd w:val="clear" w:color="000000" w:fill="ffffff"/>
      <w:pBdr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8"/>
      <w:szCs w:val="18"/>
      <w:lang w:eastAsia="ru-RU"/>
      <w14:ligatures w14:val="none"/>
    </w:rPr>
  </w:style>
  <w:style w:type="paragraph" w:styleId="1188" w:customStyle="1">
    <w:name w:val="xl209"/>
    <w:basedOn w:val="77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</w:pBdr>
    </w:pPr>
    <w:rPr>
      <w:rFonts w:ascii="Times New Roman" w:hAnsi="Times New Roman" w:eastAsia="Times New Roman" w:cs="Times New Roman"/>
      <w:b/>
      <w:bCs/>
      <w:i/>
      <w:iCs/>
      <w:sz w:val="18"/>
      <w:szCs w:val="18"/>
      <w:lang w:eastAsia="ru-RU"/>
      <w14:ligatures w14:val="none"/>
    </w:rPr>
  </w:style>
  <w:style w:type="paragraph" w:styleId="1189" w:customStyle="1">
    <w:name w:val="xl210"/>
    <w:basedOn w:val="770"/>
    <w:pPr>
      <w:spacing w:before="100" w:beforeAutospacing="1" w:after="100" w:afterAutospacing="1" w:line="240" w:lineRule="auto"/>
      <w:pBdr>
        <w:top w:val="single" w:color="000000" w:sz="4" w:space="0"/>
      </w:pBdr>
    </w:pPr>
    <w:rPr>
      <w:rFonts w:ascii="Times New Roman" w:hAnsi="Times New Roman" w:eastAsia="Times New Roman" w:cs="Times New Roman"/>
      <w:b/>
      <w:bCs/>
      <w:i/>
      <w:iCs/>
      <w:sz w:val="18"/>
      <w:szCs w:val="18"/>
      <w:lang w:eastAsia="ru-RU"/>
      <w14:ligatures w14:val="none"/>
    </w:rPr>
  </w:style>
  <w:style w:type="paragraph" w:styleId="1190" w:customStyle="1">
    <w:name w:val="xl211"/>
    <w:basedOn w:val="77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sz w:val="18"/>
      <w:szCs w:val="18"/>
      <w:lang w:eastAsia="ru-RU"/>
      <w14:ligatures w14:val="none"/>
    </w:rPr>
  </w:style>
  <w:style w:type="paragraph" w:styleId="1191" w:customStyle="1">
    <w:name w:val="xl212"/>
    <w:basedOn w:val="77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b/>
      <w:bCs/>
      <w:i/>
      <w:iCs/>
      <w:sz w:val="18"/>
      <w:szCs w:val="18"/>
      <w:lang w:eastAsia="ru-RU"/>
      <w14:ligatures w14:val="none"/>
    </w:rPr>
  </w:style>
  <w:style w:type="paragraph" w:styleId="1192" w:customStyle="1">
    <w:name w:val="xl213"/>
    <w:basedOn w:val="770"/>
    <w:pPr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b/>
      <w:bCs/>
      <w:i/>
      <w:iCs/>
      <w:sz w:val="18"/>
      <w:szCs w:val="18"/>
      <w:lang w:eastAsia="ru-RU"/>
      <w14:ligatures w14:val="none"/>
    </w:rPr>
  </w:style>
  <w:style w:type="paragraph" w:styleId="1193" w:customStyle="1">
    <w:name w:val="xl214"/>
    <w:basedOn w:val="77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b/>
      <w:bCs/>
      <w:i/>
      <w:iCs/>
      <w:color w:val="000000"/>
      <w:sz w:val="18"/>
      <w:szCs w:val="18"/>
      <w:lang w:eastAsia="ru-RU"/>
      <w14:ligatures w14:val="none"/>
    </w:rPr>
  </w:style>
  <w:style w:type="paragraph" w:styleId="1194" w:customStyle="1">
    <w:name w:val="xl215"/>
    <w:basedOn w:val="770"/>
    <w:pPr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sz w:val="18"/>
      <w:szCs w:val="18"/>
      <w:lang w:eastAsia="ru-RU"/>
      <w14:ligatures w14:val="none"/>
    </w:rPr>
  </w:style>
  <w:style w:type="paragraph" w:styleId="1195" w:customStyle="1">
    <w:name w:val="xl216"/>
    <w:basedOn w:val="77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i/>
      <w:iCs/>
      <w:sz w:val="18"/>
      <w:szCs w:val="18"/>
      <w:lang w:eastAsia="ru-RU"/>
      <w14:ligatures w14:val="none"/>
    </w:rPr>
  </w:style>
  <w:style w:type="paragraph" w:styleId="1196" w:customStyle="1">
    <w:name w:val="xl217"/>
    <w:basedOn w:val="77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sz w:val="18"/>
      <w:szCs w:val="18"/>
      <w:lang w:eastAsia="ru-RU"/>
      <w14:ligatures w14:val="none"/>
    </w:rPr>
  </w:style>
  <w:style w:type="paragraph" w:styleId="1197" w:customStyle="1">
    <w:name w:val="xl218"/>
    <w:basedOn w:val="77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b/>
      <w:bCs/>
      <w:i/>
      <w:iCs/>
      <w:sz w:val="18"/>
      <w:szCs w:val="18"/>
      <w:lang w:eastAsia="ru-RU"/>
      <w14:ligatures w14:val="none"/>
    </w:rPr>
  </w:style>
  <w:style w:type="paragraph" w:styleId="1198">
    <w:name w:val="Balloon Text"/>
    <w:basedOn w:val="770"/>
    <w:link w:val="119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1199" w:customStyle="1">
    <w:name w:val="Текст выноски Знак"/>
    <w:basedOn w:val="780"/>
    <w:link w:val="1198"/>
    <w:uiPriority w:val="99"/>
    <w:semiHidden/>
    <w:rPr>
      <w:rFonts w:ascii="Tahoma" w:hAnsi="Tahoma" w:cs="Tahoma"/>
      <w:sz w:val="16"/>
      <w:szCs w:val="16"/>
    </w:rPr>
  </w:style>
  <w:style w:type="character" w:styleId="1200" w:customStyle="1">
    <w:name w:val="Char Style 5"/>
    <w:basedOn w:val="780"/>
    <w:link w:val="1209"/>
    <w:rPr>
      <w:sz w:val="20"/>
      <w:szCs w:val="20"/>
      <w:shd w:val="clear" w:color="auto" w:fill="ffffff"/>
    </w:rPr>
  </w:style>
  <w:style w:type="character" w:styleId="1201" w:customStyle="1">
    <w:name w:val="Char Style 7"/>
    <w:basedOn w:val="780"/>
    <w:link w:val="1210"/>
    <w:rPr>
      <w:sz w:val="21"/>
      <w:szCs w:val="21"/>
      <w:shd w:val="clear" w:color="auto" w:fill="ffffff"/>
    </w:rPr>
  </w:style>
  <w:style w:type="character" w:styleId="1202" w:customStyle="1">
    <w:name w:val="Char Style 9"/>
    <w:basedOn w:val="780"/>
    <w:link w:val="1211"/>
    <w:rPr>
      <w:sz w:val="8"/>
      <w:szCs w:val="8"/>
      <w:shd w:val="clear" w:color="auto" w:fill="ffffff"/>
    </w:rPr>
  </w:style>
  <w:style w:type="character" w:styleId="1203" w:customStyle="1">
    <w:name w:val="Char Style 11"/>
    <w:basedOn w:val="780"/>
    <w:link w:val="1212"/>
    <w:rPr>
      <w:sz w:val="8"/>
      <w:szCs w:val="8"/>
      <w:shd w:val="clear" w:color="auto" w:fill="ffffff"/>
    </w:rPr>
  </w:style>
  <w:style w:type="character" w:styleId="1204" w:customStyle="1">
    <w:name w:val="Char Style 12"/>
    <w:basedOn w:val="1200"/>
    <w:rPr>
      <w:rFonts w:ascii="Times New Roman" w:hAnsi="Times New Roman" w:eastAsia="Times New Roman" w:cs="Times New Roman"/>
      <w:b/>
      <w:bCs/>
      <w:color w:val="000000"/>
      <w:spacing w:val="0"/>
      <w:position w:val="0"/>
      <w:sz w:val="21"/>
      <w:szCs w:val="21"/>
      <w:shd w:val="clear" w:color="auto" w:fill="ffffff"/>
      <w:lang w:val="ru"/>
    </w:rPr>
  </w:style>
  <w:style w:type="character" w:styleId="1205" w:customStyle="1">
    <w:name w:val="Char Style 14"/>
    <w:basedOn w:val="780"/>
    <w:link w:val="1213"/>
    <w:rPr>
      <w:sz w:val="8"/>
      <w:szCs w:val="8"/>
      <w:shd w:val="clear" w:color="auto" w:fill="ffffff"/>
    </w:rPr>
  </w:style>
  <w:style w:type="character" w:styleId="1206" w:customStyle="1">
    <w:name w:val="Char Style 15"/>
    <w:basedOn w:val="1201"/>
    <w:rPr>
      <w:rFonts w:ascii="Times New Roman" w:hAnsi="Times New Roman" w:eastAsia="Times New Roman" w:cs="Times New Roman"/>
      <w:b/>
      <w:bCs/>
      <w:color w:val="000000"/>
      <w:spacing w:val="0"/>
      <w:position w:val="0"/>
      <w:sz w:val="20"/>
      <w:szCs w:val="20"/>
      <w:shd w:val="clear" w:color="auto" w:fill="ffffff"/>
      <w:lang w:val="ru"/>
    </w:rPr>
  </w:style>
  <w:style w:type="character" w:styleId="1207" w:customStyle="1">
    <w:name w:val="Char Style 16"/>
    <w:basedOn w:val="1201"/>
    <w:rPr>
      <w:rFonts w:ascii="Times New Roman" w:hAnsi="Times New Roman" w:eastAsia="Times New Roman" w:cs="Times New Roman"/>
      <w:color w:val="000000"/>
      <w:spacing w:val="0"/>
      <w:position w:val="0"/>
      <w:sz w:val="21"/>
      <w:szCs w:val="21"/>
      <w:shd w:val="clear" w:color="auto" w:fill="ffffff"/>
      <w:lang w:val="ru"/>
    </w:rPr>
  </w:style>
  <w:style w:type="character" w:styleId="1208" w:customStyle="1">
    <w:name w:val="Char Style 17"/>
    <w:basedOn w:val="1200"/>
    <w:rPr>
      <w:rFonts w:ascii="Times New Roman" w:hAnsi="Times New Roman" w:eastAsia="Times New Roman" w:cs="Times New Roman"/>
      <w:b/>
      <w:bCs/>
      <w:color w:val="000000"/>
      <w:spacing w:val="0"/>
      <w:position w:val="0"/>
      <w:sz w:val="21"/>
      <w:szCs w:val="21"/>
      <w:shd w:val="clear" w:color="auto" w:fill="ffffff"/>
      <w:lang w:val="ru"/>
    </w:rPr>
  </w:style>
  <w:style w:type="paragraph" w:styleId="1209" w:customStyle="1">
    <w:name w:val="Style 4"/>
    <w:basedOn w:val="770"/>
    <w:link w:val="1200"/>
    <w:pPr>
      <w:jc w:val="center"/>
      <w:spacing w:after="0" w:line="0" w:lineRule="atLeast"/>
      <w:shd w:val="clear" w:color="auto" w:fill="ffffff"/>
      <w:widowControl w:val="off"/>
    </w:pPr>
    <w:rPr>
      <w:sz w:val="20"/>
      <w:szCs w:val="20"/>
    </w:rPr>
  </w:style>
  <w:style w:type="paragraph" w:styleId="1210" w:customStyle="1">
    <w:name w:val="Style 6"/>
    <w:basedOn w:val="770"/>
    <w:link w:val="1201"/>
    <w:pPr>
      <w:jc w:val="both"/>
      <w:spacing w:after="0" w:line="0" w:lineRule="atLeast"/>
      <w:shd w:val="clear" w:color="auto" w:fill="ffffff"/>
      <w:widowControl w:val="off"/>
    </w:pPr>
    <w:rPr>
      <w:sz w:val="21"/>
      <w:szCs w:val="21"/>
    </w:rPr>
  </w:style>
  <w:style w:type="paragraph" w:styleId="1211" w:customStyle="1">
    <w:name w:val="Style 8"/>
    <w:basedOn w:val="770"/>
    <w:link w:val="1202"/>
    <w:pPr>
      <w:jc w:val="both"/>
      <w:spacing w:after="0" w:line="0" w:lineRule="atLeast"/>
      <w:shd w:val="clear" w:color="auto" w:fill="ffffff"/>
      <w:widowControl w:val="off"/>
    </w:pPr>
    <w:rPr>
      <w:sz w:val="8"/>
      <w:szCs w:val="8"/>
    </w:rPr>
  </w:style>
  <w:style w:type="paragraph" w:styleId="1212" w:customStyle="1">
    <w:name w:val="Style 10"/>
    <w:basedOn w:val="770"/>
    <w:link w:val="1203"/>
    <w:pPr>
      <w:spacing w:after="0" w:line="0" w:lineRule="atLeast"/>
      <w:shd w:val="clear" w:color="auto" w:fill="ffffff"/>
      <w:widowControl w:val="off"/>
    </w:pPr>
    <w:rPr>
      <w:sz w:val="8"/>
      <w:szCs w:val="8"/>
    </w:rPr>
  </w:style>
  <w:style w:type="paragraph" w:styleId="1213" w:customStyle="1">
    <w:name w:val="Style 13"/>
    <w:basedOn w:val="770"/>
    <w:link w:val="1205"/>
    <w:pPr>
      <w:jc w:val="both"/>
      <w:spacing w:after="0" w:line="0" w:lineRule="atLeast"/>
      <w:shd w:val="clear" w:color="auto" w:fill="ffffff"/>
      <w:widowControl w:val="off"/>
    </w:pPr>
    <w:rPr>
      <w:sz w:val="8"/>
      <w:szCs w:val="8"/>
    </w:rPr>
  </w:style>
  <w:style w:type="character" w:styleId="1214" w:customStyle="1">
    <w:name w:val="Char Style 19"/>
    <w:basedOn w:val="780"/>
    <w:link w:val="1218"/>
    <w:rPr>
      <w:sz w:val="8"/>
      <w:szCs w:val="8"/>
      <w:shd w:val="clear" w:color="auto" w:fill="ffffff"/>
    </w:rPr>
  </w:style>
  <w:style w:type="character" w:styleId="1215" w:customStyle="1">
    <w:name w:val="Char Style 20"/>
    <w:basedOn w:val="1200"/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1"/>
      <w:szCs w:val="21"/>
      <w:u w:val="none"/>
      <w:shd w:val="clear" w:color="auto" w:fill="ffffff"/>
      <w:lang w:val="ru"/>
    </w:rPr>
  </w:style>
  <w:style w:type="character" w:styleId="1216" w:customStyle="1">
    <w:name w:val="Char Style 22"/>
    <w:basedOn w:val="780"/>
    <w:link w:val="1219"/>
    <w:rPr>
      <w:sz w:val="8"/>
      <w:szCs w:val="8"/>
      <w:shd w:val="clear" w:color="auto" w:fill="ffffff"/>
    </w:rPr>
  </w:style>
  <w:style w:type="character" w:styleId="1217" w:customStyle="1">
    <w:name w:val="Char Style 23"/>
    <w:basedOn w:val="1201"/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0"/>
      <w:szCs w:val="20"/>
      <w:u w:val="none"/>
      <w:shd w:val="clear" w:color="auto" w:fill="ffffff"/>
      <w:lang w:val="ru"/>
    </w:rPr>
  </w:style>
  <w:style w:type="paragraph" w:styleId="1218" w:customStyle="1">
    <w:name w:val="Style 18"/>
    <w:basedOn w:val="770"/>
    <w:link w:val="1214"/>
    <w:pPr>
      <w:spacing w:after="0" w:line="0" w:lineRule="atLeast"/>
      <w:shd w:val="clear" w:color="auto" w:fill="ffffff"/>
      <w:widowControl w:val="off"/>
    </w:pPr>
    <w:rPr>
      <w:sz w:val="8"/>
      <w:szCs w:val="8"/>
    </w:rPr>
  </w:style>
  <w:style w:type="paragraph" w:styleId="1219" w:customStyle="1">
    <w:name w:val="Style 21"/>
    <w:basedOn w:val="770"/>
    <w:link w:val="1216"/>
    <w:pPr>
      <w:spacing w:after="0" w:line="0" w:lineRule="atLeast"/>
      <w:shd w:val="clear" w:color="auto" w:fill="ffffff"/>
      <w:widowControl w:val="off"/>
    </w:pPr>
    <w:rPr>
      <w:sz w:val="8"/>
      <w:szCs w:val="8"/>
    </w:rPr>
  </w:style>
  <w:style w:type="character" w:styleId="1220" w:customStyle="1">
    <w:name w:val="Неразрешенное упоминание1"/>
    <w:basedOn w:val="78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chart" Target="charts/chart1.xml" /><Relationship Id="rId12" Type="http://schemas.openxmlformats.org/officeDocument/2006/relationships/chart" Target="charts/chart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charts/_rels/chart1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Worksheet1.xlsx" /></Relationships>
</file>

<file path=word/charts/_rels/chart2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Worksheet2.xlsx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Структура!$B$6</c:f>
              <c:strCache>
                <c:ptCount val="1"/>
                <c:pt idx="0">
                  <c:v xml:space="preserve">на 01.01.2020</c:v>
                </c:pt>
              </c:strCache>
            </c:strRef>
          </c:tx>
          <c:spPr bwMode="auto">
            <a:prstGeom prst="rect">
              <a:avLst/>
            </a:prstGeom>
            <a:solidFill>
              <a:srgbClr val="FFC000"/>
            </a:solidFill>
            <a:ln>
              <a:noFill/>
              <a:miter/>
            </a:ln>
            <a:effectLst/>
          </c:spPr>
          <c:invertIfNegative val="0"/>
          <c:cat>
            <c:strRef>
              <c:f>Структура!$A$7:$A$56</c:f>
              <c:strCache>
                <c:ptCount val="20"/>
                <c:pt idx="0">
                  <c:v>Тракторы</c:v>
                </c:pt>
                <c:pt idx="1">
                  <c:v>Автомобили</c:v>
                </c:pt>
                <c:pt idx="2">
                  <c:v xml:space="preserve">Прицепы тракторные</c:v>
                </c:pt>
                <c:pt idx="3">
                  <c:v xml:space="preserve">Зерноуборочные комбайны</c:v>
                </c:pt>
                <c:pt idx="4">
                  <c:v xml:space="preserve">Жатки валковые</c:v>
                </c:pt>
                <c:pt idx="5">
                  <c:v xml:space="preserve">Кормоуборочные комбайны</c:v>
                </c:pt>
                <c:pt idx="6">
                  <c:v xml:space="preserve">Свеклоуборочные комбайны и комплексы</c:v>
                </c:pt>
                <c:pt idx="7">
                  <c:v xml:space="preserve">Картофелеуборочные комбайны и комплексы</c:v>
                </c:pt>
                <c:pt idx="8">
                  <c:v xml:space="preserve">Косилки тракторные</c:v>
                </c:pt>
                <c:pt idx="9">
                  <c:v>Грабли</c:v>
                </c:pt>
                <c:pt idx="10">
                  <c:v>Пресс-подборщики</c:v>
                </c:pt>
                <c:pt idx="11">
                  <c:v>Плуги</c:v>
                </c:pt>
                <c:pt idx="12">
                  <c:v xml:space="preserve">Культиваторы и комбинированные машины</c:v>
                </c:pt>
                <c:pt idx="13">
                  <c:v xml:space="preserve">Бороны дисковые</c:v>
                </c:pt>
                <c:pt idx="14">
                  <c:v>Сеялки</c:v>
                </c:pt>
                <c:pt idx="15">
                  <c:v xml:space="preserve">Посевные комплексы</c:v>
                </c:pt>
                <c:pt idx="16">
                  <c:v xml:space="preserve">Машины для внесения минеральных удобрений</c:v>
                </c:pt>
                <c:pt idx="17">
                  <c:v xml:space="preserve">Машины для внесения органических удобрений</c:v>
                </c:pt>
                <c:pt idx="18">
                  <c:v xml:space="preserve">Машины и пр. дождевальные и поливные</c:v>
                </c:pt>
                <c:pt idx="19">
                  <c:v xml:space="preserve">Опрыскиватели и опыливатели</c:v>
                </c:pt>
              </c:strCache>
            </c:strRef>
          </c:cat>
          <c:val>
            <c:numRef>
              <c:f>Структура!$B$7:$B$56</c:f>
              <c:numCache>
                <c:formatCode>#,##0</c:formatCode>
                <c:ptCount val="20"/>
                <c:pt idx="0">
                  <c:v>2746</c:v>
                </c:pt>
                <c:pt idx="1">
                  <c:v>1265</c:v>
                </c:pt>
                <c:pt idx="2">
                  <c:v>1265</c:v>
                </c:pt>
                <c:pt idx="3">
                  <c:v>742</c:v>
                </c:pt>
                <c:pt idx="4">
                  <c:v>162</c:v>
                </c:pt>
                <c:pt idx="5">
                  <c:v>237</c:v>
                </c:pt>
                <c:pt idx="6">
                  <c:v>6</c:v>
                </c:pt>
                <c:pt idx="7">
                  <c:v>113</c:v>
                </c:pt>
                <c:pt idx="8">
                  <c:v>651</c:v>
                </c:pt>
                <c:pt idx="9">
                  <c:v>387</c:v>
                </c:pt>
                <c:pt idx="10">
                  <c:v>471</c:v>
                </c:pt>
                <c:pt idx="11">
                  <c:v>1197</c:v>
                </c:pt>
                <c:pt idx="12">
                  <c:v>1497</c:v>
                </c:pt>
                <c:pt idx="13">
                  <c:v>678</c:v>
                </c:pt>
                <c:pt idx="14">
                  <c:v>1321</c:v>
                </c:pt>
                <c:pt idx="15">
                  <c:v>58</c:v>
                </c:pt>
                <c:pt idx="16">
                  <c:v>224</c:v>
                </c:pt>
                <c:pt idx="17">
                  <c:v>65</c:v>
                </c:pt>
                <c:pt idx="18">
                  <c:v>98</c:v>
                </c:pt>
                <c:pt idx="19">
                  <c:v>424</c:v>
                </c:pt>
              </c:numCache>
            </c:numRef>
          </c:val>
        </c:ser>
        <c:ser>
          <c:idx val="1"/>
          <c:order val="1"/>
          <c:tx>
            <c:strRef>
              <c:f>Структура!$I$6</c:f>
              <c:strCache>
                <c:ptCount val="1"/>
                <c:pt idx="0">
                  <c:v xml:space="preserve">на 01.01.2024</c:v>
                </c:pt>
              </c:strCache>
            </c:strRef>
          </c:tx>
          <c:spPr bwMode="auto">
            <a:prstGeom prst="rect">
              <a:avLst/>
            </a:prstGeom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dLblPos val="outEnd"/>
              <c:layout/>
              <c:showBubbleSize val="0"/>
              <c:showCatName val="0"/>
              <c:showLegendKey val="0"/>
              <c:showPercent val="0"/>
              <c:showSerName val="0"/>
              <c:showVal val="1"/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+665</a:t>
                    </a:r>
                    <a:endParaRPr/>
                  </a:p>
                </c:rich>
              </c:tx>
              <c:extLst>
                <c:ext uri="{CE6537A1-D6FC-4f65-9D91-7224C49458BB}">
                  <c15:showDataLabelsRange val="0"/>
                </c:ext>
              </c:extLst>
            </c:dLbl>
            <c:dLbl>
              <c:idx val="1"/>
              <c:dLblPos val="outEnd"/>
              <c:layout/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  <a:effectLst/>
              </c:spPr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>
                        <a:solidFill>
                          <a:srgbClr val="FF0000"/>
                        </a:solidFill>
                        <a:latin typeface="Times New Roman"/>
                        <a:ea typeface="+mn-ea"/>
                        <a:cs typeface="Times New Roman"/>
                      </a:defRPr>
                    </a:pPr>
                    <a:r>
                      <a:rPr lang="en-US">
                        <a:solidFill>
                          <a:srgbClr val="FF0000"/>
                        </a:solidFill>
                      </a:rPr>
                      <a:t>-97</a:t>
                    </a:r>
                    <a:endParaRPr lang="en-US"/>
                  </a:p>
                </c:rich>
              </c:tx>
              <c:extLst>
                <c:ext uri="{CE6537A1-D6FC-4f65-9D91-7224C49458BB}">
                  <c15:showDataLabelsRange val="0"/>
                </c:ext>
              </c:extLst>
            </c:dLbl>
            <c:dLbl>
              <c:idx val="2"/>
              <c:dLblPos val="outEnd"/>
              <c:layout/>
              <c:showBubbleSize val="0"/>
              <c:showCatName val="0"/>
              <c:showLegendKey val="0"/>
              <c:showPercent val="0"/>
              <c:showSerName val="0"/>
              <c:showVal val="1"/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+158</a:t>
                    </a:r>
                    <a:endParaRPr/>
                  </a:p>
                </c:rich>
              </c:tx>
              <c:extLst>
                <c:ext uri="{CE6537A1-D6FC-4f65-9D91-7224C49458BB}">
                  <c15:showDataLabelsRange val="0"/>
                </c:ext>
              </c:extLst>
            </c:dLbl>
            <c:dLbl>
              <c:idx val="3"/>
              <c:dLblPos val="outEnd"/>
              <c:layout/>
              <c:showBubbleSize val="0"/>
              <c:showCatName val="0"/>
              <c:showLegendKey val="0"/>
              <c:showPercent val="0"/>
              <c:showSerName val="0"/>
              <c:showVal val="1"/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+122</a:t>
                    </a:r>
                    <a:endParaRPr/>
                  </a:p>
                </c:rich>
              </c:tx>
              <c:extLst>
                <c:ext uri="{CE6537A1-D6FC-4f65-9D91-7224C49458BB}">
                  <c15:showDataLabelsRange val="0"/>
                </c:ext>
              </c:extLst>
            </c:dLbl>
            <c:dLbl>
              <c:idx val="4"/>
              <c:dLblPos val="outEnd"/>
              <c:layout/>
              <c:showBubbleSize val="0"/>
              <c:showCatName val="0"/>
              <c:showLegendKey val="0"/>
              <c:showPercent val="0"/>
              <c:showSerName val="0"/>
              <c:showVal val="1"/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+15</a:t>
                    </a:r>
                    <a:endParaRPr/>
                  </a:p>
                </c:rich>
              </c:tx>
              <c:extLst>
                <c:ext uri="{CE6537A1-D6FC-4f65-9D91-7224C49458BB}">
                  <c15:showDataLabelsRange val="0"/>
                </c:ext>
              </c:extLst>
            </c:dLbl>
            <c:dLbl>
              <c:idx val="5"/>
              <c:dLblPos val="outEnd"/>
              <c:layout/>
              <c:showBubbleSize val="0"/>
              <c:showCatName val="0"/>
              <c:showLegendKey val="0"/>
              <c:showPercent val="0"/>
              <c:showSerName val="0"/>
              <c:showVal val="1"/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+34</a:t>
                    </a:r>
                    <a:endParaRPr/>
                  </a:p>
                </c:rich>
              </c:tx>
              <c:extLst>
                <c:ext uri="{CE6537A1-D6FC-4f65-9D91-7224C49458BB}">
                  <c15:showDataLabelsRange val="0"/>
                </c:ext>
              </c:extLst>
            </c:dLbl>
            <c:dLbl>
              <c:idx val="6"/>
              <c:dLblPos val="outEnd"/>
              <c:layout/>
              <c:showBubbleSize val="0"/>
              <c:showCatName val="0"/>
              <c:showLegendKey val="0"/>
              <c:showPercent val="0"/>
              <c:showSerName val="0"/>
              <c:showVal val="1"/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+7</a:t>
                    </a:r>
                    <a:endParaRPr/>
                  </a:p>
                </c:rich>
              </c:tx>
              <c:extLst>
                <c:ext uri="{CE6537A1-D6FC-4f65-9D91-7224C49458BB}">
                  <c15:showDataLabelsRange val="0"/>
                </c:ext>
              </c:extLst>
            </c:dLbl>
            <c:dLbl>
              <c:idx val="7"/>
              <c:dLblPos val="outEnd"/>
              <c:layout/>
              <c:showBubbleSize val="0"/>
              <c:showCatName val="0"/>
              <c:showLegendKey val="0"/>
              <c:showPercent val="0"/>
              <c:showSerName val="0"/>
              <c:showVal val="1"/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+8</a:t>
                    </a:r>
                    <a:endParaRPr/>
                  </a:p>
                </c:rich>
              </c:tx>
              <c:extLst>
                <c:ext uri="{CE6537A1-D6FC-4f65-9D91-7224C49458BB}">
                  <c15:showDataLabelsRange val="0"/>
                </c:ext>
              </c:extLst>
            </c:dLbl>
            <c:dLbl>
              <c:idx val="8"/>
              <c:dLblPos val="outEnd"/>
              <c:layout/>
              <c:showBubbleSize val="0"/>
              <c:showCatName val="0"/>
              <c:showLegendKey val="0"/>
              <c:showPercent val="0"/>
              <c:showSerName val="0"/>
              <c:showVal val="1"/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+44</a:t>
                    </a:r>
                    <a:endParaRPr/>
                  </a:p>
                </c:rich>
              </c:tx>
              <c:extLst>
                <c:ext uri="{CE6537A1-D6FC-4f65-9D91-7224C49458BB}">
                  <c15:showDataLabelsRange val="0"/>
                </c:ext>
              </c:extLst>
            </c:dLbl>
            <c:dLbl>
              <c:idx val="9"/>
              <c:dLblPos val="outEnd"/>
              <c:layout/>
              <c:showBubbleSize val="0"/>
              <c:showCatName val="0"/>
              <c:showLegendKey val="0"/>
              <c:showPercent val="0"/>
              <c:showSerName val="0"/>
              <c:showVal val="1"/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+41</a:t>
                    </a:r>
                    <a:endParaRPr/>
                  </a:p>
                </c:rich>
              </c:tx>
              <c:extLst>
                <c:ext uri="{CE6537A1-D6FC-4f65-9D91-7224C49458BB}">
                  <c15:showDataLabelsRange val="0"/>
                </c:ext>
              </c:extLst>
            </c:dLbl>
            <c:dLbl>
              <c:idx val="10"/>
              <c:dLblPos val="outEnd"/>
              <c:layout/>
              <c:showBubbleSize val="0"/>
              <c:showCatName val="0"/>
              <c:showLegendKey val="0"/>
              <c:showPercent val="0"/>
              <c:showSerName val="0"/>
              <c:showVal val="1"/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+46</a:t>
                    </a:r>
                    <a:endParaRPr/>
                  </a:p>
                </c:rich>
              </c:tx>
              <c:extLst>
                <c:ext uri="{CE6537A1-D6FC-4f65-9D91-7224C49458BB}">
                  <c15:showDataLabelsRange val="0"/>
                </c:ext>
              </c:extLst>
            </c:dLbl>
            <c:dLbl>
              <c:idx val="11"/>
              <c:dLblPos val="outEnd"/>
              <c:layout/>
              <c:showBubbleSize val="0"/>
              <c:showCatName val="0"/>
              <c:showLegendKey val="0"/>
              <c:showPercent val="0"/>
              <c:showSerName val="0"/>
              <c:showVal val="1"/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+18</a:t>
                    </a:r>
                    <a:endParaRPr/>
                  </a:p>
                </c:rich>
              </c:tx>
              <c:extLst>
                <c:ext uri="{CE6537A1-D6FC-4f65-9D91-7224C49458BB}">
                  <c15:showDataLabelsRange val="0"/>
                </c:ext>
              </c:extLst>
            </c:dLbl>
            <c:dLbl>
              <c:idx val="12"/>
              <c:dLblPos val="outEnd"/>
              <c:layout/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  <a:effectLst/>
              </c:spPr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>
                        <a:solidFill>
                          <a:srgbClr val="FF0000"/>
                        </a:solidFill>
                        <a:latin typeface="Times New Roman"/>
                        <a:ea typeface="+mn-ea"/>
                        <a:cs typeface="Times New Roman"/>
                      </a:defRPr>
                    </a:pPr>
                    <a:r>
                      <a:rPr lang="en-US">
                        <a:solidFill>
                          <a:srgbClr val="FF0000"/>
                        </a:solidFill>
                      </a:rPr>
                      <a:t>-227</a:t>
                    </a:r>
                    <a:endParaRPr lang="en-US"/>
                  </a:p>
                </c:rich>
              </c:tx>
              <c:extLst>
                <c:ext uri="{CE6537A1-D6FC-4f65-9D91-7224C49458BB}">
                  <c15:showDataLabelsRange val="0"/>
                </c:ext>
              </c:extLst>
            </c:dLbl>
            <c:dLbl>
              <c:idx val="13"/>
              <c:dLblPos val="outEnd"/>
              <c:layout/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  <a:effectLst/>
              </c:spPr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>
                        <a:solidFill>
                          <a:srgbClr val="FF0000"/>
                        </a:solidFill>
                        <a:latin typeface="Times New Roman"/>
                        <a:ea typeface="+mn-ea"/>
                        <a:cs typeface="Times New Roman"/>
                      </a:defRPr>
                    </a:pPr>
                    <a:r>
                      <a:rPr lang="en-US">
                        <a:solidFill>
                          <a:srgbClr val="FF0000"/>
                        </a:solidFill>
                      </a:rPr>
                      <a:t>-29</a:t>
                    </a:r>
                    <a:endParaRPr lang="en-US"/>
                  </a:p>
                </c:rich>
              </c:tx>
              <c:extLst>
                <c:ext uri="{CE6537A1-D6FC-4f65-9D91-7224C49458BB}">
                  <c15:showDataLabelsRange val="0"/>
                </c:ext>
              </c:extLst>
            </c:dLbl>
            <c:dLbl>
              <c:idx val="14"/>
              <c:dLblPos val="outEnd"/>
              <c:layout/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  <a:effectLst/>
              </c:spPr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>
                        <a:solidFill>
                          <a:srgbClr val="FF0000"/>
                        </a:solidFill>
                        <a:latin typeface="Times New Roman"/>
                        <a:ea typeface="+mn-ea"/>
                        <a:cs typeface="Times New Roman"/>
                      </a:defRPr>
                    </a:pPr>
                    <a:r>
                      <a:rPr lang="en-US">
                        <a:solidFill>
                          <a:srgbClr val="FF0000"/>
                        </a:solidFill>
                      </a:rPr>
                      <a:t>-127</a:t>
                    </a:r>
                    <a:endParaRPr lang="en-US"/>
                  </a:p>
                </c:rich>
              </c:tx>
              <c:extLst>
                <c:ext uri="{CE6537A1-D6FC-4f65-9D91-7224C49458BB}">
                  <c15:showDataLabelsRange val="0"/>
                </c:ext>
              </c:extLst>
            </c:dLbl>
            <c:dLbl>
              <c:idx val="15"/>
              <c:dLblPos val="outEnd"/>
              <c:layout/>
              <c:showBubbleSize val="0"/>
              <c:showCatName val="0"/>
              <c:showLegendKey val="0"/>
              <c:showPercent val="0"/>
              <c:showSerName val="0"/>
              <c:showVal val="1"/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+39</a:t>
                    </a:r>
                    <a:endParaRPr/>
                  </a:p>
                </c:rich>
              </c:tx>
              <c:extLst>
                <c:ext uri="{CE6537A1-D6FC-4f65-9D91-7224C49458BB}">
                  <c15:showDataLabelsRange val="0"/>
                </c:ext>
              </c:extLst>
            </c:dLbl>
            <c:dLbl>
              <c:idx val="16"/>
              <c:dLblPos val="outEnd"/>
              <c:layout/>
              <c:showBubbleSize val="0"/>
              <c:showCatName val="0"/>
              <c:showLegendKey val="0"/>
              <c:showPercent val="0"/>
              <c:showSerName val="0"/>
              <c:showVal val="1"/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+48</a:t>
                    </a:r>
                    <a:endParaRPr/>
                  </a:p>
                </c:rich>
              </c:tx>
              <c:extLst>
                <c:ext uri="{CE6537A1-D6FC-4f65-9D91-7224C49458BB}">
                  <c15:showDataLabelsRange val="0"/>
                </c:ext>
              </c:extLst>
            </c:dLbl>
            <c:dLbl>
              <c:idx val="17"/>
              <c:dLblPos val="outEnd"/>
              <c:layout/>
              <c:showBubbleSize val="0"/>
              <c:showCatName val="0"/>
              <c:showLegendKey val="0"/>
              <c:showPercent val="0"/>
              <c:showSerName val="0"/>
              <c:showVal val="1"/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+13</a:t>
                    </a:r>
                    <a:endParaRPr/>
                  </a:p>
                </c:rich>
              </c:tx>
              <c:extLst>
                <c:ext uri="{CE6537A1-D6FC-4f65-9D91-7224C49458BB}">
                  <c15:showDataLabelsRange val="0"/>
                </c:ext>
              </c:extLst>
            </c:dLbl>
            <c:dLbl>
              <c:idx val="18"/>
              <c:dLblPos val="outEnd"/>
              <c:layout/>
              <c:showBubbleSize val="0"/>
              <c:showCatName val="0"/>
              <c:showLegendKey val="0"/>
              <c:showPercent val="0"/>
              <c:showSerName val="0"/>
              <c:showVal val="1"/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+19</a:t>
                    </a:r>
                    <a:endParaRPr/>
                  </a:p>
                </c:rich>
              </c:tx>
              <c:extLst>
                <c:ext uri="{CE6537A1-D6FC-4f65-9D91-7224C49458BB}">
                  <c15:showDataLabelsRange val="0"/>
                </c:ext>
              </c:extLst>
            </c:dLbl>
            <c:dLbl>
              <c:idx val="19"/>
              <c:dLblPos val="outEnd"/>
              <c:layout/>
              <c:showBubbleSize val="0"/>
              <c:showCatName val="0"/>
              <c:showLegendKey val="0"/>
              <c:showPercent val="0"/>
              <c:showSerName val="0"/>
              <c:showVal val="1"/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+100</a:t>
                    </a:r>
                    <a:endParaRPr/>
                  </a:p>
                </c:rich>
              </c:tx>
              <c:extLst>
                <c:ext uri="{CE6537A1-D6FC-4f65-9D91-7224C49458BB}">
                  <c15:showDataLabelsRange val="0"/>
                </c:ext>
              </c:extLst>
            </c:dLbl>
            <c:dLblPos val="outEnd"/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>
                    <a:solidFill>
                      <a:sysClr val="windowText" lastClr="000000"/>
                    </a:solidFill>
                    <a:latin typeface="Times New Roman"/>
                    <a:ea typeface="+mn-ea"/>
                    <a:cs typeface="Times New Roman"/>
                  </a:defRPr>
                </a:pPr>
                <a:endParaRPr lang="ru-RU"/>
              </a:p>
            </c:txPr>
          </c:dLbls>
          <c:cat>
            <c:strRef>
              <c:f>Структура!$A$7:$A$56</c:f>
              <c:strCache>
                <c:ptCount val="20"/>
                <c:pt idx="0">
                  <c:v>Тракторы</c:v>
                </c:pt>
                <c:pt idx="1">
                  <c:v>Автомобили</c:v>
                </c:pt>
                <c:pt idx="2">
                  <c:v xml:space="preserve">Прицепы тракторные</c:v>
                </c:pt>
                <c:pt idx="3">
                  <c:v xml:space="preserve">Зерноуборочные комбайны</c:v>
                </c:pt>
                <c:pt idx="4">
                  <c:v xml:space="preserve">Жатки валковые</c:v>
                </c:pt>
                <c:pt idx="5">
                  <c:v xml:space="preserve">Кормоуборочные комбайны</c:v>
                </c:pt>
                <c:pt idx="6">
                  <c:v xml:space="preserve">Свеклоуборочные комбайны и комплексы</c:v>
                </c:pt>
                <c:pt idx="7">
                  <c:v xml:space="preserve">Картофелеуборочные комбайны и комплексы</c:v>
                </c:pt>
                <c:pt idx="8">
                  <c:v xml:space="preserve">Косилки тракторные</c:v>
                </c:pt>
                <c:pt idx="9">
                  <c:v>Грабли</c:v>
                </c:pt>
                <c:pt idx="10">
                  <c:v>Пресс-подборщики</c:v>
                </c:pt>
                <c:pt idx="11">
                  <c:v>Плуги</c:v>
                </c:pt>
                <c:pt idx="12">
                  <c:v xml:space="preserve">Культиваторы и комбинированные машины</c:v>
                </c:pt>
                <c:pt idx="13">
                  <c:v xml:space="preserve">Бороны дисковые</c:v>
                </c:pt>
                <c:pt idx="14">
                  <c:v>Сеялки</c:v>
                </c:pt>
                <c:pt idx="15">
                  <c:v xml:space="preserve">Посевные комплексы</c:v>
                </c:pt>
                <c:pt idx="16">
                  <c:v xml:space="preserve">Машины для внесения минеральных удобрений</c:v>
                </c:pt>
                <c:pt idx="17">
                  <c:v xml:space="preserve">Машины для внесения органических удобрений</c:v>
                </c:pt>
                <c:pt idx="18">
                  <c:v xml:space="preserve">Машины и пр. дождевальные и поливные</c:v>
                </c:pt>
                <c:pt idx="19">
                  <c:v xml:space="preserve">Опрыскиватели и опыливатели</c:v>
                </c:pt>
              </c:strCache>
            </c:strRef>
          </c:cat>
          <c:val>
            <c:numRef>
              <c:f>Структура!$I$7:$I$56</c:f>
              <c:numCache>
                <c:formatCode>#,##0</c:formatCode>
                <c:ptCount val="20"/>
                <c:pt idx="0">
                  <c:v>3411</c:v>
                </c:pt>
                <c:pt idx="1">
                  <c:v>1168</c:v>
                </c:pt>
                <c:pt idx="2" formatCode="General">
                  <c:v>1423</c:v>
                </c:pt>
                <c:pt idx="3" formatCode="General">
                  <c:v>854</c:v>
                </c:pt>
                <c:pt idx="4" formatCode="General">
                  <c:v>177</c:v>
                </c:pt>
                <c:pt idx="5" formatCode="General">
                  <c:v>271</c:v>
                </c:pt>
                <c:pt idx="6" formatCode="General">
                  <c:v>13</c:v>
                </c:pt>
                <c:pt idx="7" formatCode="General">
                  <c:v>121</c:v>
                </c:pt>
                <c:pt idx="8" formatCode="General">
                  <c:v>695</c:v>
                </c:pt>
                <c:pt idx="9" formatCode="General">
                  <c:v>428</c:v>
                </c:pt>
                <c:pt idx="10" formatCode="General">
                  <c:v>517</c:v>
                </c:pt>
                <c:pt idx="11" formatCode="General">
                  <c:v>1215</c:v>
                </c:pt>
                <c:pt idx="12" formatCode="General">
                  <c:v>1270</c:v>
                </c:pt>
                <c:pt idx="13" formatCode="General">
                  <c:v>649</c:v>
                </c:pt>
                <c:pt idx="14" formatCode="General">
                  <c:v>1194</c:v>
                </c:pt>
                <c:pt idx="15" formatCode="General">
                  <c:v>97</c:v>
                </c:pt>
                <c:pt idx="16" formatCode="General">
                  <c:v>272</c:v>
                </c:pt>
                <c:pt idx="17" formatCode="General">
                  <c:v>78</c:v>
                </c:pt>
                <c:pt idx="18" formatCode="General">
                  <c:v>117</c:v>
                </c:pt>
                <c:pt idx="19" formatCode="General">
                  <c:v>524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0"/>
        </c:dLbls>
        <c:gapWidth val="182"/>
        <c:axId val="73764352"/>
        <c:axId val="67280192"/>
      </c:barChart>
      <c:catAx>
        <c:axId val="7376435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ysClr val="windowText" lastClr="000000"/>
                </a:solidFill>
                <a:latin typeface="Times New Roman"/>
                <a:ea typeface="+mn-ea"/>
                <a:cs typeface="Times New Roman"/>
              </a:defRPr>
            </a:pPr>
            <a:endParaRPr lang="ru-RU"/>
          </a:p>
        </c:txPr>
        <c:crossAx val="67280192"/>
        <c:crosses val="autoZero"/>
        <c:auto val="1"/>
        <c:lblAlgn val="ctr"/>
        <c:lblOffset val="100"/>
        <c:noMultiLvlLbl val="0"/>
      </c:catAx>
      <c:valAx>
        <c:axId val="6728019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>
                    <a:solidFill>
                      <a:sysClr val="windowText" lastClr="000000"/>
                    </a:solidFill>
                    <a:latin typeface="Times New Roman"/>
                    <a:ea typeface="+mn-ea"/>
                    <a:cs typeface="Times New Roman"/>
                  </a:defRPr>
                </a:pPr>
                <a:r>
                  <a:rPr lang="ru-RU"/>
                  <a:t>ед.</a:t>
                </a:r>
                <a:endParaRPr/>
              </a:p>
            </c:rich>
          </c:tx>
          <c:layout/>
          <c:overlay val="0"/>
          <c:spPr bwMode="auto">
            <a:prstGeom prst="rect">
              <a:avLst/>
            </a:prstGeom>
            <a:noFill/>
            <a:ln>
              <a:noFill/>
            </a:ln>
            <a:effectLst/>
          </c:spPr>
        </c:title>
        <c:numFmt formatCode="#,##0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ysClr val="windowText" lastClr="000000"/>
                </a:solidFill>
                <a:latin typeface="Times New Roman"/>
                <a:ea typeface="+mn-ea"/>
                <a:cs typeface="Times New Roman"/>
              </a:defRPr>
            </a:pPr>
            <a:endParaRPr lang="ru-RU"/>
          </a:p>
        </c:txPr>
        <c:crossAx val="73764352"/>
        <c:crosses val="autoZero"/>
        <c:crossBetween val="between"/>
      </c:valAx>
      <c:spPr bwMode="auto">
        <a:prstGeom prst="rect">
          <a:avLst/>
        </a:prstGeom>
        <a:noFill/>
        <a:ln>
          <a:noFill/>
        </a:ln>
        <a:effectLst/>
      </c:spPr>
    </c:plotArea>
    <c:legend>
      <c:legendPos val="b"/>
      <c:layout/>
      <c:overlay val="0"/>
      <c:spPr bwMode="auto"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>
              <a:solidFill>
                <a:sysClr val="windowText" lastClr="000000"/>
              </a:solidFill>
              <a:latin typeface="Times New Roman"/>
              <a:ea typeface="+mn-ea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 bwMode="auto"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Структура!$H$6</c:f>
              <c:strCache>
                <c:ptCount val="1"/>
                <c:pt idx="0">
                  <c:v xml:space="preserve">на 01.01.2020</c:v>
                </c:pt>
              </c:strCache>
            </c:strRef>
          </c:tx>
          <c:spPr bwMode="auto">
            <a:prstGeom prst="rect">
              <a:avLst/>
            </a:prstGeom>
            <a:solidFill>
              <a:srgbClr val="FFC000"/>
            </a:solidFill>
            <a:ln>
              <a:noFill/>
              <a:miter/>
            </a:ln>
            <a:effectLst/>
          </c:spPr>
          <c:invertIfNegative val="0"/>
          <c:dLbls>
            <c:dLblPos val="outEnd"/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>
                    <a:solidFill>
                      <a:sysClr val="windowText" lastClr="000000"/>
                    </a:solidFill>
                    <a:latin typeface="Times New Roman"/>
                    <a:ea typeface="+mn-ea"/>
                    <a:cs typeface="Times New Roman"/>
                  </a:defRPr>
                </a:pPr>
                <a:endParaRPr lang="ru-RU"/>
              </a:p>
            </c:txPr>
          </c:dLbls>
          <c:cat>
            <c:strRef>
              <c:f>Структура!$A$7:$A$56</c:f>
              <c:strCache>
                <c:ptCount val="20"/>
                <c:pt idx="0">
                  <c:v>Тракторы</c:v>
                </c:pt>
                <c:pt idx="1">
                  <c:v>Автомобили</c:v>
                </c:pt>
                <c:pt idx="2">
                  <c:v xml:space="preserve">Прицепы тракторные</c:v>
                </c:pt>
                <c:pt idx="3">
                  <c:v xml:space="preserve">Зерноуборочные комбайны</c:v>
                </c:pt>
                <c:pt idx="4">
                  <c:v xml:space="preserve">Жатки валковые</c:v>
                </c:pt>
                <c:pt idx="5">
                  <c:v xml:space="preserve">Кормоуборочные комбайны</c:v>
                </c:pt>
                <c:pt idx="6">
                  <c:v xml:space="preserve">Свеклоуборочные комбайны и комплексы</c:v>
                </c:pt>
                <c:pt idx="7">
                  <c:v xml:space="preserve">Картофелеуборочные комбайны и комплексы</c:v>
                </c:pt>
                <c:pt idx="8">
                  <c:v xml:space="preserve">Косилки тракторные</c:v>
                </c:pt>
                <c:pt idx="9">
                  <c:v>Грабли</c:v>
                </c:pt>
                <c:pt idx="10">
                  <c:v>Пресс-подборщики</c:v>
                </c:pt>
                <c:pt idx="11">
                  <c:v>Плуги</c:v>
                </c:pt>
                <c:pt idx="12">
                  <c:v xml:space="preserve">Культиваторы и комбинированные машины</c:v>
                </c:pt>
                <c:pt idx="13">
                  <c:v xml:space="preserve">Бороны дисковые</c:v>
                </c:pt>
                <c:pt idx="14">
                  <c:v>Сеялки</c:v>
                </c:pt>
                <c:pt idx="15">
                  <c:v xml:space="preserve">Посевные комплексы</c:v>
                </c:pt>
                <c:pt idx="16">
                  <c:v xml:space="preserve">Машины для внесения минеральных удобрений</c:v>
                </c:pt>
                <c:pt idx="17">
                  <c:v xml:space="preserve">Машины для внесения органических удобрений</c:v>
                </c:pt>
                <c:pt idx="18">
                  <c:v xml:space="preserve">Машины и пр. дождевальные и поливные</c:v>
                </c:pt>
                <c:pt idx="19">
                  <c:v xml:space="preserve">Опрыскиватели и опыливатели</c:v>
                </c:pt>
              </c:strCache>
            </c:strRef>
          </c:cat>
          <c:val>
            <c:numRef>
              <c:f>Структура!$H$7:$H$56</c:f>
              <c:numCache>
                <c:formatCode xml:space="preserve">#\ ##0.0</c:formatCode>
                <c:ptCount val="20"/>
                <c:pt idx="0">
                  <c:v>49</c:v>
                </c:pt>
                <c:pt idx="1">
                  <c:v>55.65217391304348</c:v>
                </c:pt>
                <c:pt idx="2">
                  <c:v>62.2</c:v>
                </c:pt>
                <c:pt idx="3">
                  <c:v>42.5</c:v>
                </c:pt>
                <c:pt idx="4">
                  <c:v>37.65432098765432</c:v>
                </c:pt>
                <c:pt idx="5">
                  <c:v>40.50632911392405</c:v>
                </c:pt>
                <c:pt idx="6">
                  <c:v>16.666666666666664</c:v>
                </c:pt>
                <c:pt idx="7">
                  <c:v>51.32743362831859</c:v>
                </c:pt>
                <c:pt idx="8">
                  <c:v>35.17665130568356</c:v>
                </c:pt>
                <c:pt idx="9">
                  <c:v>39.53488372093023</c:v>
                </c:pt>
                <c:pt idx="10">
                  <c:v>30.148619957537154</c:v>
                </c:pt>
                <c:pt idx="11">
                  <c:v>62.8</c:v>
                </c:pt>
                <c:pt idx="12">
                  <c:v>48.897795591182366</c:v>
                </c:pt>
                <c:pt idx="13">
                  <c:v>54.12979351032449</c:v>
                </c:pt>
                <c:pt idx="14">
                  <c:v>50.41635124905375</c:v>
                </c:pt>
                <c:pt idx="15">
                  <c:v>8.620689655172415</c:v>
                </c:pt>
                <c:pt idx="16">
                  <c:v>38.839285714285715</c:v>
                </c:pt>
                <c:pt idx="17">
                  <c:v>81.53846153846153</c:v>
                </c:pt>
                <c:pt idx="18">
                  <c:v>16.3265306122449</c:v>
                </c:pt>
                <c:pt idx="19">
                  <c:v>33.490566037735846</c:v>
                </c:pt>
              </c:numCache>
            </c:numRef>
          </c:val>
        </c:ser>
        <c:ser>
          <c:idx val="1"/>
          <c:order val="1"/>
          <c:tx>
            <c:strRef>
              <c:f>Структура!$O$6</c:f>
              <c:strCache>
                <c:ptCount val="1"/>
                <c:pt idx="0">
                  <c:v xml:space="preserve">на 01.01.2024</c:v>
                </c:pt>
              </c:strCache>
            </c:strRef>
          </c:tx>
          <c:spPr bwMode="auto">
            <a:prstGeom prst="rect">
              <a:avLst/>
            </a:prstGeom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 bwMode="auto">
              <a:prstGeom prst="rect">
                <a:avLst/>
              </a:prstGeom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</c:dPt>
          <c:dPt>
            <c:idx val="2"/>
            <c:invertIfNegative val="0"/>
            <c:bubble3D val="0"/>
            <c:spPr bwMode="auto">
              <a:prstGeom prst="rect">
                <a:avLst/>
              </a:prstGeom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</c:dPt>
          <c:dPt>
            <c:idx val="3"/>
            <c:invertIfNegative val="0"/>
            <c:bubble3D val="0"/>
            <c:spPr bwMode="auto">
              <a:prstGeom prst="rect">
                <a:avLst/>
              </a:prstGeom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</c:dPt>
          <c:dPt>
            <c:idx val="6"/>
            <c:invertIfNegative val="0"/>
            <c:bubble3D val="0"/>
            <c:spPr bwMode="auto">
              <a:prstGeom prst="rect">
                <a:avLst/>
              </a:prstGeom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</c:dPt>
          <c:dPt>
            <c:idx val="7"/>
            <c:invertIfNegative val="0"/>
            <c:bubble3D val="0"/>
            <c:spPr bwMode="auto">
              <a:prstGeom prst="rect">
                <a:avLst/>
              </a:prstGeom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</c:dPt>
          <c:dLbls>
            <c:dLbl>
              <c:idx val="1"/>
              <c:dLblPos val="outEnd"/>
              <c:layout>
                <c:manualLayout>
                  <c:x val="0.002138"/>
                  <c:y val="-0.011944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  <a:miter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>
                      <a:solidFill>
                        <a:srgbClr val="FF0000"/>
                      </a:solidFill>
                      <a:latin typeface="Times New Roman"/>
                      <a:ea typeface="+mn-ea"/>
                      <a:cs typeface="Times New Roman"/>
                    </a:defRPr>
                  </a:pPr>
                  <a:endParaRPr lang="ru-RU"/>
                </a:p>
              </c:txPr>
            </c:dLbl>
            <c:dLbl>
              <c:idx val="2"/>
              <c:dLblPos val="outEnd"/>
              <c:layout>
                <c:manualLayout>
                  <c:x val="0.008552"/>
                  <c:y val="-0.008676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>
                      <a:solidFill>
                        <a:srgbClr val="FF0000"/>
                      </a:solidFill>
                      <a:latin typeface="Times New Roman"/>
                      <a:ea typeface="+mn-ea"/>
                      <a:cs typeface="Times New Roman"/>
                    </a:defRPr>
                  </a:pPr>
                  <a:endParaRPr lang="ru-RU"/>
                </a:p>
              </c:txPr>
            </c:dLbl>
            <c:dLbl>
              <c:idx val="3"/>
              <c:dLblPos val="outEnd"/>
              <c:layout>
                <c:manualLayout>
                  <c:x val="0.000000"/>
                  <c:y val="-0.025016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>
                      <a:solidFill>
                        <a:srgbClr val="FF0000"/>
                      </a:solidFill>
                      <a:latin typeface="Times New Roman"/>
                      <a:ea typeface="+mn-ea"/>
                      <a:cs typeface="Times New Roman"/>
                    </a:defRPr>
                  </a:pPr>
                  <a:endParaRPr lang="ru-RU"/>
                </a:p>
              </c:txPr>
            </c:dLbl>
            <c:dLbl>
              <c:idx val="6"/>
              <c:dLblPos val="outEnd"/>
              <c:layout>
                <c:manualLayout>
                  <c:x val="-0.002138"/>
                  <c:y val="-0.005408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>
                      <a:solidFill>
                        <a:srgbClr val="FF0000"/>
                      </a:solidFill>
                      <a:latin typeface="Times New Roman"/>
                      <a:ea typeface="+mn-ea"/>
                      <a:cs typeface="Times New Roman"/>
                    </a:defRPr>
                  </a:pPr>
                  <a:endParaRPr lang="ru-RU"/>
                </a:p>
              </c:txPr>
            </c:dLbl>
            <c:dLbl>
              <c:idx val="7"/>
              <c:dLblPos val="outEnd"/>
              <c:layout>
                <c:manualLayout>
                  <c:x val="0.010689"/>
                  <c:y val="-0.034820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>
                      <a:solidFill>
                        <a:srgbClr val="FF0000"/>
                      </a:solidFill>
                      <a:latin typeface="Times New Roman"/>
                      <a:ea typeface="+mn-ea"/>
                      <a:cs typeface="Times New Roman"/>
                    </a:defRPr>
                  </a:pPr>
                  <a:endParaRPr lang="ru-RU"/>
                </a:p>
              </c:txPr>
            </c:dLbl>
            <c:dLblPos val="inEnd"/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>
                    <a:solidFill>
                      <a:sysClr val="windowText" lastClr="000000"/>
                    </a:solidFill>
                    <a:latin typeface="Times New Roman"/>
                    <a:ea typeface="+mn-ea"/>
                    <a:cs typeface="Times New Roman"/>
                  </a:defRPr>
                </a:pPr>
                <a:endParaRPr lang="ru-RU"/>
              </a:p>
            </c:txPr>
          </c:dLbls>
          <c:cat>
            <c:strRef>
              <c:f>Структура!$A$7:$A$56</c:f>
              <c:strCache>
                <c:ptCount val="20"/>
                <c:pt idx="0">
                  <c:v>Тракторы</c:v>
                </c:pt>
                <c:pt idx="1">
                  <c:v>Автомобили</c:v>
                </c:pt>
                <c:pt idx="2">
                  <c:v xml:space="preserve">Прицепы тракторные</c:v>
                </c:pt>
                <c:pt idx="3">
                  <c:v xml:space="preserve">Зерноуборочные комбайны</c:v>
                </c:pt>
                <c:pt idx="4">
                  <c:v xml:space="preserve">Жатки валковые</c:v>
                </c:pt>
                <c:pt idx="5">
                  <c:v xml:space="preserve">Кормоуборочные комбайны</c:v>
                </c:pt>
                <c:pt idx="6">
                  <c:v xml:space="preserve">Свеклоуборочные комбайны и комплексы</c:v>
                </c:pt>
                <c:pt idx="7">
                  <c:v xml:space="preserve">Картофелеуборочные комбайны и комплексы</c:v>
                </c:pt>
                <c:pt idx="8">
                  <c:v xml:space="preserve">Косилки тракторные</c:v>
                </c:pt>
                <c:pt idx="9">
                  <c:v>Грабли</c:v>
                </c:pt>
                <c:pt idx="10">
                  <c:v>Пресс-подборщики</c:v>
                </c:pt>
                <c:pt idx="11">
                  <c:v>Плуги</c:v>
                </c:pt>
                <c:pt idx="12">
                  <c:v xml:space="preserve">Культиваторы и комбинированные машины</c:v>
                </c:pt>
                <c:pt idx="13">
                  <c:v xml:space="preserve">Бороны дисковые</c:v>
                </c:pt>
                <c:pt idx="14">
                  <c:v>Сеялки</c:v>
                </c:pt>
                <c:pt idx="15">
                  <c:v xml:space="preserve">Посевные комплексы</c:v>
                </c:pt>
                <c:pt idx="16">
                  <c:v xml:space="preserve">Машины для внесения минеральных удобрений</c:v>
                </c:pt>
                <c:pt idx="17">
                  <c:v xml:space="preserve">Машины для внесения органических удобрений</c:v>
                </c:pt>
                <c:pt idx="18">
                  <c:v xml:space="preserve">Машины и пр. дождевальные и поливные</c:v>
                </c:pt>
                <c:pt idx="19">
                  <c:v xml:space="preserve">Опрыскиватели и опыливатели</c:v>
                </c:pt>
              </c:strCache>
            </c:strRef>
          </c:cat>
          <c:val>
            <c:numRef>
              <c:f>Структура!$O$7:$O$56</c:f>
              <c:numCache>
                <c:formatCode xml:space="preserve">#\ ##0.0</c:formatCode>
                <c:ptCount val="20"/>
                <c:pt idx="0">
                  <c:v>38.727645851656405</c:v>
                </c:pt>
                <c:pt idx="1">
                  <c:v>57.27739726027398</c:v>
                </c:pt>
                <c:pt idx="2">
                  <c:v>65.7765284609979</c:v>
                </c:pt>
                <c:pt idx="3">
                  <c:v>44.26229508196721</c:v>
                </c:pt>
                <c:pt idx="4">
                  <c:v>32.7683615819209</c:v>
                </c:pt>
                <c:pt idx="5">
                  <c:v>35.42435424354243</c:v>
                </c:pt>
                <c:pt idx="6">
                  <c:v>76.92307692307693</c:v>
                </c:pt>
                <c:pt idx="7">
                  <c:v>52.066115702479344</c:v>
                </c:pt>
                <c:pt idx="8">
                  <c:v>35.10791366906475</c:v>
                </c:pt>
                <c:pt idx="9">
                  <c:v>36.915887850467286</c:v>
                </c:pt>
                <c:pt idx="10">
                  <c:v>29.78723404255319</c:v>
                </c:pt>
                <c:pt idx="11">
                  <c:v>55.06172839506173</c:v>
                </c:pt>
                <c:pt idx="12">
                  <c:v>47.00787401574803</c:v>
                </c:pt>
                <c:pt idx="13">
                  <c:v>40.98613251155624</c:v>
                </c:pt>
                <c:pt idx="14">
                  <c:v>47.98994974874372</c:v>
                </c:pt>
                <c:pt idx="15">
                  <c:v>11.34020618556701</c:v>
                </c:pt>
                <c:pt idx="16">
                  <c:v>39.338235294117645</c:v>
                </c:pt>
                <c:pt idx="17">
                  <c:v>65.38461538461539</c:v>
                </c:pt>
                <c:pt idx="18">
                  <c:v>14.529914529914532</c:v>
                </c:pt>
                <c:pt idx="19">
                  <c:v>29.770992366412212</c:v>
                </c:pt>
              </c:numCache>
            </c:numRef>
          </c:val>
        </c:ser>
        <c:dLbls>
          <c:dLblPos val="outEnd"/>
          <c:showBubbleSize val="0"/>
          <c:showCatName val="0"/>
          <c:showLeaderLines val="0"/>
          <c:showLegendKey val="0"/>
          <c:showPercent val="0"/>
          <c:showSerName val="0"/>
          <c:showVal val="1"/>
        </c:dLbls>
        <c:gapWidth val="219"/>
        <c:overlap val="-27"/>
        <c:axId val="73762304"/>
        <c:axId val="74900608"/>
      </c:barChart>
      <c:catAx>
        <c:axId val="73762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>
                <a:solidFill>
                  <a:sysClr val="windowText" lastClr="000000"/>
                </a:solidFill>
                <a:latin typeface="Times New Roman"/>
                <a:ea typeface="+mn-ea"/>
                <a:cs typeface="Times New Roman"/>
              </a:defRPr>
            </a:pPr>
            <a:endParaRPr lang="ru-RU"/>
          </a:p>
        </c:txPr>
        <c:crossAx val="74900608"/>
        <c:crosses val="autoZero"/>
        <c:auto val="1"/>
        <c:lblAlgn val="ctr"/>
        <c:lblOffset val="100"/>
        <c:noMultiLvlLbl val="0"/>
      </c:catAx>
      <c:valAx>
        <c:axId val="7490060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>
                    <a:solidFill>
                      <a:sysClr val="windowText" lastClr="000000"/>
                    </a:solidFill>
                    <a:latin typeface="Times New Roman"/>
                    <a:ea typeface="+mn-ea"/>
                    <a:cs typeface="Times New Roman"/>
                  </a:defRPr>
                </a:pPr>
                <a:r>
                  <a:rPr lang="en-US"/>
                  <a:t>%</a:t>
                </a:r>
                <a:endParaRPr/>
              </a:p>
            </c:rich>
          </c:tx>
          <c:layout/>
          <c:overlay val="0"/>
          <c:spPr bwMode="auto">
            <a:prstGeom prst="rect">
              <a:avLst/>
            </a:prstGeom>
            <a:noFill/>
            <a:ln>
              <a:noFill/>
            </a:ln>
            <a:effectLst/>
          </c:spPr>
        </c:title>
        <c:numFmt formatCode="#\ ##0.0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ysClr val="windowText" lastClr="000000"/>
                </a:solidFill>
                <a:latin typeface="Times New Roman"/>
                <a:ea typeface="+mn-ea"/>
                <a:cs typeface="Times New Roman"/>
              </a:defRPr>
            </a:pPr>
            <a:endParaRPr lang="ru-RU"/>
          </a:p>
        </c:txPr>
        <c:crossAx val="73762304"/>
        <c:crosses val="autoZero"/>
        <c:crossBetween val="between"/>
        <c:majorUnit val="15.000000"/>
      </c:valAx>
      <c:spPr bwMode="auto">
        <a:prstGeom prst="rect">
          <a:avLst/>
        </a:prstGeom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53884"/>
          <c:y val="0.907647"/>
          <c:w val="0.340098"/>
          <c:h val="0.055909"/>
        </c:manualLayout>
      </c:layout>
      <c:overlay val="0"/>
      <c:spPr bwMode="auto"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>
              <a:solidFill>
                <a:sysClr val="windowText" lastClr="000000"/>
              </a:solidFill>
              <a:latin typeface="Times New Roman"/>
              <a:ea typeface="+mn-ea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 bwMode="auto"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A2F13-131C-4D09-BA66-8BE5A794F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Юрьева</dc:creator>
  <cp:revision>19</cp:revision>
  <dcterms:created xsi:type="dcterms:W3CDTF">2024-09-09T15:09:00Z</dcterms:created>
  <dcterms:modified xsi:type="dcterms:W3CDTF">2024-09-16T13:22:16Z</dcterms:modified>
</cp:coreProperties>
</file>