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</w:pPr>
      <w:r/>
      <w:bookmarkStart w:id="1" w:name="anchor0"/>
      <w:r/>
      <w:bookmarkEnd w:id="1"/>
      <w:r/>
      <w:hyperlink r:id="rId12" w:tooltip="https://internet.garant.ru/document/redirect/17594898/0" w:history="1">
        <w:r>
          <w:t xml:space="preserve">Постановление </w:t>
        </w:r>
        <w:r>
          <w:t xml:space="preserve">Кабинета Министров Чувашской Республики от 10 октября 2012 г. N 427"Об утверждении Порядка взаимодействия исполнительных органов Чувашской Республики по определению эффективности использования государственными учреждениями Чувашской Республики, казенными п</w:t>
        </w:r>
        <w:r>
          <w:t xml:space="preserve">редприятиями Чувашской Республики, государственными унитарными предприятиями Чувашской Республики земельных участков, находящихся в государственной собственности Чувашской Республики, предоставленных на праве постоянного (бессрочного) пользования и аренды"</w:t>
        </w:r>
      </w:hyperlink>
      <w:r>
        <w:t xml:space="preserve"> </w:t>
      </w:r>
      <w:r/>
    </w:p>
    <w:p>
      <w:pPr>
        <w:pStyle w:val="751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(с изменениями и дополнениями от: 12 марта, 8 июля, 9 декабря 2015 г., 19 декабря 2016 г., 4 октября 2017 г., 27 июня 2018 г., 13 мая 2020 г., 8 мая 2024 г.)</w:t>
      </w:r>
      <w:r/>
    </w:p>
    <w:p>
      <w:pPr>
        <w:pStyle w:val="749"/>
      </w:pPr>
      <w:r/>
      <w:r/>
    </w:p>
    <w:p>
      <w:pPr>
        <w:pStyle w:val="749"/>
      </w:pPr>
      <w:r/>
      <w:r/>
    </w:p>
    <w:p>
      <w:pPr>
        <w:pStyle w:val="749"/>
      </w:pPr>
      <w:r/>
      <w:bookmarkStart w:id="2" w:name="anchor100"/>
      <w:r/>
      <w:bookmarkEnd w:id="2"/>
      <w:r>
        <w:t xml:space="preserve">В соответствии с </w:t>
      </w:r>
      <w:hyperlink r:id="rId13" w:tooltip="https://internet.garant.ru/document/redirect/12124624/0" w:history="1">
        <w:r>
          <w:t xml:space="preserve">Земельным кодексом</w:t>
        </w:r>
      </w:hyperlink>
      <w:r>
        <w:t xml:space="preserve"> Российской Федерации, </w:t>
      </w:r>
      <w:hyperlink r:id="rId14" w:tooltip="https://internet.garant.ru/document/redirect/12138258/0" w:history="1">
        <w:r>
          <w:t xml:space="preserve">Градостроительным кодексом</w:t>
        </w:r>
      </w:hyperlink>
      <w:r>
        <w:t xml:space="preserve"> Российской Федерации, </w:t>
      </w:r>
      <w:hyperlink r:id="rId15" w:tooltip="https://internet.garant.ru/document/redirect/12161615/0" w:history="1">
        <w:r>
          <w:t xml:space="preserve">Федеральным законом</w:t>
        </w:r>
      </w:hyperlink>
      <w:r>
        <w:t xml:space="preserve"> "О содействии развитию жилищного строительства, с</w:t>
      </w:r>
      <w:r>
        <w:t xml:space="preserve">озданию объектов туристской инфраструктуры и иному развитию территорий" в целях повышения эффективности использования земельных участков, находящихся в государственной собственности Чувашской Республики, Кабинет Министров Чувашской Республики постановляет:</w:t>
      </w:r>
      <w:r/>
    </w:p>
    <w:p>
      <w:pPr>
        <w:pStyle w:val="749"/>
      </w:pPr>
      <w:r/>
      <w:bookmarkStart w:id="3" w:name="anchor1"/>
      <w:r/>
      <w:bookmarkEnd w:id="3"/>
      <w:r>
        <w:t xml:space="preserve">1. Утвердить:</w:t>
      </w:r>
      <w:r/>
    </w:p>
    <w:p>
      <w:pPr>
        <w:pStyle w:val="749"/>
      </w:pPr>
      <w:r/>
      <w:bookmarkStart w:id="4" w:name="anchor12"/>
      <w:r/>
      <w:bookmarkEnd w:id="4"/>
      <w:r>
        <w:t xml:space="preserve">Абзац утратил силу с 8 мая 2024 г. - </w:t>
      </w:r>
      <w:hyperlink r:id="rId16" w:tooltip="https://internet.garant.ru/document/redirect/409002442/6" w:history="1">
        <w:r>
          <w:t xml:space="preserve">Постановление</w:t>
        </w:r>
      </w:hyperlink>
      <w:r>
        <w:t xml:space="preserve"> Кабинета Министров Чувашской Республики от 8 мая 2024 г. N 247</w:t>
      </w:r>
      <w:r/>
    </w:p>
    <w:p>
      <w:pPr>
        <w:pStyle w:val="749"/>
      </w:pPr>
      <w:r/>
      <w:bookmarkStart w:id="5" w:name="anchor13"/>
      <w:r/>
      <w:bookmarkEnd w:id="5"/>
      <w:r>
        <w:t xml:space="preserve">Порядок взаимодействия исполнительных органов Чувашской Республики по определению эффективности использования государственными учреждениями Чувашской Республики, казенными пр</w:t>
      </w:r>
      <w:r>
        <w:t xml:space="preserve">едприятиями Чувашской Республики, государственными унитарными предприятиями Чувашской Республики земельных участков, находящихся в государственной собственности Чувашской Республики, предоставленных на праве постоянного (бессрочного) пользования и аренды (</w:t>
      </w:r>
      <w:hyperlink r:id="rId17" w:tooltip="#anchor2000" w:history="1">
        <w:r>
          <w:t xml:space="preserve">приложение N 2</w:t>
        </w:r>
      </w:hyperlink>
      <w:r>
        <w:t xml:space="preserve">).</w:t>
      </w:r>
      <w:r/>
    </w:p>
    <w:p>
      <w:pPr>
        <w:pStyle w:val="749"/>
      </w:pPr>
      <w:r/>
      <w:bookmarkStart w:id="6" w:name="anchor2"/>
      <w:r/>
      <w:bookmarkEnd w:id="6"/>
      <w:r>
        <w:t xml:space="preserve">2. Рекомендовать органам местного самоуправления принять в соответствии с </w:t>
      </w:r>
      <w:hyperlink r:id="rId18" w:tooltip="#anchor2000" w:history="1">
        <w:r>
          <w:t xml:space="preserve">порядком</w:t>
        </w:r>
      </w:hyperlink>
      <w:r>
        <w:t xml:space="preserve">, указанным в </w:t>
      </w:r>
      <w:hyperlink r:id="rId19" w:tooltip="#anchor1" w:history="1">
        <w:r>
          <w:t xml:space="preserve">пункте 1</w:t>
        </w:r>
      </w:hyperlink>
      <w:r>
        <w:t xml:space="preserve"> настоящего постановления, аналогичный муниципальный правовой акт.</w:t>
      </w:r>
      <w:r/>
    </w:p>
    <w:p>
      <w:pPr>
        <w:pStyle w:val="749"/>
      </w:pPr>
      <w:r/>
      <w:bookmarkStart w:id="7" w:name="anchor3"/>
      <w:r/>
      <w:bookmarkEnd w:id="7"/>
      <w:r>
        <w:t xml:space="preserve">3. Настоящее постановление вступает в силу через десять дней после дня его </w:t>
      </w:r>
      <w:hyperlink r:id="rId20" w:tooltip="https://internet.garant.ru/document/redirect/17594899/0" w:history="1">
        <w:r>
          <w:t xml:space="preserve">официального опубликования</w:t>
        </w:r>
      </w:hyperlink>
      <w:r>
        <w:t xml:space="preserve">.</w:t>
      </w:r>
      <w:r/>
    </w:p>
    <w:p>
      <w:pPr>
        <w:pStyle w:val="749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6803"/>
        <w:gridCol w:w="3401"/>
      </w:tblGrid>
      <w:tr>
        <w:tblPrEx/>
        <w:trPr/>
        <w:tc>
          <w:tcPr>
            <w:tcW w:w="6803" w:type="dxa"/>
            <w:textDirection w:val="lrTb"/>
            <w:noWrap w:val="false"/>
          </w:tcPr>
          <w:p>
            <w:pPr>
              <w:pStyle w:val="759"/>
              <w:ind w:left="0" w:right="0" w:firstLine="0"/>
            </w:pPr>
            <w:r>
              <w:t xml:space="preserve">Председатель Кабинета МинистровЧувашской Республики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749"/>
              <w:ind w:left="0" w:right="0" w:firstLine="0"/>
              <w:jc w:val="right"/>
            </w:pPr>
            <w:r>
              <w:t xml:space="preserve">И. Моторин</w:t>
            </w:r>
            <w:r/>
          </w:p>
        </w:tc>
      </w:tr>
    </w:tbl>
    <w:p>
      <w:pPr>
        <w:pStyle w:val="749"/>
      </w:pPr>
      <w:r/>
      <w:r/>
    </w:p>
    <w:p>
      <w:pPr>
        <w:pStyle w:val="749"/>
        <w:ind w:left="0" w:right="0" w:firstLine="0"/>
        <w:jc w:val="right"/>
      </w:pPr>
      <w:r/>
      <w:bookmarkStart w:id="8" w:name="anchor1000"/>
      <w:r/>
      <w:bookmarkEnd w:id="8"/>
      <w:r>
        <w:rPr>
          <w:b/>
          <w:color w:val="26282f"/>
        </w:rPr>
        <w:t xml:space="preserve">Утвержден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</w:r>
      <w:hyperlink r:id="rId21" w:tooltip="#anchor0" w:history="1">
        <w:r>
          <w:rPr>
            <w:b/>
            <w:color w:val="26282f"/>
          </w:rPr>
          <w:t xml:space="preserve">постановлением</w:t>
        </w:r>
      </w:hyperlink>
      <w:r>
        <w:rPr>
          <w:b/>
          <w:color w:val="26282f"/>
        </w:rPr>
        <w:t xml:space="preserve"> Кабинета Министров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Чувашской Республики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от 10 октября 2012 г. N 427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(приложение N 1)</w:t>
      </w:r>
      <w:r/>
    </w:p>
    <w:p>
      <w:pPr>
        <w:pStyle w:val="749"/>
      </w:pPr>
      <w:r/>
      <w:r/>
    </w:p>
    <w:p>
      <w:pPr>
        <w:pStyle w:val="751"/>
      </w:pPr>
      <w:r>
        <w:t xml:space="preserve">Порядоквзаимодействия органов исполнительной власти Чувашской Республики по заключению договора об освоении территор</w:t>
      </w:r>
      <w:r>
        <w:t xml:space="preserve">ии в целях строительства стандартного жилья или договора о комплексном освоении территории в целях строительства стандартного жилья и договора аренды земельного участка, находящегося в государственной собственности Чувашской Республики, для указанных целей</w:t>
      </w:r>
      <w:r/>
    </w:p>
    <w:p>
      <w:pPr>
        <w:pStyle w:val="749"/>
      </w:pPr>
      <w:r/>
      <w:r/>
    </w:p>
    <w:p>
      <w:pPr>
        <w:pStyle w:val="749"/>
      </w:pPr>
      <w:r/>
      <w:hyperlink r:id="rId22" w:tooltip="#anchor12" w:history="1">
        <w:r>
          <w:t xml:space="preserve">Абзац второй пункта 1</w:t>
        </w:r>
      </w:hyperlink>
      <w:r>
        <w:t xml:space="preserve">, утвердивший настоящее приложение, утратил силу с 8 мая 2024 г. - </w:t>
      </w:r>
      <w:hyperlink r:id="rId23" w:tooltip="https://internet.garant.ru/document/redirect/409002442/6" w:history="1">
        <w:r>
          <w:t xml:space="preserve">Постановление</w:t>
        </w:r>
      </w:hyperlink>
      <w:r>
        <w:t xml:space="preserve"> Кабинета Министров Чувашской Республики от 8 мая 2024 г. N 247</w:t>
      </w:r>
      <w:r/>
    </w:p>
    <w:p>
      <w:pPr>
        <w:pStyle w:val="749"/>
        <w:ind w:left="0" w:right="0" w:firstLine="0"/>
        <w:jc w:val="right"/>
      </w:pPr>
      <w:r/>
      <w:bookmarkStart w:id="9" w:name="anchor2000"/>
      <w:r/>
      <w:bookmarkEnd w:id="9"/>
      <w:r>
        <w:rPr>
          <w:b/>
          <w:color w:val="26282f"/>
        </w:rPr>
        <w:t xml:space="preserve">Утвержден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</w:r>
      <w:hyperlink r:id="rId24" w:tooltip="#anchor0" w:history="1">
        <w:r>
          <w:rPr>
            <w:b/>
            <w:color w:val="26282f"/>
          </w:rPr>
          <w:t xml:space="preserve">постановлением</w:t>
        </w:r>
      </w:hyperlink>
      <w:r>
        <w:rPr>
          <w:b/>
          <w:color w:val="26282f"/>
        </w:rPr>
        <w:t xml:space="preserve"> Кабинета Министров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Чувашской Республики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от 10 октября 2012 г. N 427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(приложение N 2)</w:t>
      </w:r>
      <w:r/>
    </w:p>
    <w:p>
      <w:pPr>
        <w:pStyle w:val="749"/>
      </w:pPr>
      <w:r/>
      <w:r/>
    </w:p>
    <w:p>
      <w:pPr>
        <w:pStyle w:val="751"/>
      </w:pPr>
      <w:r>
        <w:t xml:space="preserve">Порядоквзаимодействия исполнительных органов Чувашской Республики по определению эффективности использования государственными учреждениями Чувашской Республики, казенными </w:t>
      </w:r>
      <w:r>
        <w:t xml:space="preserve">предприятиями Чувашской Республики, государственными унитарными предприятиями Чувашской Республики земельных участков, находящихся в государственной собственности Чувашской Республики, предоставленных на праве постоянного (бессрочного) пользования и аренды</w:t>
      </w:r>
      <w:r/>
    </w:p>
    <w:p>
      <w:pPr>
        <w:pStyle w:val="749"/>
      </w:pPr>
      <w:r/>
      <w:r/>
    </w:p>
    <w:p>
      <w:pPr>
        <w:pStyle w:val="749"/>
      </w:pPr>
      <w:r/>
      <w:bookmarkStart w:id="10" w:name="anchor2001"/>
      <w:r/>
      <w:bookmarkEnd w:id="10"/>
      <w:r>
        <w:t xml:space="preserve">1. Настоящий Порядок определяет процедуру взаимодействия исполнительных органов Чувашской Республики по определению эффективности использования государственными учреждениями Чувашской Республики, казенными п</w:t>
      </w:r>
      <w:r>
        <w:t xml:space="preserve">редприятиями Чувашской Республики, государственными унитарными предприятиями Чувашской Республики земельных участков, находящихся в государственной собственности Чувашской Республики, предоставленных на праве постоянного (бессрочного) пользования и аренды.</w:t>
      </w:r>
      <w:r/>
    </w:p>
    <w:p>
      <w:pPr>
        <w:pStyle w:val="749"/>
      </w:pPr>
      <w:r/>
      <w:bookmarkStart w:id="11" w:name="anchor2002"/>
      <w:r/>
      <w:bookmarkEnd w:id="11"/>
      <w:r>
        <w:t xml:space="preserve">2. Исполнительные органы Чувашской Республики, на которые возложены координация и регулирование в соответствующем виде э</w:t>
      </w:r>
      <w:r>
        <w:t xml:space="preserve">кономической деятельности (далее - отраслевое министерство), или исполнительные органы Чувашской Республики, которые осуществляют функции и полномочия учредителя государственного учреждения Чувашской Республики (далее - учредитель), проводят мероприятия по</w:t>
      </w:r>
      <w:r>
        <w:t xml:space="preserve"> выявлению земельных участков (частей земельных участков), находящихся в государственной собственности Чувашской Республики, неиспользуемых или используемых не в соответствии с целевым назначением земель или принадлежностью к той или иной категории земель.</w:t>
      </w:r>
      <w:r/>
    </w:p>
    <w:p>
      <w:pPr>
        <w:pStyle w:val="749"/>
      </w:pPr>
      <w:r/>
      <w:bookmarkStart w:id="12" w:name="anchor2003"/>
      <w:r/>
      <w:bookmarkEnd w:id="12"/>
      <w:r>
        <w:t xml:space="preserve">3. По результатам проведения мероприятий, указанных в </w:t>
      </w:r>
      <w:hyperlink r:id="rId25" w:tooltip="#anchor2002" w:history="1">
        <w:r>
          <w:t xml:space="preserve">пункте 2</w:t>
        </w:r>
      </w:hyperlink>
      <w:r>
        <w:t xml:space="preserve"> настоящего Поря</w:t>
      </w:r>
      <w:r>
        <w:t xml:space="preserve">дка, в случае выявления земельных участков (частей земельных участков), находящихся в государственной собственности Чувашской Республики, неиспользуемых или используемых не в соответствии с целевым назначением земель или принадлежностью к той или иной кате</w:t>
      </w:r>
      <w:r>
        <w:t xml:space="preserve">гории земель (далее - земельные участки), отраслевое министерство (учредитель) подготавливает предложения по дальнейшему использованию земельных участков с учетом мнения органов местного самоуправления на основании документов территориального планирования.</w:t>
      </w:r>
      <w:r/>
    </w:p>
    <w:p>
      <w:pPr>
        <w:pStyle w:val="749"/>
      </w:pPr>
      <w:r/>
      <w:bookmarkStart w:id="13" w:name="anchor2004"/>
      <w:r/>
      <w:bookmarkEnd w:id="13"/>
      <w:r>
        <w:t xml:space="preserve">4. Отраслевые министерства (учредители) ежегодно в срок до 1 марта направляют в Министерство экономического развития и им</w:t>
      </w:r>
      <w:r>
        <w:t xml:space="preserve">ущественных отношений Чувашской Республики (далее - Минэкономразвития Чувашии) перечни земельных участков, находящихся в государственной собственности Чувашской Республики, неиспользуемых или используемых не в соответствии с целевым назначением земель или </w:t>
      </w:r>
      <w:r>
        <w:t xml:space="preserve">принадлежностью к той или иной категории земель, предоставленных государственным учреждениям Чувашской Республики, казенным предприятиям Чувашской Республики, государственным унитарным предприятиям Чувашской Республики (далее - перечни земельных участков).</w:t>
      </w:r>
      <w:r/>
    </w:p>
    <w:p>
      <w:pPr>
        <w:pStyle w:val="749"/>
      </w:pPr>
      <w:r/>
      <w:bookmarkStart w:id="14" w:name="anchor2005"/>
      <w:r/>
      <w:bookmarkEnd w:id="14"/>
      <w:r>
        <w:t xml:space="preserve">5. В перечни земельных участков подлежат включению земельные участки, которые находятся в государственной собственности Чув</w:t>
      </w:r>
      <w:r>
        <w:t xml:space="preserve">ашской Республики, предоставленные на праве постоянного (бессрочного) пользования государственным учреждениям Чувашской Республики и казенным предприятиям Чувашской Республики или на праве аренды государственным унитарным предприятиям Чувашской Республики.</w:t>
      </w:r>
      <w:r/>
    </w:p>
    <w:p>
      <w:pPr>
        <w:pStyle w:val="749"/>
      </w:pPr>
      <w:r>
        <w:t xml:space="preserve">Перечни земельных участков представляются по прилагаемой к настоящему Порядку </w:t>
      </w:r>
      <w:hyperlink r:id="rId26" w:tooltip="#anchor2100" w:history="1">
        <w:r>
          <w:t xml:space="preserve">форме</w:t>
        </w:r>
      </w:hyperlink>
      <w:r>
        <w:t xml:space="preserve">.</w:t>
      </w:r>
      <w:r/>
    </w:p>
    <w:p>
      <w:pPr>
        <w:pStyle w:val="749"/>
      </w:pPr>
      <w:r/>
      <w:bookmarkStart w:id="15" w:name="anchor2006"/>
      <w:r/>
      <w:bookmarkEnd w:id="15"/>
      <w:r>
        <w:t xml:space="preserve">6. Минэкономразвития Чувашии ежего</w:t>
      </w:r>
      <w:r>
        <w:t xml:space="preserve">дно в срок до 1 апреля обобщает представленные отраслевыми министерствами (учредителями) перечни земельных участков и направляет их в Министерство строительства, архитектуры и жилищно-коммунального хозяйства Чувашской Республики (далее - Минстрой Чувашии).</w:t>
      </w:r>
      <w:r/>
    </w:p>
    <w:p>
      <w:pPr>
        <w:pStyle w:val="749"/>
      </w:pPr>
      <w:r/>
      <w:bookmarkStart w:id="16" w:name="anchor2007"/>
      <w:r/>
      <w:bookmarkEnd w:id="16"/>
      <w:r>
        <w:t xml:space="preserve">7.</w:t>
      </w:r>
      <w:r>
        <w:t xml:space="preserve"> Минстрой Чувашии в месячный срок со дня получения перечней земельных участков осуществляет подготовку предложений о целесообразности развития территории в целях строительства стандартного жилья или комплексного развития территории, а также строительства о</w:t>
      </w:r>
      <w:r>
        <w:t xml:space="preserve">бъектов, предназначенных для создания промышленных парков, технопарков, бизнес-инкубаторов и иного развития территорий, формирует список земельных участков, которые планируется использовать для указанных целей, и направляет его в Минэкономразвития Чувашии.</w:t>
      </w:r>
      <w:r/>
    </w:p>
    <w:p>
      <w:pPr>
        <w:pStyle w:val="749"/>
      </w:pPr>
      <w:r/>
      <w:bookmarkStart w:id="17" w:name="anchor2008"/>
      <w:r/>
      <w:bookmarkEnd w:id="17"/>
      <w:r>
        <w:t xml:space="preserve">8. Минэкономразвития Чувашии совместно с отраслевыми министерствами (учредителями),</w:t>
      </w:r>
      <w:r>
        <w:t xml:space="preserve"> государственными учреждениями Чувашской Республики, казенными предприятиями Чувашской Республики, государственными унитарными предприятиями Чувашской Республики и по предложениям Минстроя Чувашии осуществляет организационно-правовые действия, связанные с:</w:t>
      </w:r>
      <w:r/>
    </w:p>
    <w:p>
      <w:pPr>
        <w:pStyle w:val="749"/>
      </w:pPr>
      <w:r/>
      <w:bookmarkStart w:id="18" w:name="anchor181"/>
      <w:r/>
      <w:bookmarkEnd w:id="18"/>
      <w:r>
        <w:t xml:space="preserve">1) образованием новых земельных участков для последующего предоставления в целях, указанных в </w:t>
      </w:r>
      <w:hyperlink r:id="rId27" w:tooltip="#anchor2007" w:history="1">
        <w:r>
          <w:t xml:space="preserve">пункте 7</w:t>
        </w:r>
      </w:hyperlink>
      <w:r>
        <w:t xml:space="preserve"> настоящего Порядка;</w:t>
      </w:r>
      <w:r/>
    </w:p>
    <w:p>
      <w:pPr>
        <w:pStyle w:val="749"/>
      </w:pPr>
      <w:r/>
      <w:bookmarkStart w:id="19" w:name="anchor182"/>
      <w:r/>
      <w:bookmarkEnd w:id="19"/>
      <w:r>
        <w:t xml:space="preserve">2) прекращением права постоянного (бессрочного) пользования земельными участками, которые предоставлены государственным учреждениям Чувашской Республики и казенным предприятиям Чувашской Республики;</w:t>
      </w:r>
      <w:r/>
    </w:p>
    <w:p>
      <w:pPr>
        <w:pStyle w:val="749"/>
      </w:pPr>
      <w:r/>
      <w:bookmarkStart w:id="20" w:name="anchor183"/>
      <w:r/>
      <w:bookmarkEnd w:id="20"/>
      <w:r>
        <w:t xml:space="preserve">3) прекращением права хозяйственного ведения на объекты недвижимого имущества, закрепл</w:t>
      </w:r>
      <w:r>
        <w:t xml:space="preserve">енного за государственными унитарными предприятиями Чувашской Республики, или права оперативного управления на объекты недвижимого имущества, закрепленного за государственными учреждениями Чувашской Республики, казенными предприятиями Чувашской Республики;</w:t>
      </w:r>
      <w:r/>
    </w:p>
    <w:p>
      <w:pPr>
        <w:pStyle w:val="749"/>
      </w:pPr>
      <w:r/>
      <w:bookmarkStart w:id="21" w:name="anchor184"/>
      <w:r/>
      <w:bookmarkEnd w:id="21"/>
      <w:r>
        <w:t xml:space="preserve">4) досрочным расторжением договоров аренды в отношении земельных участков, которые предоставлены государственным унитарным предприятиям Чувашской Республики;</w:t>
      </w:r>
      <w:r/>
    </w:p>
    <w:p>
      <w:pPr>
        <w:pStyle w:val="749"/>
      </w:pPr>
      <w:r/>
      <w:bookmarkStart w:id="22" w:name="anchor185"/>
      <w:r/>
      <w:bookmarkEnd w:id="22"/>
      <w:r>
        <w:t xml:space="preserve">5) изменением вида разрешенного использования земельных участков.</w:t>
      </w:r>
      <w:r/>
    </w:p>
    <w:p>
      <w:pPr>
        <w:pStyle w:val="749"/>
      </w:pPr>
      <w:r/>
      <w:bookmarkStart w:id="23" w:name="anchor2009"/>
      <w:r/>
      <w:bookmarkEnd w:id="23"/>
      <w:r>
        <w:t xml:space="preserve">9. Минэкономразвития Чувашии после выполнения организационно-правовых действий, указанных в </w:t>
      </w:r>
      <w:hyperlink r:id="rId28" w:tooltip="#anchor2008" w:history="1">
        <w:r>
          <w:t xml:space="preserve">пункте 8</w:t>
        </w:r>
      </w:hyperlink>
      <w:r>
        <w:t xml:space="preserve"> настоящего Порядка, включает земельные участки, предназначенные для создания промышленных парков, технопарков, бизнес-инкубаторов и иного развития территорий, в перечень инвестиционных площадок.</w:t>
      </w:r>
      <w:r/>
    </w:p>
    <w:p>
      <w:pPr>
        <w:pStyle w:val="749"/>
        <w:sectPr>
          <w:headerReference w:type="default" r:id="rId8"/>
          <w:footerReference w:type="default" r:id="rId10"/>
          <w:footnotePr/>
          <w:endnotePr/>
          <w:type w:val="nextPage"/>
          <w:pgSz w:w="11905" w:h="16837" w:orient="portrait"/>
          <w:pgMar w:top="794" w:right="794" w:bottom="794" w:left="794" w:header="794" w:footer="794" w:gutter="0"/>
          <w:cols w:num="1" w:sep="0" w:space="708" w:equalWidth="1"/>
          <w:docGrid w:linePitch="360"/>
        </w:sectPr>
      </w:pPr>
      <w:r/>
      <w:bookmarkStart w:id="24" w:name="anchor2010"/>
      <w:r/>
      <w:bookmarkEnd w:id="24"/>
      <w:r>
        <w:t xml:space="preserve">10. </w:t>
      </w:r>
      <w:hyperlink r:id="rId29" w:tooltip="https://internet.garant.ru/document/redirect/22719580/10006" w:history="1">
        <w:r>
          <w:t xml:space="preserve">Утратил силу</w:t>
        </w:r>
      </w:hyperlink>
      <w:r>
        <w:t xml:space="preserve">.</w:t>
      </w:r>
      <w:r/>
    </w:p>
    <w:p>
      <w:pPr>
        <w:pStyle w:val="746"/>
        <w:pageBreakBefore/>
      </w:pPr>
      <w:r/>
      <w:r/>
    </w:p>
    <w:p>
      <w:pPr>
        <w:pStyle w:val="749"/>
        <w:ind w:left="0" w:right="0" w:firstLine="0"/>
        <w:jc w:val="right"/>
      </w:pPr>
      <w:r/>
      <w:bookmarkStart w:id="25" w:name="anchor2100"/>
      <w:r/>
      <w:bookmarkEnd w:id="25"/>
      <w:r>
        <w:rPr>
          <w:b/>
          <w:color w:val="26282f"/>
        </w:rPr>
        <w:t xml:space="preserve">Приложение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к </w:t>
      </w:r>
      <w:hyperlink r:id="rId30" w:tooltip="#anchor2000" w:history="1">
        <w:r>
          <w:rPr>
            <w:b/>
            <w:color w:val="26282f"/>
          </w:rPr>
          <w:t xml:space="preserve">Порядку</w:t>
        </w:r>
      </w:hyperlink>
      <w:r>
        <w:rPr>
          <w:b/>
          <w:color w:val="26282f"/>
        </w:rPr>
        <w:t xml:space="preserve"> взаимодействия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исполнительных органов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Чувашской Республики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по определению эффективности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использования государственными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учреждениями Чувашской Республики,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казенными предприятиями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Чувашской Республики,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государственными унитарными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предприятиями Чувашской Республики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земельных участков, находящихся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в государственной собственности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Чувашской Республики,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предоставленных на праве постоянного</w:t>
      </w:r>
      <w:r/>
    </w:p>
    <w:p>
      <w:pPr>
        <w:pStyle w:val="749"/>
        <w:ind w:left="0" w:right="0" w:firstLine="0"/>
        <w:jc w:val="right"/>
      </w:pPr>
      <w:r>
        <w:rPr>
          <w:b/>
          <w:color w:val="26282f"/>
        </w:rPr>
        <w:t xml:space="preserve">(бессрочного) пользования и аренды</w:t>
      </w:r>
      <w:r/>
    </w:p>
    <w:p>
      <w:r>
        <w:t xml:space="preserve">(с изменениями от 8 мая 2024 г.)</w:t>
      </w:r>
      <w:r/>
    </w:p>
    <w:p>
      <w:pPr>
        <w:pStyle w:val="749"/>
      </w:pPr>
      <w:r/>
      <w:r/>
    </w:p>
    <w:p>
      <w:pPr>
        <w:pStyle w:val="751"/>
      </w:pPr>
      <w:r>
        <w:t xml:space="preserve">Переченьземельных участков, находящихся в государственной собственности Чувашской Республики, неиспользуемых или используемых не в соответст</w:t>
      </w:r>
      <w:r>
        <w:t xml:space="preserve">вии с целевым назначением земель или принадлежностью к той или иной категории земель и предоставленных государственным учреждениям Чувашской Республики, казенным предприятиям Чувашской Республики, государственным унитарным предприятиям Чувашской Республики</w:t>
      </w:r>
      <w:r/>
    </w:p>
    <w:p>
      <w:pPr>
        <w:pStyle w:val="749"/>
      </w:pPr>
      <w:r/>
      <w:r/>
    </w:p>
    <w:tbl>
      <w:tblPr>
        <w:tblW w:w="15306" w:type="dxa"/>
        <w:tblLayout w:type="fixed"/>
        <w:tblLook w:val="04A0" w:firstRow="1" w:lastRow="0" w:firstColumn="1" w:lastColumn="0" w:noHBand="0" w:noVBand="1"/>
      </w:tblPr>
      <w:tblGrid>
        <w:gridCol w:w="850"/>
        <w:gridCol w:w="1190"/>
        <w:gridCol w:w="964"/>
        <w:gridCol w:w="964"/>
        <w:gridCol w:w="964"/>
        <w:gridCol w:w="964"/>
        <w:gridCol w:w="964"/>
        <w:gridCol w:w="1077"/>
        <w:gridCol w:w="1701"/>
        <w:gridCol w:w="1304"/>
        <w:gridCol w:w="1417"/>
        <w:gridCol w:w="1417"/>
        <w:gridCol w:w="1417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 п/п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190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Местоположение (адрес)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Категория земель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 разрешенного использования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Фактическое использование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Площадь земельного участка, га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Площадь части земельного участка, не используемая по назначению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правообладателя (государственные учреждения Чувашской Республики, казенные предприятия Чувашской Республики, государственные унитарные предприятия Чувашской Республики)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 права, на котором земельный участок предоставлен правообладателю (постоянное (бессрочное) пользование, аренда)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об ограничениях использования земельного участка (правовой режим земельного участка, ограничения хозяйственного использования и др.)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Наличие объектов недвижимости на земельном участке</w:t>
            </w:r>
            <w:r>
              <w:rPr>
                <w:sz w:val="20"/>
              </w:rPr>
            </w:r>
          </w:p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(имеются, отсутствуют)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Предложения по дальнейшему использованию земельного участка</w:t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90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49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90" w:type="dxa"/>
            <w:vAlign w:val="top"/>
            <w:textDirection w:val="lrTb"/>
            <w:noWrap w:val="false"/>
          </w:tcPr>
          <w:p>
            <w:pPr>
              <w:pStyle w:val="7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7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7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7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7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7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7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7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749"/>
      </w:pPr>
      <w:r/>
      <w:r/>
    </w:p>
    <w:sectPr>
      <w:headerReference w:type="default" r:id="rId9"/>
      <w:footerReference w:type="default" r:id="rId11"/>
      <w:footnotePr/>
      <w:endnotePr/>
      <w:type w:val="nextPage"/>
      <w:pgSz w:w="16837" w:h="11905" w:orient="landscape"/>
      <w:pgMar w:top="794" w:right="794" w:bottom="794" w:left="794" w:header="794" w:footer="79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&amp;apos;Courier New&amp;apos;">
    <w:panose1 w:val="02000603000000000000"/>
  </w:font>
  <w:font w:name="&amp;apos;Times New Roman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p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45"/>
    <w:next w:val="7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45"/>
    <w:next w:val="7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5"/>
    <w:next w:val="7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5"/>
    <w:next w:val="7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5"/>
    <w:next w:val="7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5"/>
    <w:next w:val="7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5"/>
    <w:next w:val="7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5"/>
    <w:next w:val="7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5"/>
    <w:next w:val="7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4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5"/>
    <w:next w:val="7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45"/>
    <w:next w:val="7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45"/>
    <w:next w:val="7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5"/>
    <w:next w:val="7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45"/>
    <w:next w:val="7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5"/>
    <w:next w:val="7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5"/>
    <w:next w:val="7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5"/>
    <w:next w:val="7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5"/>
    <w:next w:val="7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5"/>
    <w:next w:val="7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5"/>
    <w:next w:val="7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5"/>
    <w:next w:val="7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5"/>
    <w:next w:val="7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5"/>
    <w:next w:val="745"/>
    <w:uiPriority w:val="99"/>
    <w:unhideWhenUsed/>
    <w:pPr>
      <w:spacing w:after="0" w:afterAutospacing="0"/>
    </w:pPr>
  </w:style>
  <w:style w:type="paragraph" w:styleId="744" w:default="1">
    <w:name w:val="DStyle_paragraph"/>
  </w:style>
  <w:style w:type="paragraph" w:styleId="745" w:customStyle="1">
    <w:name w:val="Normal"/>
    <w:basedOn w:val="744"/>
    <w:rPr>
      <w:sz w:val="24"/>
      <w:lang w:val="ru-RU"/>
    </w:rPr>
  </w:style>
  <w:style w:type="paragraph" w:styleId="746" w:customStyle="1">
    <w:name w:val="Standard"/>
    <w:basedOn w:val="744"/>
    <w:pPr>
      <w:ind w:left="0" w:right="0" w:firstLine="720"/>
      <w:jc w:val="both"/>
      <w:spacing w:before="0" w:after="0"/>
      <w:widowControl/>
    </w:pPr>
    <w:rPr>
      <w:sz w:val="24"/>
    </w:rPr>
  </w:style>
  <w:style w:type="paragraph" w:styleId="747" w:customStyle="1">
    <w:name w:val="Preformatted"/>
    <w:basedOn w:val="744"/>
    <w:qFormat/>
    <w:pPr>
      <w:ind w:left="0" w:right="0" w:firstLine="0"/>
      <w:jc w:val="both"/>
      <w:spacing w:before="0" w:after="0"/>
      <w:widowControl/>
    </w:pPr>
    <w:rPr>
      <w:rFonts w:ascii="'Courier New'" w:hAnsi="'Courier New'" w:cs="'Courier New'"/>
      <w:sz w:val="24"/>
      <w:szCs w:val="24"/>
    </w:rPr>
  </w:style>
  <w:style w:type="paragraph" w:styleId="748" w:customStyle="1">
    <w:name w:val="Heading"/>
    <w:basedOn w:val="746"/>
    <w:pPr>
      <w:jc w:val="center"/>
      <w:spacing w:before="240" w:after="120"/>
    </w:pPr>
    <w:rPr>
      <w:b/>
    </w:rPr>
  </w:style>
  <w:style w:type="paragraph" w:styleId="749" w:customStyle="1">
    <w:name w:val="Нормальный"/>
    <w:basedOn w:val="746"/>
    <w:qFormat/>
  </w:style>
  <w:style w:type="paragraph" w:styleId="750" w:customStyle="1">
    <w:name w:val="Нормальный (OEM)"/>
    <w:basedOn w:val="747"/>
    <w:qFormat/>
  </w:style>
  <w:style w:type="paragraph" w:styleId="751" w:customStyle="1">
    <w:name w:val="Заголовок 1"/>
    <w:basedOn w:val="748"/>
    <w:qFormat/>
  </w:style>
  <w:style w:type="paragraph" w:styleId="752" w:customStyle="1">
    <w:name w:val="Заголовок 2"/>
    <w:basedOn w:val="748"/>
    <w:qFormat/>
  </w:style>
  <w:style w:type="paragraph" w:styleId="753" w:customStyle="1">
    <w:name w:val="Заголовок 3"/>
    <w:basedOn w:val="748"/>
    <w:qFormat/>
  </w:style>
  <w:style w:type="paragraph" w:styleId="754" w:customStyle="1">
    <w:name w:val="Заголовок 4"/>
    <w:basedOn w:val="748"/>
    <w:qFormat/>
  </w:style>
  <w:style w:type="paragraph" w:styleId="755" w:customStyle="1">
    <w:name w:val="Утратил силу"/>
    <w:basedOn w:val="746"/>
    <w:qFormat/>
    <w:rPr>
      <w:strike/>
      <w:color w:val="666600"/>
    </w:rPr>
  </w:style>
  <w:style w:type="paragraph" w:styleId="756" w:customStyle="1">
    <w:name w:val="Text (reference)"/>
    <w:basedOn w:val="746"/>
    <w:pPr>
      <w:ind w:left="170" w:right="170" w:firstLine="0"/>
      <w:jc w:val="left"/>
      <w:spacing w:before="0" w:after="0"/>
    </w:pPr>
    <w:rPr>
      <w:sz w:val="24"/>
    </w:rPr>
  </w:style>
  <w:style w:type="paragraph" w:styleId="757" w:customStyle="1">
    <w:name w:val="Комментарий"/>
    <w:basedOn w:val="756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758" w:customStyle="1">
    <w:name w:val="Заголовок статьи"/>
    <w:basedOn w:val="746"/>
    <w:qFormat/>
    <w:pPr>
      <w:ind w:left="1612" w:right="0" w:hanging="891"/>
      <w:jc w:val="both"/>
      <w:spacing w:before="0" w:after="0"/>
    </w:pPr>
  </w:style>
  <w:style w:type="paragraph" w:styleId="759" w:customStyle="1">
    <w:name w:val="Прижатый влево"/>
    <w:basedOn w:val="746"/>
    <w:qFormat/>
    <w:pPr>
      <w:ind w:left="0" w:right="0" w:firstLine="0"/>
      <w:jc w:val="left"/>
    </w:pPr>
  </w:style>
  <w:style w:type="paragraph" w:styleId="760" w:customStyle="1">
    <w:name w:val="Информация о версии"/>
    <w:basedOn w:val="756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761" w:customStyle="1">
    <w:name w:val="Не вступил в силу"/>
    <w:basedOn w:val="746"/>
    <w:qFormat/>
    <w:pPr>
      <w:ind w:left="139" w:right="0" w:hanging="138"/>
    </w:pPr>
  </w:style>
  <w:style w:type="paragraph" w:styleId="762" w:customStyle="1">
    <w:name w:val="Информация об изменениях"/>
    <w:basedOn w:val="746"/>
    <w:qFormat/>
    <w:pPr>
      <w:ind w:left="360" w:right="360" w:firstLine="0"/>
      <w:spacing w:before="180"/>
      <w:shd w:val="clear" w:color="auto" w:fill="eaefed"/>
    </w:pPr>
    <w:rPr>
      <w:color w:val="353842"/>
      <w:sz w:val="20"/>
      <w:shd w:val="clear" w:color="auto" w:fill="eaefed"/>
    </w:rPr>
  </w:style>
  <w:style w:type="paragraph" w:styleId="763" w:customStyle="1">
    <w:name w:val="Заголовок ЭР (левое окно)"/>
    <w:basedOn w:val="748"/>
    <w:qFormat/>
  </w:style>
  <w:style w:type="paragraph" w:styleId="764" w:customStyle="1">
    <w:name w:val="Сноска"/>
    <w:basedOn w:val="746"/>
    <w:qFormat/>
    <w:rPr>
      <w:sz w:val="20"/>
    </w:rPr>
  </w:style>
  <w:style w:type="character" w:styleId="1603" w:default="1">
    <w:name w:val="Default Paragraph Font"/>
    <w:uiPriority w:val="1"/>
    <w:semiHidden/>
    <w:unhideWhenUsed/>
  </w:style>
  <w:style w:type="numbering" w:styleId="1604" w:default="1">
    <w:name w:val="No List"/>
    <w:uiPriority w:val="99"/>
    <w:semiHidden/>
    <w:unhideWhenUsed/>
  </w:style>
  <w:style w:type="table" w:styleId="16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internet.garant.ru/document/redirect/17594898/0" TargetMode="External"/><Relationship Id="rId13" Type="http://schemas.openxmlformats.org/officeDocument/2006/relationships/hyperlink" Target="https://internet.garant.ru/document/redirect/12124624/0" TargetMode="External"/><Relationship Id="rId14" Type="http://schemas.openxmlformats.org/officeDocument/2006/relationships/hyperlink" Target="https://internet.garant.ru/document/redirect/12138258/0" TargetMode="External"/><Relationship Id="rId15" Type="http://schemas.openxmlformats.org/officeDocument/2006/relationships/hyperlink" Target="https://internet.garant.ru/document/redirect/12161615/0" TargetMode="External"/><Relationship Id="rId16" Type="http://schemas.openxmlformats.org/officeDocument/2006/relationships/hyperlink" Target="https://internet.garant.ru/document/redirect/409002442/6" TargetMode="External"/><Relationship Id="rId17" Type="http://schemas.openxmlformats.org/officeDocument/2006/relationships/hyperlink" Target="#anchor2000" TargetMode="External"/><Relationship Id="rId18" Type="http://schemas.openxmlformats.org/officeDocument/2006/relationships/hyperlink" Target="#anchor2000" TargetMode="External"/><Relationship Id="rId19" Type="http://schemas.openxmlformats.org/officeDocument/2006/relationships/hyperlink" Target="#anchor1" TargetMode="External"/><Relationship Id="rId20" Type="http://schemas.openxmlformats.org/officeDocument/2006/relationships/hyperlink" Target="https://internet.garant.ru/document/redirect/17594899/0" TargetMode="External"/><Relationship Id="rId21" Type="http://schemas.openxmlformats.org/officeDocument/2006/relationships/hyperlink" Target="#anchor0" TargetMode="External"/><Relationship Id="rId22" Type="http://schemas.openxmlformats.org/officeDocument/2006/relationships/hyperlink" Target="#anchor12" TargetMode="External"/><Relationship Id="rId23" Type="http://schemas.openxmlformats.org/officeDocument/2006/relationships/hyperlink" Target="https://internet.garant.ru/document/redirect/409002442/6" TargetMode="External"/><Relationship Id="rId24" Type="http://schemas.openxmlformats.org/officeDocument/2006/relationships/hyperlink" Target="#anchor0" TargetMode="External"/><Relationship Id="rId25" Type="http://schemas.openxmlformats.org/officeDocument/2006/relationships/hyperlink" Target="#anchor2002" TargetMode="External"/><Relationship Id="rId26" Type="http://schemas.openxmlformats.org/officeDocument/2006/relationships/hyperlink" Target="#anchor2100" TargetMode="External"/><Relationship Id="rId27" Type="http://schemas.openxmlformats.org/officeDocument/2006/relationships/hyperlink" Target="#anchor2007" TargetMode="External"/><Relationship Id="rId28" Type="http://schemas.openxmlformats.org/officeDocument/2006/relationships/hyperlink" Target="#anchor2008" TargetMode="External"/><Relationship Id="rId29" Type="http://schemas.openxmlformats.org/officeDocument/2006/relationships/hyperlink" Target="https://internet.garant.ru/document/redirect/22719580/10006" TargetMode="External"/><Relationship Id="rId30" Type="http://schemas.openxmlformats.org/officeDocument/2006/relationships/hyperlink" Target="#anchor2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revision>1</cp:revision>
  <dcterms:modified xsi:type="dcterms:W3CDTF">2025-01-20T07:59:25Z</dcterms:modified>
</cp:coreProperties>
</file>