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 w:firstLine="284"/>
        <w:jc w:val="center"/>
        <w:tabs>
          <w:tab w:val="left" w:pos="0" w:leader="none"/>
        </w:tabs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-284" w:firstLine="284"/>
        <w:jc w:val="center"/>
        <w:tabs>
          <w:tab w:val="left" w:pos="0" w:leader="none"/>
        </w:tabs>
        <w:rPr>
          <w:b/>
          <w:bCs/>
          <w:sz w:val="26"/>
          <w:szCs w:val="26"/>
        </w:rPr>
      </w:pPr>
      <w:r>
        <w:rPr>
          <w:b/>
          <w:sz w:val="26"/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-284" w:firstLine="284"/>
        <w:jc w:val="center"/>
        <w:tabs>
          <w:tab w:val="left" w:pos="0" w:leader="none"/>
        </w:tabs>
        <w:rPr>
          <w:b/>
          <w:bCs/>
          <w:sz w:val="26"/>
          <w:szCs w:val="26"/>
          <w:highlight w:val="none"/>
        </w:rPr>
      </w:pPr>
      <w:r>
        <w:rPr>
          <w:b/>
          <w:sz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ind w:left="-284" w:firstLine="284"/>
        <w:jc w:val="center"/>
        <w:tabs>
          <w:tab w:val="left" w:pos="0" w:leader="none"/>
        </w:tabs>
        <w:rPr>
          <w:b/>
          <w:bCs/>
          <w:sz w:val="26"/>
          <w:szCs w:val="26"/>
          <w:highlight w:val="none"/>
        </w:rPr>
      </w:pPr>
      <w:r>
        <w:rPr>
          <w:b/>
          <w:sz w:val="26"/>
        </w:rPr>
        <w:t xml:space="preserve">П</w:t>
      </w:r>
      <w:r>
        <w:rPr>
          <w:b/>
          <w:sz w:val="26"/>
        </w:rPr>
        <w:t xml:space="preserve">ОЯСНИТЕЛЬНАЯ ЗАПИСКА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rPr>
          <w:b/>
          <w:sz w:val="26"/>
        </w:rPr>
      </w:pPr>
      <w:r>
        <w:rPr>
          <w:b/>
          <w:sz w:val="26"/>
        </w:rPr>
        <w:t xml:space="preserve">к проекту постановления Кабинета Министров Чувашской Республики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8"/>
        <w:ind w:firstLine="0"/>
        <w:jc w:val="center"/>
        <w:spacing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«О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78"/>
        <w:ind w:firstLine="0"/>
        <w:jc w:val="center"/>
        <w:spacing w:line="240" w:lineRule="auto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от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9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января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20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1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7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г.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№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2»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Министерством строительства, архитектуры и жилищно-коммунального хозяйства Чувашской Республики разработан проект постановления Кабинета Министров Чува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ш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ской Республики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«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от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января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20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г.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№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(далее – п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роект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постановления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)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Проектом постановления учтены положения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Постановления Правительства Российской Федерации от 25 ноября 2023 г. № 1782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Кроме того, проектом   постановления,   в соответствии  с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требованиями аб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заца девятого пункта 5 постановления Кабинета Министров  Чувашской Республики от 10 декабря 2024 г. № 684 «О мерах по реализации Закона Чувашской Республики «О республиканском бюджете Чувашской Республики на 2025 год и на плановый период 2026 и 2027 го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дов»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Правила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предоставления субсидий из республиканского бюджета Чувашской Республики на обеспечение деятельности некоммерческой организации «Республиканский фонд капитального ремонта многоквартирных домов», утвержденные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м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от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января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20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г.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№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дополняются условием о соблюдении получателем субсидий при осуществлении закупок товаров, работ, услуг положений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Федерального закона от 5 апреля 2013 г. № 44-ФЗ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«О 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В связи с тем, что проектом постановления предусматривается предоставление субсидии целевого характера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, согласно Порядку проведения оценки регулирующего воздействия проектов нормативных правовых актов Чувашской Республик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и, утвержденному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проведение оценки регулирующего воздействия проекта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постановления не требуется.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Принятие  проекта постановления не потребует выделения  финансовых средств из республиканского бюджета Чувашской Республики.   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78"/>
        <w:ind w:firstLine="708"/>
        <w:spacing w:line="240" w:lineRule="auto"/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pPr>
      <w:r>
        <w:rPr>
          <w:rFonts w:ascii="Times New Roman" w:hAnsi="Times New Roman"/>
          <w:b w:val="0"/>
          <w:bCs w:val="0"/>
          <w:sz w:val="26"/>
          <w:szCs w:val="26"/>
          <w:lang w:val="ru-RU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  <w:r>
        <w:rPr>
          <w:rFonts w:ascii="Times New Roman" w:hAnsi="Times New Roman"/>
          <w:b w:val="0"/>
          <w:bCs w:val="0"/>
          <w:sz w:val="26"/>
          <w:szCs w:val="26"/>
          <w:lang w:val="ru-RU"/>
          <w14:ligatures w14:val="non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left="142" w:righ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</w:t>
      </w:r>
      <w:r>
        <w:rPr>
          <w:rFonts w:ascii="Times New Roman" w:hAnsi="Times New Roman" w:cs="Times New Roman"/>
          <w:sz w:val="26"/>
          <w:szCs w:val="26"/>
        </w:rPr>
        <w:t xml:space="preserve">инистра строительства, </w:t>
      </w:r>
      <w:r>
        <w:rPr>
          <w:rFonts w:ascii="Times New Roman" w:hAnsi="Times New Roman" w:cs="Times New Roman"/>
          <w:sz w:val="26"/>
          <w:szCs w:val="26"/>
        </w:rPr>
        <w:t xml:space="preserve">архитектуры и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жилищно-коммунального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хозяйства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 Республики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В.М. Максимов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4"/>
        <w:ind w:left="3540" w:right="0"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4"/>
        <w:ind w:left="3540" w:right="0"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4"/>
        <w:ind w:left="3540" w:right="0"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headerReference w:type="even" r:id="rId9"/>
      <w:footnotePr/>
      <w:endnotePr/>
      <w:type w:val="oddPage"/>
      <w:pgSz w:w="11907" w:h="16840" w:orient="portrait"/>
      <w:pgMar w:top="-142" w:right="708" w:bottom="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75" w:hanging="735"/>
        <w:tabs>
          <w:tab w:val="num" w:pos="127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74"/>
    <w:uiPriority w:val="99"/>
  </w:style>
  <w:style w:type="character" w:styleId="713">
    <w:name w:val="Footer Char"/>
    <w:basedOn w:val="861"/>
    <w:link w:val="876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76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rPr>
      <w:sz w:val="24"/>
      <w:szCs w:val="24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paragraph" w:styleId="865" w:customStyle="1">
    <w:name w:val="ConsNonforma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866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</w:rPr>
  </w:style>
  <w:style w:type="paragraph" w:styleId="867" w:customStyle="1">
    <w:name w:val="ConsCell"/>
    <w:uiPriority w:val="99"/>
    <w:pPr>
      <w:ind w:right="19772"/>
      <w:widowControl w:val="off"/>
    </w:pPr>
    <w:rPr>
      <w:rFonts w:ascii="Arial" w:hAnsi="Arial" w:cs="Arial"/>
    </w:rPr>
  </w:style>
  <w:style w:type="paragraph" w:styleId="868" w:customStyle="1">
    <w:name w:val="ConsDocList"/>
    <w:uiPriority w:val="99"/>
    <w:pPr>
      <w:ind w:right="19772"/>
      <w:widowControl w:val="off"/>
    </w:pPr>
    <w:rPr>
      <w:rFonts w:ascii="Courier New" w:hAnsi="Courier New" w:cs="Courier New"/>
    </w:rPr>
  </w:style>
  <w:style w:type="paragraph" w:styleId="869">
    <w:name w:val="Normal (Web)"/>
    <w:basedOn w:val="860"/>
    <w:uiPriority w:val="99"/>
    <w:semiHidden/>
    <w:pPr>
      <w:spacing w:before="100" w:beforeAutospacing="1" w:after="100" w:afterAutospacing="1"/>
    </w:pPr>
  </w:style>
  <w:style w:type="paragraph" w:styleId="870">
    <w:name w:val="Body Text 2"/>
    <w:basedOn w:val="860"/>
    <w:link w:val="871"/>
    <w:uiPriority w:val="99"/>
    <w:semiHidden/>
    <w:pPr>
      <w:ind w:firstLine="709"/>
    </w:pPr>
  </w:style>
  <w:style w:type="character" w:styleId="871" w:customStyle="1">
    <w:name w:val="Основной текст 2 Знак"/>
    <w:basedOn w:val="861"/>
    <w:link w:val="870"/>
    <w:uiPriority w:val="99"/>
    <w:semiHidden/>
    <w:rPr>
      <w:rFonts w:cs="Times New Roman"/>
      <w:sz w:val="24"/>
      <w:szCs w:val="24"/>
    </w:rPr>
  </w:style>
  <w:style w:type="paragraph" w:styleId="872">
    <w:name w:val="Body Text Indent 2"/>
    <w:basedOn w:val="860"/>
    <w:link w:val="873"/>
    <w:uiPriority w:val="99"/>
    <w:semiHidden/>
    <w:pPr>
      <w:ind w:firstLine="709"/>
      <w:jc w:val="both"/>
    </w:pPr>
  </w:style>
  <w:style w:type="character" w:styleId="873" w:customStyle="1">
    <w:name w:val="Основной текст с отступом 2 Знак"/>
    <w:basedOn w:val="861"/>
    <w:link w:val="872"/>
    <w:uiPriority w:val="99"/>
    <w:semiHidden/>
    <w:rPr>
      <w:rFonts w:cs="Times New Roman"/>
      <w:sz w:val="24"/>
      <w:szCs w:val="24"/>
    </w:rPr>
  </w:style>
  <w:style w:type="paragraph" w:styleId="874">
    <w:name w:val="Header"/>
    <w:basedOn w:val="860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1"/>
    <w:link w:val="874"/>
    <w:uiPriority w:val="99"/>
    <w:rPr>
      <w:rFonts w:cs="Times New Roman"/>
      <w:sz w:val="24"/>
      <w:szCs w:val="24"/>
    </w:rPr>
  </w:style>
  <w:style w:type="paragraph" w:styleId="876">
    <w:name w:val="Footer"/>
    <w:basedOn w:val="860"/>
    <w:link w:val="877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1"/>
    <w:link w:val="876"/>
    <w:uiPriority w:val="99"/>
    <w:semiHidden/>
    <w:rPr>
      <w:rFonts w:cs="Times New Roman"/>
      <w:sz w:val="24"/>
      <w:szCs w:val="24"/>
    </w:rPr>
  </w:style>
  <w:style w:type="paragraph" w:styleId="878">
    <w:name w:val="Body Text Indent"/>
    <w:basedOn w:val="860"/>
    <w:link w:val="879"/>
    <w:uiPriority w:val="99"/>
    <w:semiHidden/>
    <w:pPr>
      <w:ind w:firstLine="748"/>
      <w:jc w:val="both"/>
      <w:spacing w:line="360" w:lineRule="auto"/>
    </w:pPr>
    <w:rPr>
      <w:rFonts w:ascii="TimesET" w:hAnsi="TimesET"/>
    </w:rPr>
  </w:style>
  <w:style w:type="character" w:styleId="879" w:customStyle="1">
    <w:name w:val="Основной текст с отступом Знак"/>
    <w:basedOn w:val="861"/>
    <w:link w:val="878"/>
    <w:uiPriority w:val="99"/>
    <w:semiHidden/>
    <w:rPr>
      <w:rFonts w:cs="Times New Roman"/>
      <w:sz w:val="24"/>
      <w:szCs w:val="24"/>
    </w:rPr>
  </w:style>
  <w:style w:type="character" w:styleId="880">
    <w:name w:val="page number"/>
    <w:basedOn w:val="861"/>
    <w:uiPriority w:val="99"/>
    <w:semiHidden/>
    <w:rPr>
      <w:rFonts w:cs="Times New Roman"/>
    </w:rPr>
  </w:style>
  <w:style w:type="paragraph" w:styleId="881">
    <w:name w:val="Body Text"/>
    <w:basedOn w:val="860"/>
    <w:link w:val="882"/>
    <w:uiPriority w:val="99"/>
    <w:semiHidden/>
    <w:pPr>
      <w:jc w:val="both"/>
    </w:pPr>
    <w:rPr>
      <w:rFonts w:ascii="TimesET" w:hAnsi="TimesET"/>
    </w:rPr>
  </w:style>
  <w:style w:type="character" w:styleId="882" w:customStyle="1">
    <w:name w:val="Основной текст Знак"/>
    <w:basedOn w:val="861"/>
    <w:link w:val="881"/>
    <w:uiPriority w:val="99"/>
    <w:semiHidden/>
    <w:rPr>
      <w:rFonts w:cs="Times New Roman"/>
      <w:sz w:val="24"/>
      <w:szCs w:val="24"/>
    </w:rPr>
  </w:style>
  <w:style w:type="paragraph" w:styleId="883">
    <w:name w:val="Body Text Indent 3"/>
    <w:basedOn w:val="860"/>
    <w:link w:val="884"/>
    <w:pPr>
      <w:ind w:firstLine="851"/>
      <w:jc w:val="both"/>
    </w:pPr>
    <w:rPr>
      <w:sz w:val="26"/>
    </w:rPr>
  </w:style>
  <w:style w:type="character" w:styleId="884" w:customStyle="1">
    <w:name w:val="Основной текст с отступом 3 Знак"/>
    <w:basedOn w:val="861"/>
    <w:link w:val="883"/>
    <w:rPr>
      <w:rFonts w:cs="Times New Roman"/>
      <w:sz w:val="16"/>
      <w:szCs w:val="16"/>
    </w:rPr>
  </w:style>
  <w:style w:type="paragraph" w:styleId="885">
    <w:name w:val="Balloon Text"/>
    <w:basedOn w:val="860"/>
    <w:link w:val="886"/>
    <w:uiPriority w:val="99"/>
    <w:semiHidden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61"/>
    <w:link w:val="885"/>
    <w:uiPriority w:val="99"/>
    <w:semiHidden/>
    <w:rPr>
      <w:rFonts w:cs="Times New Roman"/>
      <w:sz w:val="2"/>
    </w:rPr>
  </w:style>
  <w:style w:type="paragraph" w:styleId="887" w:customStyle="1">
    <w:name w:val="ConsPlusNormal"/>
    <w:pPr>
      <w:ind w:firstLine="720"/>
    </w:pPr>
    <w:rPr>
      <w:rFonts w:ascii="Arial" w:hAnsi="Arial" w:cs="Arial"/>
    </w:rPr>
  </w:style>
  <w:style w:type="paragraph" w:styleId="888" w:customStyle="1">
    <w:name w:val="western"/>
    <w:basedOn w:val="860"/>
    <w:pPr>
      <w:spacing w:before="100" w:beforeAutospacing="1" w:after="115"/>
    </w:pPr>
    <w:rPr>
      <w:color w:val="000000"/>
    </w:rPr>
  </w:style>
  <w:style w:type="paragraph" w:styleId="889" w:customStyle="1">
    <w:name w:val="Основной текст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ET" w:hAnsi="TimesET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E3A8-09E0-4327-BE59-8031C946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CAP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zhkh5</dc:creator>
  <cp:revision>11</cp:revision>
  <dcterms:created xsi:type="dcterms:W3CDTF">2024-10-10T10:46:00Z</dcterms:created>
  <dcterms:modified xsi:type="dcterms:W3CDTF">2025-01-22T13:53:23Z</dcterms:modified>
</cp:coreProperties>
</file>