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4AAF" w:rsidRPr="00325D17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68490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14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4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4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814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D531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D531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14AAF" w:rsidRPr="00325D17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РАСПОРЯЖ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68490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14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4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814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5CB">
        <w:rPr>
          <w:rFonts w:ascii="Times New Roman" w:hAnsi="Times New Roman"/>
          <w:sz w:val="24"/>
          <w:szCs w:val="24"/>
        </w:rPr>
        <w:t>В соответствии</w:t>
      </w:r>
      <w:r w:rsidR="00794757">
        <w:rPr>
          <w:rFonts w:ascii="Times New Roman" w:hAnsi="Times New Roman"/>
          <w:sz w:val="24"/>
          <w:szCs w:val="24"/>
        </w:rPr>
        <w:t xml:space="preserve"> с </w:t>
      </w:r>
      <w:hyperlink r:id="rId9" w:history="1">
        <w:r w:rsidR="00794757" w:rsidRPr="000965CB">
          <w:rPr>
            <w:rStyle w:val="a3"/>
            <w:rFonts w:ascii="Times New Roman" w:hAnsi="Times New Roman"/>
            <w:color w:val="auto"/>
            <w:sz w:val="24"/>
            <w:szCs w:val="24"/>
          </w:rPr>
          <w:t>распоряжением</w:t>
        </w:r>
      </w:hyperlink>
      <w:r w:rsidR="00794757" w:rsidRPr="000965CB">
        <w:rPr>
          <w:rFonts w:ascii="Times New Roman" w:hAnsi="Times New Roman"/>
          <w:sz w:val="24"/>
          <w:szCs w:val="24"/>
        </w:rPr>
        <w:t xml:space="preserve"> Правительства Российской Федерации от 18.10.2018  </w:t>
      </w:r>
      <w:r w:rsidR="00794757">
        <w:rPr>
          <w:rFonts w:ascii="Times New Roman" w:hAnsi="Times New Roman"/>
          <w:sz w:val="24"/>
          <w:szCs w:val="24"/>
        </w:rPr>
        <w:t>№</w:t>
      </w:r>
      <w:r w:rsidR="00794757" w:rsidRPr="000965CB">
        <w:rPr>
          <w:rFonts w:ascii="Times New Roman" w:hAnsi="Times New Roman"/>
          <w:sz w:val="24"/>
          <w:szCs w:val="24"/>
        </w:rPr>
        <w:t> 2258-р "О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</w:t>
      </w:r>
      <w:r w:rsidR="00794757">
        <w:rPr>
          <w:rFonts w:ascii="Times New Roman" w:hAnsi="Times New Roman"/>
          <w:sz w:val="24"/>
          <w:szCs w:val="24"/>
        </w:rPr>
        <w:t>,</w:t>
      </w:r>
      <w:r w:rsidRPr="000965CB">
        <w:rPr>
          <w:rFonts w:ascii="Times New Roman" w:hAnsi="Times New Roman"/>
          <w:sz w:val="24"/>
          <w:szCs w:val="24"/>
        </w:rPr>
        <w:t xml:space="preserve"> с </w:t>
      </w:r>
      <w:hyperlink r:id="rId10" w:history="1">
        <w:r w:rsidRPr="000965CB">
          <w:rPr>
            <w:rStyle w:val="a3"/>
            <w:rFonts w:ascii="Times New Roman" w:hAnsi="Times New Roman"/>
            <w:color w:val="auto"/>
            <w:sz w:val="24"/>
            <w:szCs w:val="24"/>
          </w:rPr>
          <w:t>разделом VI</w:t>
        </w:r>
      </w:hyperlink>
      <w:r w:rsidRPr="000965CB">
        <w:rPr>
          <w:rFonts w:ascii="Times New Roman" w:hAnsi="Times New Roman"/>
          <w:sz w:val="24"/>
          <w:szCs w:val="24"/>
        </w:rPr>
        <w:t xml:space="preserve"> Положения об организации в администрации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965CB">
        <w:rPr>
          <w:rFonts w:ascii="Times New Roman" w:hAnsi="Times New Roman"/>
          <w:sz w:val="24"/>
          <w:szCs w:val="24"/>
        </w:rPr>
        <w:t xml:space="preserve"> Чувашской Республики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965CB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0965CB">
        <w:rPr>
          <w:rFonts w:ascii="Times New Roman" w:hAnsi="Times New Roman"/>
          <w:sz w:val="24"/>
          <w:szCs w:val="24"/>
        </w:rPr>
        <w:t xml:space="preserve">), утвержденного </w:t>
      </w:r>
      <w:hyperlink r:id="rId11" w:history="1">
        <w:r w:rsidRPr="000965CB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0965CB">
        <w:rPr>
          <w:rFonts w:ascii="Times New Roman" w:hAnsi="Times New Roman"/>
          <w:sz w:val="24"/>
          <w:szCs w:val="24"/>
        </w:rPr>
        <w:t xml:space="preserve"> администрации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965CB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794757">
        <w:rPr>
          <w:rFonts w:ascii="Times New Roman" w:hAnsi="Times New Roman"/>
          <w:sz w:val="24"/>
          <w:szCs w:val="24"/>
        </w:rPr>
        <w:t xml:space="preserve">от </w:t>
      </w:r>
      <w:r w:rsidR="00794757">
        <w:rPr>
          <w:rFonts w:ascii="Times New Roman" w:hAnsi="Times New Roman"/>
          <w:sz w:val="24"/>
          <w:szCs w:val="24"/>
        </w:rPr>
        <w:t>13.02</w:t>
      </w:r>
      <w:r w:rsidRPr="00794757">
        <w:rPr>
          <w:rFonts w:ascii="Times New Roman" w:hAnsi="Times New Roman"/>
          <w:sz w:val="24"/>
          <w:szCs w:val="24"/>
        </w:rPr>
        <w:t>.2023</w:t>
      </w:r>
      <w:proofErr w:type="gramEnd"/>
      <w:r w:rsidRPr="00794757">
        <w:rPr>
          <w:rFonts w:ascii="Times New Roman" w:hAnsi="Times New Roman"/>
          <w:sz w:val="24"/>
          <w:szCs w:val="24"/>
        </w:rPr>
        <w:t xml:space="preserve"> № </w:t>
      </w:r>
      <w:r w:rsidR="00794757">
        <w:rPr>
          <w:rFonts w:ascii="Times New Roman" w:hAnsi="Times New Roman"/>
          <w:sz w:val="24"/>
          <w:szCs w:val="24"/>
        </w:rPr>
        <w:t>130</w:t>
      </w:r>
      <w:r w:rsidRPr="000965CB">
        <w:rPr>
          <w:rFonts w:ascii="Times New Roman" w:hAnsi="Times New Roman"/>
          <w:sz w:val="24"/>
          <w:szCs w:val="24"/>
        </w:rPr>
        <w:t>:</w:t>
      </w: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0965CB">
        <w:rPr>
          <w:rFonts w:ascii="Times New Roman" w:hAnsi="Times New Roman"/>
          <w:sz w:val="24"/>
          <w:szCs w:val="24"/>
        </w:rPr>
        <w:t>1. Утвердить:</w:t>
      </w:r>
    </w:p>
    <w:p w:rsidR="000965CB" w:rsidRPr="000965CB" w:rsidRDefault="000965CB" w:rsidP="0079475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sub_11"/>
      <w:bookmarkEnd w:id="0"/>
      <w:r w:rsidRPr="000965CB">
        <w:rPr>
          <w:rFonts w:ascii="Times New Roman" w:hAnsi="Times New Roman"/>
          <w:sz w:val="24"/>
          <w:szCs w:val="24"/>
        </w:rPr>
        <w:t xml:space="preserve">1.1. Ключевые показатели эффективности функционирования антимонопольного </w:t>
      </w:r>
      <w:proofErr w:type="spellStart"/>
      <w:r w:rsidRPr="000965CB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0965CB">
        <w:rPr>
          <w:rFonts w:ascii="Times New Roman" w:hAnsi="Times New Roman"/>
          <w:sz w:val="24"/>
          <w:szCs w:val="24"/>
        </w:rPr>
        <w:t xml:space="preserve"> в администрации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965CB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C330D1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Pr="000965CB">
        <w:rPr>
          <w:rFonts w:ascii="Times New Roman" w:hAnsi="Times New Roman"/>
          <w:sz w:val="24"/>
          <w:szCs w:val="24"/>
        </w:rPr>
        <w:t>(</w:t>
      </w:r>
      <w:hyperlink w:anchor="sub_1000" w:history="1">
        <w:r w:rsidRPr="000965CB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Приложение  1</w:t>
        </w:r>
      </w:hyperlink>
      <w:r w:rsidRPr="000965CB">
        <w:rPr>
          <w:rFonts w:ascii="Times New Roman" w:hAnsi="Times New Roman"/>
          <w:sz w:val="24"/>
          <w:szCs w:val="24"/>
        </w:rPr>
        <w:t>).</w:t>
      </w:r>
    </w:p>
    <w:p w:rsidR="000965CB" w:rsidRDefault="000965CB" w:rsidP="0079475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" w:name="sub_12"/>
      <w:bookmarkEnd w:id="1"/>
      <w:r w:rsidRPr="000965CB">
        <w:rPr>
          <w:rFonts w:ascii="Times New Roman" w:hAnsi="Times New Roman"/>
          <w:sz w:val="24"/>
          <w:szCs w:val="24"/>
        </w:rPr>
        <w:t xml:space="preserve">1.2. Методику расчета ключевых показателей эффективности функционирования в администрации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965CB">
        <w:rPr>
          <w:rFonts w:ascii="Times New Roman" w:hAnsi="Times New Roman"/>
          <w:sz w:val="24"/>
          <w:szCs w:val="24"/>
        </w:rPr>
        <w:t xml:space="preserve"> Чувашской Республики антимонопольного </w:t>
      </w:r>
      <w:proofErr w:type="spellStart"/>
      <w:r w:rsidRPr="000965CB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0965CB">
        <w:rPr>
          <w:rFonts w:ascii="Times New Roman" w:hAnsi="Times New Roman"/>
          <w:sz w:val="24"/>
          <w:szCs w:val="24"/>
        </w:rPr>
        <w:t xml:space="preserve"> (</w:t>
      </w:r>
      <w:hyperlink w:anchor="sub_2000" w:history="1">
        <w:r w:rsidRPr="000965CB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Приложение  2</w:t>
        </w:r>
      </w:hyperlink>
      <w:r w:rsidRPr="000965CB">
        <w:rPr>
          <w:rFonts w:ascii="Times New Roman" w:hAnsi="Times New Roman"/>
          <w:sz w:val="24"/>
          <w:szCs w:val="24"/>
        </w:rPr>
        <w:t>).</w:t>
      </w:r>
    </w:p>
    <w:p w:rsidR="00A0718F" w:rsidRDefault="00A0718F" w:rsidP="0079475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силу:</w:t>
      </w:r>
    </w:p>
    <w:p w:rsidR="00A0718F" w:rsidRPr="000965CB" w:rsidRDefault="005D648B" w:rsidP="0079475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0718F">
        <w:rPr>
          <w:rFonts w:ascii="Times New Roman" w:hAnsi="Times New Roman"/>
          <w:sz w:val="24"/>
          <w:szCs w:val="24"/>
        </w:rPr>
        <w:t xml:space="preserve">аспоряжение </w:t>
      </w:r>
      <w:r w:rsidR="00A0718F" w:rsidRPr="000965CB">
        <w:rPr>
          <w:rFonts w:ascii="Times New Roman" w:hAnsi="Times New Roman"/>
          <w:sz w:val="24"/>
          <w:szCs w:val="24"/>
        </w:rPr>
        <w:t xml:space="preserve">администрации Ибресинского </w:t>
      </w:r>
      <w:r w:rsidR="00A0718F">
        <w:rPr>
          <w:rFonts w:ascii="Times New Roman" w:hAnsi="Times New Roman"/>
          <w:sz w:val="24"/>
          <w:szCs w:val="24"/>
        </w:rPr>
        <w:t>муниципального округа</w:t>
      </w:r>
      <w:r w:rsidR="00A0718F" w:rsidRPr="000965CB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A0718F">
        <w:rPr>
          <w:rFonts w:ascii="Times New Roman" w:hAnsi="Times New Roman"/>
          <w:sz w:val="24"/>
          <w:szCs w:val="24"/>
        </w:rPr>
        <w:t xml:space="preserve"> от  </w:t>
      </w:r>
      <w:r w:rsidR="0068490E">
        <w:rPr>
          <w:rFonts w:ascii="Times New Roman" w:hAnsi="Times New Roman"/>
          <w:sz w:val="24"/>
          <w:szCs w:val="24"/>
        </w:rPr>
        <w:t>07</w:t>
      </w:r>
      <w:r w:rsidR="00A0718F">
        <w:rPr>
          <w:rFonts w:ascii="Times New Roman" w:hAnsi="Times New Roman"/>
          <w:sz w:val="24"/>
          <w:szCs w:val="24"/>
        </w:rPr>
        <w:t>.02.202</w:t>
      </w:r>
      <w:r w:rsidR="0068490E">
        <w:rPr>
          <w:rFonts w:ascii="Times New Roman" w:hAnsi="Times New Roman"/>
          <w:sz w:val="24"/>
          <w:szCs w:val="24"/>
        </w:rPr>
        <w:t>4</w:t>
      </w:r>
      <w:r w:rsidR="00A0718F">
        <w:rPr>
          <w:rFonts w:ascii="Times New Roman" w:hAnsi="Times New Roman"/>
          <w:sz w:val="24"/>
          <w:szCs w:val="24"/>
        </w:rPr>
        <w:t xml:space="preserve"> № </w:t>
      </w:r>
      <w:r w:rsidR="0068490E">
        <w:rPr>
          <w:rFonts w:ascii="Times New Roman" w:hAnsi="Times New Roman"/>
          <w:sz w:val="24"/>
          <w:szCs w:val="24"/>
        </w:rPr>
        <w:t>56</w:t>
      </w:r>
      <w:r w:rsidR="00A0718F">
        <w:rPr>
          <w:rFonts w:ascii="Times New Roman" w:hAnsi="Times New Roman"/>
          <w:sz w:val="24"/>
          <w:szCs w:val="24"/>
        </w:rPr>
        <w:t>-р.</w:t>
      </w: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" w:name="sub_2"/>
      <w:bookmarkEnd w:id="3"/>
      <w:r w:rsidRPr="000965CB">
        <w:rPr>
          <w:rFonts w:ascii="Times New Roman" w:hAnsi="Times New Roman"/>
          <w:sz w:val="24"/>
          <w:szCs w:val="24"/>
        </w:rPr>
        <w:tab/>
      </w:r>
      <w:bookmarkStart w:id="5" w:name="sub_3"/>
      <w:bookmarkEnd w:id="4"/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65CB">
        <w:rPr>
          <w:rFonts w:ascii="Times New Roman" w:hAnsi="Times New Roman"/>
          <w:sz w:val="24"/>
          <w:szCs w:val="24"/>
        </w:rPr>
        <w:tab/>
      </w:r>
      <w:bookmarkEnd w:id="5"/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571"/>
      </w:tblGrid>
      <w:tr w:rsidR="000965CB" w:rsidRPr="000965CB" w:rsidTr="000965C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965CB" w:rsidRDefault="000965CB" w:rsidP="000965CB">
            <w:pPr>
              <w:pStyle w:val="af6"/>
              <w:ind w:firstLine="34"/>
              <w:jc w:val="both"/>
            </w:pPr>
            <w:r>
              <w:t>Г</w:t>
            </w:r>
            <w:r w:rsidRPr="000965CB">
              <w:t>лав</w:t>
            </w:r>
            <w:r>
              <w:t>а</w:t>
            </w:r>
            <w:r w:rsidRPr="000965CB">
              <w:t xml:space="preserve"> Ибресинского </w:t>
            </w:r>
          </w:p>
          <w:p w:rsidR="000965CB" w:rsidRDefault="000965CB" w:rsidP="000965CB">
            <w:pPr>
              <w:pStyle w:val="af6"/>
              <w:ind w:firstLine="34"/>
              <w:jc w:val="both"/>
            </w:pPr>
            <w:r>
              <w:t>муниципального округа</w:t>
            </w:r>
          </w:p>
          <w:p w:rsidR="000965CB" w:rsidRPr="000965CB" w:rsidRDefault="000965CB" w:rsidP="000965CB">
            <w:pPr>
              <w:pStyle w:val="af6"/>
              <w:ind w:firstLine="34"/>
              <w:jc w:val="both"/>
            </w:pPr>
            <w:r w:rsidRPr="000965CB">
              <w:t>Чувашской Республики</w:t>
            </w:r>
            <w:r>
              <w:t xml:space="preserve">                                                                                           И.Г. Семёнов</w:t>
            </w:r>
          </w:p>
          <w:p w:rsidR="000965CB" w:rsidRPr="000965CB" w:rsidRDefault="000965CB" w:rsidP="000965CB">
            <w:pPr>
              <w:pStyle w:val="af5"/>
              <w:ind w:firstLine="851"/>
            </w:pPr>
          </w:p>
          <w:p w:rsidR="000965CB" w:rsidRPr="000965CB" w:rsidRDefault="000965CB" w:rsidP="000965CB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A0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5CB" w:rsidRPr="00A0718F" w:rsidRDefault="00A0718F" w:rsidP="00A0718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718F">
        <w:rPr>
          <w:rFonts w:ascii="Times New Roman" w:hAnsi="Times New Roman"/>
          <w:sz w:val="18"/>
          <w:szCs w:val="18"/>
        </w:rPr>
        <w:t>Исп. Петрова Н.Р.</w:t>
      </w:r>
    </w:p>
    <w:p w:rsidR="00A0718F" w:rsidRPr="00A0718F" w:rsidRDefault="00A0718F" w:rsidP="00A0718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718F">
        <w:rPr>
          <w:rFonts w:ascii="Times New Roman" w:hAnsi="Times New Roman"/>
          <w:sz w:val="18"/>
          <w:szCs w:val="18"/>
        </w:rPr>
        <w:t>8(83538)2-12-29</w:t>
      </w:r>
    </w:p>
    <w:p w:rsidR="00A0718F" w:rsidRPr="000965CB" w:rsidRDefault="00A0718F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bookmarkStart w:id="6" w:name="sub_1000"/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 1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к распоряжению</w:t>
      </w:r>
      <w:hyperlink w:anchor="sub_0" w:history="1"/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администрации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Ибресинского муниципального округа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от </w:t>
      </w:r>
      <w:r w:rsidR="003D4E03">
        <w:rPr>
          <w:rStyle w:val="ae"/>
          <w:rFonts w:ascii="Times New Roman" w:hAnsi="Times New Roman"/>
          <w:b w:val="0"/>
          <w:color w:val="auto"/>
          <w:sz w:val="24"/>
          <w:szCs w:val="24"/>
        </w:rPr>
        <w:t>31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>.</w:t>
      </w:r>
      <w:r w:rsidR="00183B18">
        <w:rPr>
          <w:rStyle w:val="ae"/>
          <w:rFonts w:ascii="Times New Roman" w:hAnsi="Times New Roman"/>
          <w:b w:val="0"/>
          <w:color w:val="auto"/>
          <w:sz w:val="24"/>
          <w:szCs w:val="24"/>
        </w:rPr>
        <w:t>0</w:t>
      </w:r>
      <w:r w:rsidR="003D4E03">
        <w:rPr>
          <w:rStyle w:val="ae"/>
          <w:rFonts w:ascii="Times New Roman" w:hAnsi="Times New Roman"/>
          <w:b w:val="0"/>
          <w:color w:val="auto"/>
          <w:sz w:val="24"/>
          <w:szCs w:val="24"/>
        </w:rPr>
        <w:t>1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>.202</w:t>
      </w:r>
      <w:r w:rsidR="003D4E03">
        <w:rPr>
          <w:rStyle w:val="ae"/>
          <w:rFonts w:ascii="Times New Roman" w:hAnsi="Times New Roman"/>
          <w:b w:val="0"/>
          <w:color w:val="auto"/>
          <w:sz w:val="24"/>
          <w:szCs w:val="24"/>
        </w:rPr>
        <w:t>5</w:t>
      </w:r>
      <w:r w:rsidR="00183B18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 w:rsidR="003D4E03">
        <w:rPr>
          <w:rStyle w:val="ae"/>
          <w:rFonts w:ascii="Times New Roman" w:hAnsi="Times New Roman"/>
          <w:b w:val="0"/>
          <w:color w:val="auto"/>
          <w:sz w:val="24"/>
          <w:szCs w:val="24"/>
        </w:rPr>
        <w:t>47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>-р</w:t>
      </w:r>
    </w:p>
    <w:bookmarkEnd w:id="6"/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pStyle w:val="1"/>
        <w:spacing w:after="0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0965CB">
        <w:rPr>
          <w:rFonts w:ascii="Times New Roman" w:hAnsi="Times New Roman" w:cs="Times New Roman"/>
          <w:color w:val="auto"/>
          <w:sz w:val="24"/>
          <w:szCs w:val="24"/>
        </w:rPr>
        <w:t>Ключевые показатели</w:t>
      </w:r>
      <w:r w:rsidRPr="000965CB">
        <w:rPr>
          <w:rFonts w:ascii="Times New Roman" w:hAnsi="Times New Roman" w:cs="Times New Roman"/>
          <w:color w:val="auto"/>
          <w:sz w:val="24"/>
          <w:szCs w:val="24"/>
        </w:rPr>
        <w:br/>
        <w:t xml:space="preserve">эффективности функционирования антимонопольного </w:t>
      </w:r>
      <w:proofErr w:type="spellStart"/>
      <w:r w:rsidRPr="000965CB">
        <w:rPr>
          <w:rFonts w:ascii="Times New Roman" w:hAnsi="Times New Roman" w:cs="Times New Roman"/>
          <w:color w:val="auto"/>
          <w:sz w:val="24"/>
          <w:szCs w:val="24"/>
        </w:rPr>
        <w:t>комплаенса</w:t>
      </w:r>
      <w:proofErr w:type="spellEnd"/>
      <w:r w:rsidRPr="000965CB">
        <w:rPr>
          <w:rFonts w:ascii="Times New Roman" w:hAnsi="Times New Roman" w:cs="Times New Roman"/>
          <w:color w:val="auto"/>
          <w:sz w:val="24"/>
          <w:szCs w:val="24"/>
        </w:rPr>
        <w:t xml:space="preserve"> в администрации Ибресинского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  <w:r w:rsidRPr="000965CB">
        <w:rPr>
          <w:rFonts w:ascii="Times New Roman" w:hAnsi="Times New Roman" w:cs="Times New Roman"/>
          <w:color w:val="auto"/>
          <w:sz w:val="24"/>
          <w:szCs w:val="24"/>
        </w:rPr>
        <w:t xml:space="preserve"> Чувашской Республики на 202</w:t>
      </w:r>
      <w:r w:rsidR="003D4E0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0965CB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8C001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65CB">
        <w:rPr>
          <w:rFonts w:ascii="Times New Roman" w:hAnsi="Times New Roman" w:cs="Times New Roman"/>
          <w:color w:val="auto"/>
          <w:sz w:val="24"/>
          <w:szCs w:val="24"/>
        </w:rPr>
        <w:t xml:space="preserve">Ключевые показатели эффективности функционирования антимонопольного </w:t>
      </w:r>
      <w:proofErr w:type="spellStart"/>
      <w:r w:rsidRPr="000965CB">
        <w:rPr>
          <w:rFonts w:ascii="Times New Roman" w:hAnsi="Times New Roman" w:cs="Times New Roman"/>
          <w:color w:val="auto"/>
          <w:sz w:val="24"/>
          <w:szCs w:val="24"/>
        </w:rPr>
        <w:t>комплаенс</w:t>
      </w:r>
      <w:r w:rsidR="00534377">
        <w:rPr>
          <w:rFonts w:ascii="Times New Roman" w:hAnsi="Times New Roman" w:cs="Times New Roman"/>
          <w:color w:val="auto"/>
          <w:sz w:val="24"/>
          <w:szCs w:val="24"/>
        </w:rPr>
        <w:t>а</w:t>
      </w:r>
      <w:proofErr w:type="spellEnd"/>
      <w:r w:rsidR="00534377">
        <w:rPr>
          <w:rFonts w:ascii="Times New Roman" w:hAnsi="Times New Roman" w:cs="Times New Roman"/>
          <w:color w:val="auto"/>
          <w:sz w:val="24"/>
          <w:szCs w:val="24"/>
        </w:rPr>
        <w:t xml:space="preserve"> в администрации Ибресинского муниципального округа</w:t>
      </w:r>
      <w:r w:rsidRPr="000965CB">
        <w:rPr>
          <w:rFonts w:ascii="Times New Roman" w:hAnsi="Times New Roman" w:cs="Times New Roman"/>
          <w:color w:val="auto"/>
          <w:sz w:val="24"/>
          <w:szCs w:val="24"/>
        </w:rPr>
        <w:t xml:space="preserve"> Чувашской Республики на 202</w:t>
      </w:r>
      <w:r w:rsidR="003D4E0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0965CB">
        <w:rPr>
          <w:rFonts w:ascii="Times New Roman" w:hAnsi="Times New Roman" w:cs="Times New Roman"/>
          <w:color w:val="auto"/>
          <w:sz w:val="24"/>
          <w:szCs w:val="24"/>
        </w:rPr>
        <w:t xml:space="preserve"> год:</w:t>
      </w:r>
      <w:r w:rsidRPr="000965CB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8C0011" w:rsidRPr="00E2290B" w:rsidRDefault="008C0011" w:rsidP="008C0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2290B">
        <w:rPr>
          <w:rFonts w:ascii="Times New Roman" w:eastAsia="Times New Roman" w:hAnsi="Times New Roman"/>
          <w:sz w:val="23"/>
          <w:szCs w:val="23"/>
        </w:rPr>
        <w:t xml:space="preserve">коэффициент снижения количества нарушений антимонопольного законодательства со стороны </w:t>
      </w:r>
      <w:r w:rsidRPr="00AA3405">
        <w:rPr>
          <w:rFonts w:ascii="Times New Roman" w:eastAsia="Times New Roman" w:hAnsi="Times New Roman"/>
          <w:sz w:val="24"/>
          <w:szCs w:val="24"/>
        </w:rPr>
        <w:t>администрации Ибресинского муниципального округа Чувашской Республики</w:t>
      </w:r>
      <w:r w:rsidRPr="00AA3405">
        <w:rPr>
          <w:rFonts w:ascii="Times New Roman" w:eastAsia="Times New Roman" w:hAnsi="Times New Roman"/>
          <w:sz w:val="23"/>
          <w:szCs w:val="23"/>
        </w:rPr>
        <w:t xml:space="preserve"> </w:t>
      </w:r>
      <w:r w:rsidRPr="00E2290B">
        <w:rPr>
          <w:rFonts w:ascii="Times New Roman" w:eastAsia="Times New Roman" w:hAnsi="Times New Roman"/>
          <w:sz w:val="23"/>
          <w:szCs w:val="23"/>
        </w:rPr>
        <w:t>за последние три года;</w:t>
      </w:r>
    </w:p>
    <w:p w:rsidR="008C0011" w:rsidRPr="00E2290B" w:rsidRDefault="008C0011" w:rsidP="008C0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E2290B">
        <w:rPr>
          <w:rFonts w:ascii="Times New Roman" w:eastAsia="Times New Roman" w:hAnsi="Times New Roman"/>
          <w:sz w:val="23"/>
          <w:szCs w:val="23"/>
        </w:rPr>
        <w:t xml:space="preserve">б) коэффициент </w:t>
      </w:r>
      <w:proofErr w:type="gramStart"/>
      <w:r w:rsidRPr="00E2290B">
        <w:rPr>
          <w:rFonts w:ascii="Times New Roman" w:eastAsia="Times New Roman" w:hAnsi="Times New Roman"/>
          <w:sz w:val="23"/>
          <w:szCs w:val="23"/>
        </w:rPr>
        <w:t>эффективности выявления рисков нарушения антимонопольного законодательства</w:t>
      </w:r>
      <w:proofErr w:type="gramEnd"/>
      <w:r w:rsidRPr="00E2290B">
        <w:rPr>
          <w:rFonts w:ascii="Times New Roman" w:eastAsia="Times New Roman" w:hAnsi="Times New Roman"/>
          <w:sz w:val="23"/>
          <w:szCs w:val="23"/>
        </w:rPr>
        <w:t xml:space="preserve"> в проектах нормативных правовых актов </w:t>
      </w:r>
      <w:r w:rsidRPr="00AA3405">
        <w:rPr>
          <w:rFonts w:ascii="Times New Roman" w:eastAsia="Times New Roman" w:hAnsi="Times New Roman"/>
          <w:sz w:val="24"/>
          <w:szCs w:val="24"/>
        </w:rPr>
        <w:t>администрации Ибресинского муниципального округа Чувашской Республики</w:t>
      </w:r>
      <w:r w:rsidRPr="00E2290B">
        <w:rPr>
          <w:rFonts w:ascii="Times New Roman" w:eastAsia="Times New Roman" w:hAnsi="Times New Roman"/>
          <w:sz w:val="23"/>
          <w:szCs w:val="23"/>
        </w:rPr>
        <w:t>;</w:t>
      </w:r>
    </w:p>
    <w:p w:rsidR="008C0011" w:rsidRPr="00E2290B" w:rsidRDefault="008C0011" w:rsidP="008C0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E2290B">
        <w:rPr>
          <w:rFonts w:ascii="Times New Roman" w:eastAsia="Times New Roman" w:hAnsi="Times New Roman"/>
          <w:sz w:val="23"/>
          <w:szCs w:val="23"/>
        </w:rPr>
        <w:t xml:space="preserve">в) коэффициент эффективности выявления нарушений антимонопольного законодательства в нормативных правовых актах </w:t>
      </w:r>
      <w:r w:rsidRPr="00AA3405">
        <w:rPr>
          <w:rFonts w:ascii="Times New Roman" w:eastAsia="Times New Roman" w:hAnsi="Times New Roman"/>
          <w:sz w:val="24"/>
          <w:szCs w:val="24"/>
        </w:rPr>
        <w:t>администрации Ибресинского муниципального округа Чувашской Республики</w:t>
      </w:r>
      <w:r w:rsidRPr="00E2290B">
        <w:rPr>
          <w:rFonts w:ascii="Times New Roman" w:eastAsia="Times New Roman" w:hAnsi="Times New Roman"/>
          <w:sz w:val="23"/>
          <w:szCs w:val="23"/>
        </w:rPr>
        <w:t>.</w:t>
      </w:r>
    </w:p>
    <w:p w:rsidR="000965CB" w:rsidRPr="00AA3405" w:rsidRDefault="008C0011" w:rsidP="008C001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C0011">
        <w:rPr>
          <w:rFonts w:ascii="Times New Roman" w:hAnsi="Times New Roman"/>
          <w:color w:val="000000" w:themeColor="text1"/>
          <w:sz w:val="24"/>
          <w:szCs w:val="24"/>
        </w:rPr>
        <w:t>г)</w:t>
      </w:r>
      <w:r w:rsidRPr="008C0011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7F03F9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доля сотрудников </w:t>
      </w:r>
      <w:r w:rsidRPr="007F03F9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7F03F9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7F03F9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7F03F9">
        <w:rPr>
          <w:rFonts w:ascii="Times New Roman" w:eastAsia="Times New Roman" w:hAnsi="Times New Roman"/>
          <w:color w:val="000000" w:themeColor="text1"/>
          <w:sz w:val="23"/>
          <w:szCs w:val="23"/>
        </w:rPr>
        <w:t>.</w:t>
      </w:r>
    </w:p>
    <w:p w:rsidR="000965CB" w:rsidRPr="000965CB" w:rsidRDefault="000965CB" w:rsidP="008C0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8C001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C0011" w:rsidRDefault="008C0011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C0011" w:rsidRDefault="008C0011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4377" w:rsidRPr="000965CB" w:rsidRDefault="00534377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bookmarkStart w:id="7" w:name="sub_2000"/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 2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0" w:history="1">
        <w:r w:rsidRPr="000965CB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постановлению</w:t>
        </w:r>
      </w:hyperlink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администрации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Ибресинского </w:t>
      </w:r>
      <w:r w:rsidR="00534377"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от </w:t>
      </w:r>
      <w:r w:rsidR="003D4E03">
        <w:rPr>
          <w:rStyle w:val="ae"/>
          <w:rFonts w:ascii="Times New Roman" w:hAnsi="Times New Roman"/>
          <w:b w:val="0"/>
          <w:color w:val="auto"/>
          <w:sz w:val="24"/>
          <w:szCs w:val="24"/>
        </w:rPr>
        <w:t>31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>.0</w:t>
      </w:r>
      <w:r w:rsidR="003D4E03">
        <w:rPr>
          <w:rStyle w:val="ae"/>
          <w:rFonts w:ascii="Times New Roman" w:hAnsi="Times New Roman"/>
          <w:b w:val="0"/>
          <w:color w:val="auto"/>
          <w:sz w:val="24"/>
          <w:szCs w:val="24"/>
        </w:rPr>
        <w:t>1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>.202</w:t>
      </w:r>
      <w:r w:rsidR="003D4E03">
        <w:rPr>
          <w:rStyle w:val="ae"/>
          <w:rFonts w:ascii="Times New Roman" w:hAnsi="Times New Roman"/>
          <w:b w:val="0"/>
          <w:color w:val="auto"/>
          <w:sz w:val="24"/>
          <w:szCs w:val="24"/>
        </w:rPr>
        <w:t>5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34377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№ 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> </w:t>
      </w:r>
      <w:r w:rsidR="003D4E03">
        <w:rPr>
          <w:rStyle w:val="ae"/>
          <w:rFonts w:ascii="Times New Roman" w:hAnsi="Times New Roman"/>
          <w:b w:val="0"/>
          <w:color w:val="auto"/>
          <w:sz w:val="24"/>
          <w:szCs w:val="24"/>
        </w:rPr>
        <w:t>47</w:t>
      </w:r>
      <w:r w:rsidR="00183B18">
        <w:rPr>
          <w:rStyle w:val="ae"/>
          <w:rFonts w:ascii="Times New Roman" w:hAnsi="Times New Roman"/>
          <w:b w:val="0"/>
          <w:color w:val="auto"/>
          <w:sz w:val="24"/>
          <w:szCs w:val="24"/>
        </w:rPr>
        <w:t>-</w:t>
      </w:r>
      <w:r w:rsidR="00534377">
        <w:rPr>
          <w:rStyle w:val="ae"/>
          <w:rFonts w:ascii="Times New Roman" w:hAnsi="Times New Roman"/>
          <w:b w:val="0"/>
          <w:color w:val="auto"/>
          <w:sz w:val="24"/>
          <w:szCs w:val="24"/>
        </w:rPr>
        <w:t>р</w:t>
      </w:r>
    </w:p>
    <w:bookmarkEnd w:id="7"/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534377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</w:p>
    <w:p w:rsidR="00534377" w:rsidRPr="00534377" w:rsidRDefault="000965CB" w:rsidP="00534377">
      <w:pPr>
        <w:pStyle w:val="1"/>
        <w:spacing w:before="0" w:after="0"/>
        <w:ind w:firstLine="85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4377">
        <w:rPr>
          <w:rFonts w:ascii="Times New Roman" w:hAnsi="Times New Roman" w:cs="Times New Roman"/>
          <w:b/>
          <w:color w:val="auto"/>
          <w:sz w:val="24"/>
          <w:szCs w:val="24"/>
        </w:rPr>
        <w:t>Методика</w:t>
      </w:r>
      <w:r w:rsidRPr="00534377"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расчета ключевых показателей эффективности функционирования </w:t>
      </w:r>
    </w:p>
    <w:p w:rsidR="000965CB" w:rsidRPr="00534377" w:rsidRDefault="000965CB" w:rsidP="00534377">
      <w:pPr>
        <w:pStyle w:val="1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437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администрации Ибресинского </w:t>
      </w:r>
      <w:r w:rsidR="00534377" w:rsidRPr="00534377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округа</w:t>
      </w:r>
      <w:r w:rsidRPr="0053437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Чувашской Республики антимонопольного </w:t>
      </w:r>
      <w:proofErr w:type="spellStart"/>
      <w:r w:rsidRPr="00534377">
        <w:rPr>
          <w:rFonts w:ascii="Times New Roman" w:hAnsi="Times New Roman" w:cs="Times New Roman"/>
          <w:b/>
          <w:color w:val="auto"/>
          <w:sz w:val="24"/>
          <w:szCs w:val="24"/>
        </w:rPr>
        <w:t>комплаенса</w:t>
      </w:r>
      <w:proofErr w:type="spellEnd"/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EC1B6E" w:rsidRDefault="000965CB" w:rsidP="00534377">
      <w:pPr>
        <w:pStyle w:val="1"/>
        <w:spacing w:before="0" w:after="0"/>
        <w:ind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sub_10"/>
      <w:r w:rsidRPr="00EC1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Общие положения</w:t>
      </w:r>
    </w:p>
    <w:bookmarkEnd w:id="8"/>
    <w:p w:rsidR="000965CB" w:rsidRPr="00EC1B6E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5CB" w:rsidRPr="00EC1B6E" w:rsidRDefault="000965CB" w:rsidP="00534377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9" w:name="sub_111"/>
      <w:r w:rsidRPr="00EC1B6E">
        <w:rPr>
          <w:rFonts w:ascii="Times New Roman" w:hAnsi="Times New Roman"/>
          <w:color w:val="000000" w:themeColor="text1"/>
          <w:sz w:val="24"/>
          <w:szCs w:val="24"/>
        </w:rPr>
        <w:tab/>
        <w:t xml:space="preserve">1.1. </w:t>
      </w:r>
      <w:proofErr w:type="gramStart"/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Методика расчета ключевых показателей эффективности функционирования в администрации Ибресинского </w:t>
      </w:r>
      <w:r w:rsidR="00534377" w:rsidRPr="00EC1B6E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 антимонопольного </w:t>
      </w:r>
      <w:proofErr w:type="spellStart"/>
      <w:r w:rsidRPr="00EC1B6E">
        <w:rPr>
          <w:rFonts w:ascii="Times New Roman" w:hAnsi="Times New Roman"/>
          <w:color w:val="000000" w:themeColor="text1"/>
          <w:sz w:val="24"/>
          <w:szCs w:val="24"/>
        </w:rPr>
        <w:t>комплаенса</w:t>
      </w:r>
      <w:proofErr w:type="spellEnd"/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(далее - Методика) разработана администрацией Ибресинского </w:t>
      </w:r>
      <w:r w:rsidR="00534377" w:rsidRPr="00EC1B6E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 в соответствии с </w:t>
      </w:r>
      <w:hyperlink r:id="rId12" w:history="1">
        <w:r w:rsidRPr="00EC1B6E">
          <w:rPr>
            <w:rFonts w:ascii="Times New Roman" w:hAnsi="Times New Roman"/>
            <w:color w:val="000000" w:themeColor="text1"/>
            <w:sz w:val="24"/>
            <w:szCs w:val="24"/>
          </w:rPr>
          <w:t>разделом VI</w:t>
        </w:r>
      </w:hyperlink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Положения об организации в администрации Ибресинского </w:t>
      </w:r>
      <w:r w:rsidR="00534377" w:rsidRPr="00EC1B6E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C1B6E">
        <w:rPr>
          <w:rFonts w:ascii="Times New Roman" w:hAnsi="Times New Roman"/>
          <w:color w:val="000000" w:themeColor="text1"/>
          <w:sz w:val="24"/>
          <w:szCs w:val="24"/>
        </w:rPr>
        <w:t>комплаенса</w:t>
      </w:r>
      <w:proofErr w:type="spellEnd"/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), утвержденного </w:t>
      </w:r>
      <w:hyperlink r:id="rId13" w:history="1">
        <w:r w:rsidRPr="00EC1B6E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Ибресинского района Чувашской Республики от </w:t>
      </w:r>
      <w:r w:rsidR="00280687" w:rsidRPr="00EC1B6E">
        <w:rPr>
          <w:rFonts w:ascii="Times New Roman" w:hAnsi="Times New Roman"/>
          <w:color w:val="000000" w:themeColor="text1"/>
          <w:sz w:val="24"/>
          <w:szCs w:val="24"/>
        </w:rPr>
        <w:t>13.02</w:t>
      </w:r>
      <w:r w:rsidR="00534377" w:rsidRPr="00EC1B6E">
        <w:rPr>
          <w:rFonts w:ascii="Times New Roman" w:hAnsi="Times New Roman"/>
          <w:color w:val="000000" w:themeColor="text1"/>
          <w:sz w:val="24"/>
          <w:szCs w:val="24"/>
        </w:rPr>
        <w:t>.2023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  </w:t>
      </w:r>
      <w:r w:rsidR="00534377"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280687" w:rsidRPr="00EC1B6E">
        <w:rPr>
          <w:rFonts w:ascii="Times New Roman" w:hAnsi="Times New Roman"/>
          <w:color w:val="000000" w:themeColor="text1"/>
          <w:sz w:val="24"/>
          <w:szCs w:val="24"/>
        </w:rPr>
        <w:t>130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(далее - постановление</w:t>
      </w:r>
      <w:proofErr w:type="gramEnd"/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280687"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от 13.02.2023 </w:t>
      </w:r>
      <w:r w:rsidR="00534377"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280687" w:rsidRPr="00EC1B6E">
        <w:rPr>
          <w:rFonts w:ascii="Times New Roman" w:hAnsi="Times New Roman"/>
          <w:color w:val="000000" w:themeColor="text1"/>
          <w:sz w:val="24"/>
          <w:szCs w:val="24"/>
        </w:rPr>
        <w:t>130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), с учетом </w:t>
      </w:r>
      <w:hyperlink r:id="rId14" w:history="1">
        <w:r w:rsidRPr="00EC1B6E">
          <w:rPr>
            <w:rFonts w:ascii="Times New Roman" w:hAnsi="Times New Roman"/>
            <w:bCs/>
            <w:color w:val="000000" w:themeColor="text1"/>
            <w:sz w:val="24"/>
            <w:szCs w:val="24"/>
          </w:rPr>
          <w:t>методических рекомендаций</w:t>
        </w:r>
      </w:hyperlink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утвержденного </w:t>
      </w:r>
      <w:hyperlink r:id="rId15" w:history="1">
        <w:r w:rsidRPr="00EC1B6E">
          <w:rPr>
            <w:rFonts w:ascii="Times New Roman" w:hAnsi="Times New Roman"/>
            <w:bCs/>
            <w:color w:val="000000" w:themeColor="text1"/>
            <w:sz w:val="24"/>
            <w:szCs w:val="24"/>
          </w:rPr>
          <w:t>распоряжением</w:t>
        </w:r>
      </w:hyperlink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</w:t>
      </w:r>
      <w:r w:rsidR="008A61C5" w:rsidRPr="00EC1B6E">
        <w:rPr>
          <w:rFonts w:ascii="Times New Roman" w:hAnsi="Times New Roman"/>
          <w:color w:val="000000" w:themeColor="text1"/>
          <w:sz w:val="24"/>
          <w:szCs w:val="24"/>
        </w:rPr>
        <w:t>йской Федерации от 18.10.2018  №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 2258-р, </w:t>
      </w:r>
      <w:hyperlink r:id="rId16" w:history="1">
        <w:r w:rsidRPr="00EC1B6E">
          <w:rPr>
            <w:rFonts w:ascii="Times New Roman" w:hAnsi="Times New Roman"/>
            <w:bCs/>
            <w:color w:val="000000" w:themeColor="text1"/>
            <w:sz w:val="24"/>
            <w:szCs w:val="24"/>
          </w:rPr>
          <w:t>приказа</w:t>
        </w:r>
      </w:hyperlink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ФАС России от </w:t>
      </w:r>
      <w:r w:rsidR="00AA3405" w:rsidRPr="00EC1B6E">
        <w:rPr>
          <w:rFonts w:ascii="Times New Roman" w:hAnsi="Times New Roman"/>
          <w:color w:val="000000" w:themeColor="text1"/>
          <w:sz w:val="24"/>
          <w:szCs w:val="24"/>
        </w:rPr>
        <w:t>27.12.2022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61C5" w:rsidRPr="00EC1B6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> 1</w:t>
      </w:r>
      <w:r w:rsidR="00AA3405" w:rsidRPr="00EC1B6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A3405" w:rsidRPr="00EC1B6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AA3405" w:rsidRPr="00EC1B6E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"Об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EC1B6E">
        <w:rPr>
          <w:rFonts w:ascii="Times New Roman" w:hAnsi="Times New Roman"/>
          <w:color w:val="000000" w:themeColor="text1"/>
          <w:sz w:val="24"/>
          <w:szCs w:val="24"/>
        </w:rPr>
        <w:t>комплаенса</w:t>
      </w:r>
      <w:proofErr w:type="spellEnd"/>
      <w:r w:rsidRPr="00EC1B6E">
        <w:rPr>
          <w:rFonts w:ascii="Times New Roman" w:hAnsi="Times New Roman"/>
          <w:color w:val="000000" w:themeColor="text1"/>
          <w:sz w:val="24"/>
          <w:szCs w:val="24"/>
        </w:rPr>
        <w:t>".</w:t>
      </w:r>
      <w:proofErr w:type="gramEnd"/>
    </w:p>
    <w:p w:rsidR="000965CB" w:rsidRPr="00EC1B6E" w:rsidRDefault="000965CB" w:rsidP="00534377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0" w:name="sub_112"/>
      <w:bookmarkEnd w:id="9"/>
      <w:r w:rsidRPr="00EC1B6E">
        <w:rPr>
          <w:rFonts w:ascii="Times New Roman" w:hAnsi="Times New Roman"/>
          <w:color w:val="000000" w:themeColor="text1"/>
          <w:sz w:val="24"/>
          <w:szCs w:val="24"/>
        </w:rPr>
        <w:tab/>
        <w:t xml:space="preserve">1.2. В целях оценки эффективности функционирования в администрации Ибресинского </w:t>
      </w:r>
      <w:r w:rsidR="008A61C5" w:rsidRPr="00EC1B6E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 антимонопольного </w:t>
      </w:r>
      <w:proofErr w:type="spellStart"/>
      <w:r w:rsidRPr="00EC1B6E">
        <w:rPr>
          <w:rFonts w:ascii="Times New Roman" w:hAnsi="Times New Roman"/>
          <w:color w:val="000000" w:themeColor="text1"/>
          <w:sz w:val="24"/>
          <w:szCs w:val="24"/>
        </w:rPr>
        <w:t>комплаенса</w:t>
      </w:r>
      <w:proofErr w:type="spellEnd"/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</w:t>
      </w:r>
      <w:hyperlink r:id="rId17" w:history="1">
        <w:r w:rsidRPr="00EC1B6E">
          <w:rPr>
            <w:rFonts w:ascii="Times New Roman" w:hAnsi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280687" w:rsidRPr="00EC1B6E">
        <w:rPr>
          <w:rFonts w:ascii="Times New Roman" w:hAnsi="Times New Roman"/>
          <w:color w:val="000000" w:themeColor="text1"/>
          <w:sz w:val="24"/>
          <w:szCs w:val="24"/>
        </w:rPr>
        <w:t>13.02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8A61C5" w:rsidRPr="00EC1B6E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  </w:t>
      </w:r>
      <w:r w:rsidR="008A61C5"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280687" w:rsidRPr="00EC1B6E">
        <w:rPr>
          <w:rFonts w:ascii="Times New Roman" w:hAnsi="Times New Roman"/>
          <w:color w:val="000000" w:themeColor="text1"/>
          <w:sz w:val="24"/>
          <w:szCs w:val="24"/>
        </w:rPr>
        <w:t>130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рассчитываются ключевые показатели эффективности антимонопольного </w:t>
      </w:r>
      <w:proofErr w:type="spellStart"/>
      <w:r w:rsidRPr="00EC1B6E">
        <w:rPr>
          <w:rFonts w:ascii="Times New Roman" w:hAnsi="Times New Roman"/>
          <w:color w:val="000000" w:themeColor="text1"/>
          <w:sz w:val="24"/>
          <w:szCs w:val="24"/>
        </w:rPr>
        <w:t>комплаенса</w:t>
      </w:r>
      <w:proofErr w:type="spellEnd"/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(далее - КПЭ) для администрации Ибресинского </w:t>
      </w:r>
      <w:r w:rsidR="008A61C5" w:rsidRPr="00EC1B6E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Республики.</w:t>
      </w:r>
    </w:p>
    <w:bookmarkEnd w:id="10"/>
    <w:p w:rsidR="000965CB" w:rsidRPr="00EC1B6E" w:rsidRDefault="000965CB" w:rsidP="00534377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3405" w:rsidRPr="00EC1B6E" w:rsidRDefault="00AA3405" w:rsidP="00AA34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II. Методика расчета КПЭ для администрации Ибресинского муниципального округа Чувашской Республики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2.1. КПЭ для </w:t>
      </w:r>
      <w:r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являются: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а) коэффициент снижения количества нарушений антимонопольного законодательства со стороны </w:t>
      </w:r>
      <w:r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за последние три года;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б) коэффициент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эффективности выявления рисков нарушения антимонопольного законодательства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в проектах нормативных правовых актов </w:t>
      </w:r>
      <w:r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в) коэффициент эффективности выявления нарушений антимонопольного законодательства в нормативных правовых актах </w:t>
      </w:r>
      <w:r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2.2. Коэффициент снижения количества нарушений антимонопольного законодательства со стороны </w:t>
      </w:r>
      <w:r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за последние три года рассчитывается по формуле:</w:t>
      </w:r>
    </w:p>
    <w:p w:rsidR="00AA3405" w:rsidRPr="00EC1B6E" w:rsidRDefault="00AA3405" w:rsidP="00E809C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lastRenderedPageBreak/>
        <w:t>, где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КСН - коэффициент снижения количества нарушений антимонопольного законодательства со стороны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КНП - количество нарушений антимонопольного законодательства со стороны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допущенных в отчетном периоде три года ранее;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КНоп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количество нарушений антимонопольного законодательства со стороны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F57AA2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в отчетном периоде, за который рассчитывается ключевой показатель.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Для целей расчета под отчетным периодом понимается календарный год.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В случае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если нарушений не допускалось, для целей расчета в соответствующем числителе или знаменателе вместо значения показателя "0" следует использовать значение показателя "0,1".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При расчете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показателя снижения количества нарушений антимонопольного законодательства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со стороны федерального органа исполнительной власти под нарушением антимонопольного законодательства со стороны федерального органа исполнительной власти понимаются: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- решения по делу о нарушении антимонопольного законодательства, принятые антимонопольным органом в отношении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- выданные антимонопольным органом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F57AA2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- направленные антимонопольным органом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F57AA2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2.3. Коэффициент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эффективности выявления рисков нарушения антимонопольного законодательства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в проектах нормативных правовых актов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рассчитывается по формуле:</w:t>
      </w:r>
    </w:p>
    <w:p w:rsidR="00AA3405" w:rsidRPr="00EC1B6E" w:rsidRDefault="00AA3405" w:rsidP="00E809CC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где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Кэпнпа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коэффициент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эффективности выявления рисков нарушения антимонопольного законодательства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в проектах нормативных правовых актов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Кпнпа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количество проектов нормативных правовых актов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Кноп - количество проектов нормативных правовых актов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В случае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если за отчетный период в проектах актов антимонопольным органом или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администрацией Ибресинского муниципального округа Чувашской Республики</w:t>
      </w:r>
      <w:r w:rsidR="00F57AA2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lastRenderedPageBreak/>
        <w:t xml:space="preserve">2.4. Коэффициент эффективности выявления нарушений антимонопольного законодательства в нормативных правовых актах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F57AA2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рассчитывается по формуле:</w:t>
      </w:r>
    </w:p>
    <w:p w:rsidR="00AA3405" w:rsidRPr="00EC1B6E" w:rsidRDefault="00AA3405" w:rsidP="00667B4F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где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Кэнпа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коэффициент эффективности выявления нарушении антимонопольного законодательства в нормативных правовых актах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Кнпа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количество нормативных правовых актов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КНоп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количество нормативных правовых актов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в которых антимонопольным органом выявлены нарушения антимонопольного законодательства (в отчетном периоде),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В случае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если за отчетный период нормативные правовые акты, нарушающие антимонопольное законодательство, антимонопольным органом или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администрацией Ибресинского муниципального округа Чувашской Республики</w:t>
      </w:r>
      <w:r w:rsidR="00F57AA2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016A6C" w:rsidRPr="00EC1B6E" w:rsidRDefault="00016A6C" w:rsidP="0001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III. Методика расчета КПЭ для уполномоченного подразделения (должностного лица)</w:t>
      </w:r>
      <w:r w:rsidR="00F57AA2"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администрации Ибресинского муниципального округа Чувашской Республики</w:t>
      </w:r>
    </w:p>
    <w:p w:rsidR="00E67008" w:rsidRPr="00EC1B6E" w:rsidRDefault="00E67008" w:rsidP="00E670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3.1. Для уполномоченного подразделения (должностного лица)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F57AA2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рассчитывается КПЭ - доля сотрудников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3.2. Доля сотрудников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рассчитывается по формуле:</w:t>
      </w:r>
    </w:p>
    <w:p w:rsidR="00AA3405" w:rsidRPr="00EC1B6E" w:rsidRDefault="00AA3405" w:rsidP="00667B4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где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ДСо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доля сотрудников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КСо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количество сотрудников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КСобщ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общее количество сотрудников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016A6C" w:rsidRPr="00EC1B6E" w:rsidRDefault="00016A6C" w:rsidP="00E670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AA3405" w:rsidRPr="00EC1B6E" w:rsidRDefault="00AA3405" w:rsidP="00016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IV. Оценка значений КПЭ для </w:t>
      </w:r>
      <w:r w:rsidR="00F57AA2"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администрации Ибресинского муниципального округа Чувашской Республики </w:t>
      </w:r>
      <w:r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и КПЗ для уполномоченного подразделения (должностного лица)</w:t>
      </w:r>
      <w:r w:rsidR="007F03F9"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администрации Ибресинского муниципального округа Чувашской Республики</w:t>
      </w:r>
    </w:p>
    <w:p w:rsidR="007F03F9" w:rsidRPr="00EC1B6E" w:rsidRDefault="007F03F9" w:rsidP="007F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lastRenderedPageBreak/>
        <w:t xml:space="preserve">4.1. Оценка значений КПЭ "коэффициент снижения количества нарушений антимонопольного законодательства со стороны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за последние три года".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Ключевой показатель "коэффициент снижения количества нарушений антимонопольного законодательства со стороны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за последние три года" определяется в рамках анализа выявленных нарушений антимонопольного законодательства в деятельности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за предыдущие три года (наличие предостережений, предупреждений, штрафов, жалоб, возбужденных дел), проводимого в соответствии с </w:t>
      </w:r>
      <w:hyperlink r:id="rId18" w:anchor="/document/72084212/entry/1151" w:history="1">
        <w:r w:rsidRPr="00EC1B6E">
          <w:rPr>
            <w:rFonts w:ascii="Times New Roman" w:eastAsia="Times New Roman" w:hAnsi="Times New Roman"/>
            <w:color w:val="000000" w:themeColor="text1"/>
            <w:sz w:val="23"/>
          </w:rPr>
          <w:t>подпунктом "а" пункта 15</w:t>
        </w:r>
      </w:hyperlink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 Методических рекомендаций.</w:t>
      </w:r>
      <w:proofErr w:type="gramEnd"/>
    </w:p>
    <w:p w:rsidR="00E67008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Ежегодная оценка значения КПЭ "показатель снижения количества нарушений антимонопольного законодательства со стороны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за последние три года" призвана обеспечить понимание эффективности функционирования антимонопольного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комплаенса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в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администрации Ибресинского муниципального округа Чувашской </w:t>
      </w:r>
      <w:proofErr w:type="gramStart"/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Республики</w:t>
      </w:r>
      <w:proofErr w:type="gramEnd"/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и служит одним 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з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ключевых факторов для определения областей деятельности, содержащих высокие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-риски.</w:t>
      </w:r>
      <w:r w:rsidR="00E67008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</w:p>
    <w:p w:rsidR="00E67008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Целевое значение коэффициента определяется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администрацией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самостоятельно. При этом следует учитывать, что в случае, если количество нарушений в отчетном периоде по сравнению с аналогичным периодом три года ранее снизилось, ключевой показатель "коэффициент снижения количества нарушений антимонопольного законодательства со стороны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за последние три года" должен превышать значение "1".</w:t>
      </w:r>
      <w:r w:rsidR="00E67008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</w:p>
    <w:p w:rsidR="00E67008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Показатель снижения количества нарушений антимонопольного законодательства со стороны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за последние три года должен учитываться при составлении карты рисков и "дорожной карты" по устранению выявленных рисков.</w:t>
      </w:r>
      <w:r w:rsidR="00E67008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</w:p>
    <w:p w:rsidR="00E67008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4.2. Оценка значений КПЭ "коэффициент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эффективности выявления рисков нарушения антимонопольного законодательства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в проектах нормативных правовых актов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" и "коэффициент эффективности выявления нарушений антимонопольного законодательства в нормативных правовых актах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".</w:t>
      </w:r>
      <w:r w:rsidR="00E67008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</w:p>
    <w:p w:rsidR="00E67008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Оценка вышеуказанных значений КПЭ направлена на оценку эффективности мероприятий антимонопольного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комплаенса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предусмотренных </w:t>
      </w:r>
      <w:hyperlink r:id="rId19" w:anchor="/document/72084212/entry/1152" w:history="1">
        <w:r w:rsidRPr="00EC1B6E">
          <w:rPr>
            <w:rFonts w:ascii="Times New Roman" w:eastAsia="Times New Roman" w:hAnsi="Times New Roman"/>
            <w:color w:val="000000" w:themeColor="text1"/>
            <w:sz w:val="23"/>
          </w:rPr>
          <w:t xml:space="preserve">подпунктами </w:t>
        </w:r>
      </w:hyperlink>
      <w:r w:rsidR="004121A7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3.2.2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 и </w:t>
      </w:r>
      <w:hyperlink r:id="rId20" w:anchor="/document/72084212/entry/1153" w:history="1">
        <w:r w:rsidR="004121A7" w:rsidRPr="00EC1B6E">
          <w:rPr>
            <w:rFonts w:ascii="Times New Roman" w:eastAsia="Times New Roman" w:hAnsi="Times New Roman"/>
            <w:color w:val="000000" w:themeColor="text1"/>
            <w:sz w:val="23"/>
          </w:rPr>
          <w:t xml:space="preserve">3.2.3 пункта </w:t>
        </w:r>
      </w:hyperlink>
      <w:r w:rsidR="004121A7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3.2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 </w:t>
      </w:r>
      <w:r w:rsidR="008C0011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постановления </w:t>
      </w:r>
      <w:r w:rsidR="008C0011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.</w:t>
      </w:r>
      <w:r w:rsidR="00E67008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proofErr w:type="gramEnd"/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При эффективном проведении мероприятий по анализу нормативных правовых актов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и их проектов на предмет выявления заложенных в них рисков нарушения антимонопольного законодательства (то есть при высоком значении числителя) должно наблюдаться уменьшение нормативных правовых актов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в отношении которых антимонопольным органом выявлены нарушения антимонопольного законодательства (то есть низкое значение знаменателя).</w:t>
      </w:r>
      <w:proofErr w:type="gramEnd"/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Таким образом, значение КПЭ будет тем выше, чем эффективней данные мероприятия антимонопольного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комплаенса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будут осуществляться уполномоченным подразделением (должностным лицом)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.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И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 низкие значения КПЭ будут свидетельствовать о низкой эффективности данных мероприятий.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lastRenderedPageBreak/>
        <w:t xml:space="preserve">Целевое значение коэффициента определяется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администрацией Ибресинского муниципального округа Чувашской Республики</w:t>
      </w:r>
      <w:r w:rsidR="00BC2555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самостоятельно.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При этом следует учитывать, что в случае, если количество проектов актов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содержащих риски нарушения антимонопольного законодательства, или актов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нарушающих законодательство, выявленное данным органом, превышает соответствующее количество, выявленное антимонопольным органом, ключевой показатель "коэффициент эффективности выявления рисков нарушения антимонопольного законодательства проектами нормативных правовых актов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proofErr w:type="gramEnd"/>
      <w:r w:rsidR="00BC2555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" или "коэффициент эффективности выявления нарушений антимонопольного законодательства нормативными правовыми актами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BC2555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" должен превышать значение "1".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4.3. Оценка значения КПЭ "сотрудников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".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Консультирование и обучение служащих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BC2555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комплаенсом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отнесено к компетенции уполномоченного подразделения (должностного лица)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BC2555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согласно </w:t>
      </w:r>
      <w:hyperlink r:id="rId21" w:anchor="/document/72084212/entry/1114" w:history="1">
        <w:r w:rsidRPr="00EC1B6E">
          <w:rPr>
            <w:rFonts w:ascii="Times New Roman" w:eastAsia="Times New Roman" w:hAnsi="Times New Roman"/>
            <w:color w:val="000000" w:themeColor="text1"/>
            <w:sz w:val="23"/>
          </w:rPr>
          <w:t>подпункту "г" пункта 11</w:t>
        </w:r>
      </w:hyperlink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 Методических рекомендаций и направлено на профилактику нарушений требований антимонопольного законодательства в деятельности федерального органа исполнительной власти.</w:t>
      </w:r>
      <w:proofErr w:type="gramEnd"/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Расчет данного показателя предусматривает определение сотрудников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. Высокое значение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(числитель), обеспечивает высокое значение КПЭ.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Целевое значение коэффициента определяется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BC2555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самостоятельно.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При этом следует учитывать, что в случае, если общее количество служащих, чьи трудовые (должностные) обязанности предусматривают выполнение функций, связанных с рисками нарушения антимонопольного законодательства, и количество служащих, чьи трудовые (должностные) обязанности предусматривают выполнение функций, связанных с рисками нарушения антимонопольного законодательства, которые прошли обучающие мероприятия по соблюдению антимонопольного законодательства, значение ключевого показателя "доля сотрудников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в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отношении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которых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" будет составлять "1".</w:t>
      </w:r>
    </w:p>
    <w:p w:rsidR="00AA3405" w:rsidRDefault="00AA3405" w:rsidP="00E67008">
      <w:pPr>
        <w:ind w:firstLine="567"/>
        <w:rPr>
          <w:sz w:val="24"/>
          <w:szCs w:val="24"/>
        </w:rPr>
      </w:pPr>
    </w:p>
    <w:sectPr w:rsidR="00AA3405" w:rsidSect="0009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63" w:rsidRDefault="00407F63">
      <w:pPr>
        <w:spacing w:after="0" w:line="240" w:lineRule="auto"/>
      </w:pPr>
      <w:r>
        <w:separator/>
      </w:r>
    </w:p>
  </w:endnote>
  <w:endnote w:type="continuationSeparator" w:id="0">
    <w:p w:rsidR="00407F63" w:rsidRDefault="0040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63" w:rsidRDefault="00407F63">
      <w:pPr>
        <w:spacing w:after="0" w:line="240" w:lineRule="auto"/>
      </w:pPr>
      <w:r>
        <w:separator/>
      </w:r>
    </w:p>
  </w:footnote>
  <w:footnote w:type="continuationSeparator" w:id="0">
    <w:p w:rsidR="00407F63" w:rsidRDefault="00407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4.75pt;height:10.5pt;visibility:visible;mso-wrap-style:square" o:bullet="t">
        <v:imagedata r:id="rId1" o:title="formula"/>
      </v:shape>
    </w:pict>
  </w:numPicBullet>
  <w:numPicBullet w:numPicBulletId="1">
    <w:pict>
      <v:shape id="_x0000_i1039" type="#_x0000_t75" style="width:30.75pt;height:10.5pt;visibility:visible;mso-wrap-style:square" o:bullet="t">
        <v:imagedata r:id="rId2" o:title="formula (1)"/>
      </v:shape>
    </w:pict>
  </w:numPicBullet>
  <w:numPicBullet w:numPicBulletId="2">
    <w:pict>
      <v:shape id="_x0000_i1040" type="#_x0000_t75" style="width:27pt;height:10.5pt;visibility:visible;mso-wrap-style:square" o:bullet="t">
        <v:imagedata r:id="rId3" o:title="formula (2)"/>
      </v:shape>
    </w:pict>
  </w:numPicBullet>
  <w:numPicBullet w:numPicBulletId="3">
    <w:pict>
      <v:shape id="_x0000_i1041" type="#_x0000_t75" style="width:26.25pt;height:10.5pt;visibility:visible;mso-wrap-style:square" o:bullet="t">
        <v:imagedata r:id="rId4" o:title="formula (3)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27BE5327"/>
    <w:multiLevelType w:val="hybridMultilevel"/>
    <w:tmpl w:val="4F1AE928"/>
    <w:lvl w:ilvl="0" w:tplc="55BED97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0"/>
        <w:szCs w:val="70"/>
      </w:rPr>
    </w:lvl>
    <w:lvl w:ilvl="1" w:tplc="2A2A1B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E1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49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6D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5EE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AC1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A0B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703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45562E4"/>
    <w:multiLevelType w:val="hybridMultilevel"/>
    <w:tmpl w:val="E69A5946"/>
    <w:lvl w:ilvl="0" w:tplc="299CCC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5C8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CE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08B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84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E4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0B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32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ED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120E7E"/>
    <w:multiLevelType w:val="hybridMultilevel"/>
    <w:tmpl w:val="B55057F0"/>
    <w:lvl w:ilvl="0" w:tplc="E9A4D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70"/>
        <w:szCs w:val="70"/>
      </w:rPr>
    </w:lvl>
    <w:lvl w:ilvl="1" w:tplc="61627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169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46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A3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EAE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58C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48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28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DEE6FE0"/>
    <w:multiLevelType w:val="hybridMultilevel"/>
    <w:tmpl w:val="5C94F048"/>
    <w:lvl w:ilvl="0" w:tplc="9FD06D7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0"/>
        <w:szCs w:val="70"/>
      </w:rPr>
    </w:lvl>
    <w:lvl w:ilvl="1" w:tplc="61661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A0D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2F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28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CD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14D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8D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5C4A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23D1CE2"/>
    <w:multiLevelType w:val="hybridMultilevel"/>
    <w:tmpl w:val="9A44C02C"/>
    <w:lvl w:ilvl="0" w:tplc="F7DC4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0"/>
        <w:szCs w:val="70"/>
      </w:rPr>
    </w:lvl>
    <w:lvl w:ilvl="1" w:tplc="240E7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03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041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677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9A4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ED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47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2E3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16A6C"/>
    <w:rsid w:val="0002266A"/>
    <w:rsid w:val="000244E6"/>
    <w:rsid w:val="00045A84"/>
    <w:rsid w:val="0007231B"/>
    <w:rsid w:val="000759DD"/>
    <w:rsid w:val="00082EEC"/>
    <w:rsid w:val="00091545"/>
    <w:rsid w:val="000965CB"/>
    <w:rsid w:val="00097B16"/>
    <w:rsid w:val="000F7ACB"/>
    <w:rsid w:val="00100BDF"/>
    <w:rsid w:val="001017B5"/>
    <w:rsid w:val="00110863"/>
    <w:rsid w:val="0011280B"/>
    <w:rsid w:val="00123C6D"/>
    <w:rsid w:val="00130F9A"/>
    <w:rsid w:val="00131FCC"/>
    <w:rsid w:val="00134248"/>
    <w:rsid w:val="00134A6A"/>
    <w:rsid w:val="00145E19"/>
    <w:rsid w:val="00157504"/>
    <w:rsid w:val="00157AA4"/>
    <w:rsid w:val="001654D8"/>
    <w:rsid w:val="00172923"/>
    <w:rsid w:val="00183B18"/>
    <w:rsid w:val="00184CE3"/>
    <w:rsid w:val="001E2427"/>
    <w:rsid w:val="001F428D"/>
    <w:rsid w:val="00243E1C"/>
    <w:rsid w:val="00263BF4"/>
    <w:rsid w:val="00280687"/>
    <w:rsid w:val="00282275"/>
    <w:rsid w:val="00286485"/>
    <w:rsid w:val="002C19FF"/>
    <w:rsid w:val="002D648D"/>
    <w:rsid w:val="002E6B81"/>
    <w:rsid w:val="002E7957"/>
    <w:rsid w:val="002F2A12"/>
    <w:rsid w:val="00325D17"/>
    <w:rsid w:val="0033034A"/>
    <w:rsid w:val="00343AB1"/>
    <w:rsid w:val="00346D00"/>
    <w:rsid w:val="00380E60"/>
    <w:rsid w:val="003B1BA4"/>
    <w:rsid w:val="003D4E03"/>
    <w:rsid w:val="00407F63"/>
    <w:rsid w:val="004121A7"/>
    <w:rsid w:val="00431056"/>
    <w:rsid w:val="00455EC7"/>
    <w:rsid w:val="004C0288"/>
    <w:rsid w:val="004D0E59"/>
    <w:rsid w:val="004D7DB3"/>
    <w:rsid w:val="00504554"/>
    <w:rsid w:val="00534377"/>
    <w:rsid w:val="00537509"/>
    <w:rsid w:val="0056185E"/>
    <w:rsid w:val="00561DD4"/>
    <w:rsid w:val="00570925"/>
    <w:rsid w:val="005A3A22"/>
    <w:rsid w:val="005A76E6"/>
    <w:rsid w:val="005D648B"/>
    <w:rsid w:val="005F2C40"/>
    <w:rsid w:val="0060727A"/>
    <w:rsid w:val="00667B4F"/>
    <w:rsid w:val="0067546D"/>
    <w:rsid w:val="00677FB9"/>
    <w:rsid w:val="006831FA"/>
    <w:rsid w:val="0068490E"/>
    <w:rsid w:val="00687F6D"/>
    <w:rsid w:val="006A1D18"/>
    <w:rsid w:val="006B2B04"/>
    <w:rsid w:val="006B6DF5"/>
    <w:rsid w:val="006C1B5B"/>
    <w:rsid w:val="006C6655"/>
    <w:rsid w:val="006D1156"/>
    <w:rsid w:val="00720B8D"/>
    <w:rsid w:val="007310C5"/>
    <w:rsid w:val="007639B8"/>
    <w:rsid w:val="007821A0"/>
    <w:rsid w:val="00794757"/>
    <w:rsid w:val="00796223"/>
    <w:rsid w:val="007B78AD"/>
    <w:rsid w:val="007E34A3"/>
    <w:rsid w:val="007F03F9"/>
    <w:rsid w:val="007F2E5D"/>
    <w:rsid w:val="007F442F"/>
    <w:rsid w:val="00814AAF"/>
    <w:rsid w:val="00851D93"/>
    <w:rsid w:val="008A61C5"/>
    <w:rsid w:val="008B093A"/>
    <w:rsid w:val="008C0011"/>
    <w:rsid w:val="008C066F"/>
    <w:rsid w:val="008C1A55"/>
    <w:rsid w:val="008E06CC"/>
    <w:rsid w:val="008F2608"/>
    <w:rsid w:val="008F587C"/>
    <w:rsid w:val="00962A8C"/>
    <w:rsid w:val="0096602C"/>
    <w:rsid w:val="009A6A13"/>
    <w:rsid w:val="009C4E3C"/>
    <w:rsid w:val="009E2F65"/>
    <w:rsid w:val="00A0718F"/>
    <w:rsid w:val="00A25FF9"/>
    <w:rsid w:val="00A5689A"/>
    <w:rsid w:val="00A72FC4"/>
    <w:rsid w:val="00A76157"/>
    <w:rsid w:val="00A92D5D"/>
    <w:rsid w:val="00A95566"/>
    <w:rsid w:val="00AA3405"/>
    <w:rsid w:val="00AB56C3"/>
    <w:rsid w:val="00AC07A1"/>
    <w:rsid w:val="00AD5752"/>
    <w:rsid w:val="00AD5829"/>
    <w:rsid w:val="00B53F27"/>
    <w:rsid w:val="00BC2555"/>
    <w:rsid w:val="00BD097A"/>
    <w:rsid w:val="00C159EA"/>
    <w:rsid w:val="00C3225D"/>
    <w:rsid w:val="00C330D1"/>
    <w:rsid w:val="00C36DA8"/>
    <w:rsid w:val="00C41118"/>
    <w:rsid w:val="00C56A83"/>
    <w:rsid w:val="00C64927"/>
    <w:rsid w:val="00C74C55"/>
    <w:rsid w:val="00CA2D89"/>
    <w:rsid w:val="00CD3D9F"/>
    <w:rsid w:val="00CE65AD"/>
    <w:rsid w:val="00D06B87"/>
    <w:rsid w:val="00D168C5"/>
    <w:rsid w:val="00D17A1A"/>
    <w:rsid w:val="00D267B0"/>
    <w:rsid w:val="00D4567A"/>
    <w:rsid w:val="00D5108B"/>
    <w:rsid w:val="00D53188"/>
    <w:rsid w:val="00D55018"/>
    <w:rsid w:val="00D73E72"/>
    <w:rsid w:val="00D7431C"/>
    <w:rsid w:val="00D8429A"/>
    <w:rsid w:val="00DF5236"/>
    <w:rsid w:val="00E15E93"/>
    <w:rsid w:val="00E5149A"/>
    <w:rsid w:val="00E67008"/>
    <w:rsid w:val="00E678F8"/>
    <w:rsid w:val="00E74817"/>
    <w:rsid w:val="00E809CC"/>
    <w:rsid w:val="00EC1B6E"/>
    <w:rsid w:val="00ED35ED"/>
    <w:rsid w:val="00ED587E"/>
    <w:rsid w:val="00EF229B"/>
    <w:rsid w:val="00F17319"/>
    <w:rsid w:val="00F57AA2"/>
    <w:rsid w:val="00F63232"/>
    <w:rsid w:val="00F71CE2"/>
    <w:rsid w:val="00F849E9"/>
    <w:rsid w:val="00FC5139"/>
    <w:rsid w:val="00FD1632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s1">
    <w:name w:val="s_1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C74C55"/>
  </w:style>
  <w:style w:type="character" w:styleId="af1">
    <w:name w:val="Emphasis"/>
    <w:basedOn w:val="a0"/>
    <w:uiPriority w:val="20"/>
    <w:qFormat/>
    <w:rsid w:val="00C74C55"/>
    <w:rPr>
      <w:i/>
      <w:iCs/>
    </w:rPr>
  </w:style>
  <w:style w:type="paragraph" w:customStyle="1" w:styleId="s3">
    <w:name w:val="s_3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4D0E59"/>
    <w:rPr>
      <w:color w:val="800080" w:themeColor="followedHyperlink"/>
      <w:u w:val="single"/>
    </w:rPr>
  </w:style>
  <w:style w:type="paragraph" w:styleId="af3">
    <w:name w:val="Body Text Indent"/>
    <w:basedOn w:val="a"/>
    <w:link w:val="af4"/>
    <w:rsid w:val="00814AA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814A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C36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0965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096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2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5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7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9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9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7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4942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internet.garant.ru/document/redirect/48776746/0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8776746/1006" TargetMode="External"/><Relationship Id="rId17" Type="http://schemas.openxmlformats.org/officeDocument/2006/relationships/hyperlink" Target="http://internet.garant.ru/document/redirect/48776746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2168186/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877674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084212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48776746/1006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084212/0" TargetMode="External"/><Relationship Id="rId14" Type="http://schemas.openxmlformats.org/officeDocument/2006/relationships/hyperlink" Target="http://internet.garant.ru/document/redirect/72084212/1000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Нейля Рахимулловна</cp:lastModifiedBy>
  <cp:revision>16</cp:revision>
  <cp:lastPrinted>2025-02-04T10:39:00Z</cp:lastPrinted>
  <dcterms:created xsi:type="dcterms:W3CDTF">2023-02-13T10:21:00Z</dcterms:created>
  <dcterms:modified xsi:type="dcterms:W3CDTF">2025-02-04T10:39:00Z</dcterms:modified>
</cp:coreProperties>
</file>