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00" w:rsidRDefault="00593F73">
      <w:pPr>
        <w:tabs>
          <w:tab w:val="left" w:pos="9354"/>
          <w:tab w:val="left" w:pos="992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bookmarkStart w:id="0" w:name="_GoBack"/>
      <w:r>
        <w:rPr>
          <w:rFonts w:ascii="Times New Roman" w:eastAsia="Times New Roman" w:hAnsi="Times New Roman" w:cs="Times New Roman"/>
          <w:b/>
          <w:caps/>
          <w:sz w:val="26"/>
          <w:szCs w:val="26"/>
          <w:lang w:eastAsia="zh-CN"/>
        </w:rPr>
        <w:t xml:space="preserve">ПРОТОКОЛ </w:t>
      </w:r>
    </w:p>
    <w:p w:rsidR="00077800" w:rsidRDefault="00593F73">
      <w:pPr>
        <w:tabs>
          <w:tab w:val="left" w:pos="9354"/>
          <w:tab w:val="left" w:pos="9921"/>
        </w:tabs>
        <w:spacing w:before="120" w:after="0" w:line="240" w:lineRule="auto"/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заседания конкурсной к</w:t>
      </w:r>
      <w:r>
        <w:rPr>
          <w:rFonts w:ascii="PT Astra Serif" w:eastAsia="PT Astra Serif" w:hAnsi="PT Astra Serif" w:cs="PT Astra Serif"/>
          <w:b/>
          <w:sz w:val="26"/>
          <w:szCs w:val="26"/>
          <w:lang w:eastAsia="zh-CN"/>
        </w:rPr>
        <w:t>омиссии</w:t>
      </w:r>
      <w:bookmarkEnd w:id="0"/>
      <w:r>
        <w:rPr>
          <w:rFonts w:ascii="PT Astra Serif" w:eastAsia="PT Astra Serif" w:hAnsi="PT Astra Serif" w:cs="PT Astra Serif"/>
          <w:b/>
          <w:sz w:val="26"/>
          <w:szCs w:val="26"/>
          <w:lang w:eastAsia="zh-CN"/>
        </w:rPr>
        <w:t xml:space="preserve"> по оценке и сопоставлению заявок на участие в открытом конкурсе </w:t>
      </w:r>
      <w:r>
        <w:rPr>
          <w:rFonts w:ascii="PT Astra Serif" w:eastAsia="PT Astra Serif" w:hAnsi="PT Astra Serif" w:cs="PT Astra Serif"/>
          <w:b/>
          <w:sz w:val="26"/>
          <w:szCs w:val="26"/>
          <w:lang w:eastAsia="zh-CN"/>
        </w:rPr>
        <w:t xml:space="preserve">на право получения свидетельств об осуществлении перевозок по одному или нескольким межмуниципальным маршрутам регулярных перевозок в Чувашской Республике </w:t>
      </w:r>
    </w:p>
    <w:p w:rsidR="00077800" w:rsidRDefault="00077800">
      <w:pPr>
        <w:tabs>
          <w:tab w:val="left" w:pos="9354"/>
          <w:tab w:val="left" w:pos="9921"/>
        </w:tabs>
        <w:spacing w:before="120" w:after="0" w:line="240" w:lineRule="auto"/>
        <w:jc w:val="center"/>
        <w:rPr>
          <w:rFonts w:ascii="PT Astra Serif" w:hAnsi="PT Astra Serif" w:cs="PT Astra Serif"/>
          <w:b/>
          <w:sz w:val="26"/>
          <w:szCs w:val="26"/>
        </w:rPr>
      </w:pP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eastAsia="PT Astra Serif" w:hAnsi="PT Astra Serif" w:cs="PT Astra Serif"/>
          <w:b/>
          <w:sz w:val="26"/>
          <w:szCs w:val="26"/>
          <w:lang w:eastAsia="zh-CN"/>
        </w:rPr>
        <w:t xml:space="preserve">12.03.2024                                                                                         </w:t>
      </w:r>
      <w:r>
        <w:rPr>
          <w:rFonts w:ascii="PT Astra Serif" w:eastAsia="PT Astra Serif" w:hAnsi="PT Astra Serif" w:cs="PT Astra Serif"/>
          <w:b/>
          <w:sz w:val="26"/>
          <w:szCs w:val="26"/>
          <w:lang w:eastAsia="zh-CN"/>
        </w:rPr>
        <w:t xml:space="preserve">                             № 3</w:t>
      </w:r>
    </w:p>
    <w:p w:rsidR="00077800" w:rsidRDefault="00077800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b/>
          <w:sz w:val="26"/>
          <w:szCs w:val="26"/>
        </w:rPr>
      </w:pPr>
    </w:p>
    <w:p w:rsidR="00077800" w:rsidRDefault="00593F73">
      <w:pPr>
        <w:tabs>
          <w:tab w:val="left" w:pos="9354"/>
          <w:tab w:val="left" w:pos="9921"/>
        </w:tabs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 xml:space="preserve">1. Наименование  открытого конкурса: </w:t>
      </w:r>
    </w:p>
    <w:p w:rsidR="00077800" w:rsidRDefault="00593F73">
      <w:pPr>
        <w:tabs>
          <w:tab w:val="left" w:pos="9354"/>
          <w:tab w:val="left" w:pos="9921"/>
        </w:tabs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Открытый конкурс на право получения свидетельств об осуществлении перевозок по одному или нескольким межмуниципальным маршрутам регулярных перевозок в Чувашской Республике.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2. Организа</w:t>
      </w:r>
      <w:r>
        <w:rPr>
          <w:rFonts w:ascii="PT Astra Serif" w:eastAsia="PT Astra Serif" w:hAnsi="PT Astra Serif" w:cs="PT Astra Serif"/>
          <w:sz w:val="26"/>
          <w:szCs w:val="26"/>
        </w:rPr>
        <w:t xml:space="preserve">тор открытого конкурса: 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Министерство транспорта и дорожного хозяйства Чувашской Республики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Место нахождения: 428004, г. Чебоксары, площадь Республики, д. 2.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Почтовый адрес: 428004, г. Чебоксары, площадь Республики,</w:t>
      </w:r>
      <w:r>
        <w:rPr>
          <w:rFonts w:ascii="PT Astra Serif" w:eastAsia="PT Astra Serif" w:hAnsi="PT Astra Serif" w:cs="PT Astra Serif"/>
          <w:sz w:val="26"/>
          <w:szCs w:val="26"/>
        </w:rPr>
        <w:br/>
        <w:t>д. 2.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Адрес электронной почты: mintrans3</w:t>
      </w:r>
      <w:r>
        <w:rPr>
          <w:rFonts w:ascii="PT Astra Serif" w:eastAsia="PT Astra Serif" w:hAnsi="PT Astra Serif" w:cs="PT Astra Serif"/>
          <w:sz w:val="26"/>
          <w:szCs w:val="26"/>
        </w:rPr>
        <w:t>6@cap.ru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Номер контактного телефона: (8352) 56-50-83, факс: (8352) 62-48-60</w:t>
      </w:r>
    </w:p>
    <w:p w:rsidR="00077800" w:rsidRDefault="00077800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b/>
          <w:sz w:val="26"/>
          <w:szCs w:val="26"/>
        </w:rPr>
      </w:pP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3. Предмет открытого конкурса: 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Право на получение свидетельств об осуществлении перевозок по одному или нескольким межмуниципальным маршрутам регулярных перевозок в Чувашской Рес</w:t>
      </w:r>
      <w:r>
        <w:rPr>
          <w:rFonts w:ascii="PT Astra Serif" w:eastAsia="PT Astra Serif" w:hAnsi="PT Astra Serif" w:cs="PT Astra Serif"/>
          <w:sz w:val="26"/>
          <w:szCs w:val="26"/>
        </w:rPr>
        <w:t xml:space="preserve">публике в соответствии с конкурсной документацией по следующим </w:t>
      </w:r>
      <w:r>
        <w:rPr>
          <w:rFonts w:ascii="PT Astra Serif" w:eastAsia="PT Astra Serif" w:hAnsi="PT Astra Serif" w:cs="PT Astra Serif"/>
          <w:b/>
          <w:sz w:val="26"/>
          <w:szCs w:val="26"/>
        </w:rPr>
        <w:t>лотам:</w:t>
      </w:r>
    </w:p>
    <w:p w:rsidR="00077800" w:rsidRDefault="00077800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b/>
          <w:sz w:val="26"/>
          <w:szCs w:val="26"/>
        </w:rPr>
      </w:pPr>
    </w:p>
    <w:p w:rsidR="00077800" w:rsidRDefault="00593F73">
      <w:pPr>
        <w:shd w:val="clear" w:color="auto" w:fill="FFFFFF"/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b/>
          <w:sz w:val="26"/>
          <w:szCs w:val="26"/>
        </w:rPr>
        <w:t>Лот № 1</w:t>
      </w:r>
      <w:r>
        <w:rPr>
          <w:rFonts w:ascii="PT Astra Serif" w:eastAsia="PT Astra Serif" w:hAnsi="PT Astra Serif" w:cs="PT Astra Serif"/>
          <w:sz w:val="26"/>
          <w:szCs w:val="26"/>
        </w:rPr>
        <w:t xml:space="preserve"> межмуниципальный маршрут № 118 «ДКП г. Шумерля –</w:t>
      </w:r>
      <w:r>
        <w:rPr>
          <w:rFonts w:ascii="PT Astra Serif" w:eastAsia="PT Astra Serif" w:hAnsi="PT Astra Serif" w:cs="PT Astra Serif"/>
          <w:sz w:val="26"/>
          <w:szCs w:val="26"/>
        </w:rPr>
        <w:br/>
        <w:t>п. Ульяновское».</w:t>
      </w:r>
    </w:p>
    <w:p w:rsidR="00077800" w:rsidRDefault="00593F73">
      <w:pPr>
        <w:shd w:val="clear" w:color="auto" w:fill="FFFFFF"/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eastAsia="PT Astra Serif" w:hAnsi="PT Astra Serif" w:cs="PT Astra Serif"/>
          <w:b/>
          <w:sz w:val="26"/>
          <w:szCs w:val="26"/>
        </w:rPr>
        <w:t>Сведения о начальных, промежуточных и конечных остановочных пунктах межмуниципального маршрута регулярных перев</w:t>
      </w:r>
      <w:r>
        <w:rPr>
          <w:rFonts w:ascii="PT Astra Serif" w:eastAsia="PT Astra Serif" w:hAnsi="PT Astra Serif" w:cs="PT Astra Serif"/>
          <w:b/>
          <w:sz w:val="26"/>
          <w:szCs w:val="26"/>
        </w:rPr>
        <w:t>озок:</w:t>
      </w:r>
    </w:p>
    <w:p w:rsidR="00077800" w:rsidRDefault="00593F73">
      <w:pPr>
        <w:shd w:val="clear" w:color="auto" w:fill="FFFFFF"/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eastAsia="PT Astra Serif" w:hAnsi="PT Astra Serif" w:cs="PT Astra Serif"/>
          <w:b/>
          <w:sz w:val="26"/>
          <w:szCs w:val="26"/>
        </w:rPr>
        <w:t>прямой путь: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ДКП  г. Шумерля – поворот на Волгу – Волга – п. Ульяновское (Шумерлинский муниципальный округ);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eastAsia="PT Astra Serif" w:hAnsi="PT Astra Serif" w:cs="PT Astra Serif"/>
          <w:b/>
          <w:sz w:val="26"/>
          <w:szCs w:val="26"/>
        </w:rPr>
        <w:t>обратный путь: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п. Ульяновское (Шумерлинский муниципальный округ) – Волга – поворот на Волгу – ДКП г. Шумерля.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eastAsia="PT Astra Serif" w:hAnsi="PT Astra Serif" w:cs="PT Astra Serif"/>
          <w:b/>
          <w:sz w:val="26"/>
          <w:szCs w:val="26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eastAsia="PT Astra Serif" w:hAnsi="PT Astra Serif" w:cs="PT Astra Serif"/>
          <w:b/>
          <w:sz w:val="26"/>
          <w:szCs w:val="26"/>
        </w:rPr>
        <w:lastRenderedPageBreak/>
        <w:t>прямой путь: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ул. К. Маркса – ул. Жукова – ул. Ленина – автодорога «Сура» – Волга –</w:t>
      </w:r>
      <w:r>
        <w:rPr>
          <w:rFonts w:ascii="PT Astra Serif" w:eastAsia="PT Astra Serif" w:hAnsi="PT Astra Serif" w:cs="PT Astra Serif"/>
          <w:sz w:val="26"/>
          <w:szCs w:val="26"/>
        </w:rPr>
        <w:br/>
        <w:t>п. Ульяновское;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eastAsia="PT Astra Serif" w:hAnsi="PT Astra Serif" w:cs="PT Astra Serif"/>
          <w:b/>
          <w:sz w:val="26"/>
          <w:szCs w:val="26"/>
        </w:rPr>
        <w:t>обратный путь: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п. Ул</w:t>
      </w:r>
      <w:r>
        <w:rPr>
          <w:rFonts w:ascii="PT Astra Serif" w:eastAsia="PT Astra Serif" w:hAnsi="PT Astra Serif" w:cs="PT Astra Serif"/>
          <w:sz w:val="26"/>
          <w:szCs w:val="26"/>
        </w:rPr>
        <w:t>ьяновское – Волга – автодорога «Сура» – ул. Ленина – ул. Жукова –</w:t>
      </w:r>
      <w:r>
        <w:rPr>
          <w:rFonts w:ascii="PT Astra Serif" w:eastAsia="PT Astra Serif" w:hAnsi="PT Astra Serif" w:cs="PT Astra Serif"/>
          <w:sz w:val="26"/>
          <w:szCs w:val="26"/>
        </w:rPr>
        <w:br/>
        <w:t>ул. К. Маркса.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b/>
          <w:sz w:val="26"/>
          <w:szCs w:val="26"/>
        </w:rPr>
        <w:t>Протяженность маршрута:</w:t>
      </w:r>
      <w:r>
        <w:rPr>
          <w:rFonts w:ascii="PT Astra Serif" w:eastAsia="PT Astra Serif" w:hAnsi="PT Astra Serif" w:cs="PT Astra Serif"/>
          <w:sz w:val="26"/>
          <w:szCs w:val="26"/>
        </w:rPr>
        <w:t xml:space="preserve"> 16,6 км.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eastAsia="PT Astra Serif" w:hAnsi="PT Astra Serif" w:cs="PT Astra Serif"/>
          <w:b/>
          <w:sz w:val="26"/>
          <w:szCs w:val="26"/>
        </w:rPr>
        <w:t>Требования к транспортным средствам: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Класс и максимальное количество транспортных средств – малый класс, в количестве 2 ед. (в том числе 1 рез</w:t>
      </w:r>
      <w:r>
        <w:rPr>
          <w:rFonts w:ascii="PT Astra Serif" w:eastAsia="PT Astra Serif" w:hAnsi="PT Astra Serif" w:cs="PT Astra Serif"/>
          <w:sz w:val="26"/>
          <w:szCs w:val="26"/>
        </w:rPr>
        <w:t>ервный).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b/>
          <w:sz w:val="26"/>
          <w:szCs w:val="26"/>
        </w:rPr>
        <w:t>Порядок посадки и высадки пассажиров:</w:t>
      </w:r>
      <w:r>
        <w:rPr>
          <w:rFonts w:ascii="PT Astra Serif" w:eastAsia="PT Astra Serif" w:hAnsi="PT Astra Serif" w:cs="PT Astra Serif"/>
          <w:sz w:val="26"/>
          <w:szCs w:val="26"/>
        </w:rPr>
        <w:t xml:space="preserve"> в установленных остановочных пунктах.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b/>
          <w:sz w:val="26"/>
          <w:szCs w:val="26"/>
        </w:rPr>
        <w:t>Вид регулярных перевозок:</w:t>
      </w:r>
      <w:r>
        <w:rPr>
          <w:rFonts w:ascii="PT Astra Serif" w:eastAsia="PT Astra Serif" w:hAnsi="PT Astra Serif" w:cs="PT Astra Serif"/>
          <w:sz w:val="26"/>
          <w:szCs w:val="26"/>
        </w:rPr>
        <w:t> по нерегулируемым тарифам.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eastAsia="PT Astra Serif" w:hAnsi="PT Astra Serif" w:cs="PT Astra Serif"/>
          <w:b/>
          <w:sz w:val="26"/>
          <w:szCs w:val="26"/>
        </w:rPr>
        <w:t>Расписание движения транспортных средств: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время отправления из начального остановочного пункта: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7-30 (ежедневно), 11-4</w:t>
      </w:r>
      <w:r>
        <w:rPr>
          <w:rFonts w:ascii="PT Astra Serif" w:eastAsia="PT Astra Serif" w:hAnsi="PT Astra Serif" w:cs="PT Astra Serif"/>
          <w:sz w:val="26"/>
          <w:szCs w:val="26"/>
        </w:rPr>
        <w:t>5 (по субботам);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время отправления из конечного остановочного пункта: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8-00 (ежедневно), 12-15 (по субботам).</w:t>
      </w:r>
    </w:p>
    <w:p w:rsidR="00077800" w:rsidRDefault="00077800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</w:p>
    <w:p w:rsidR="00077800" w:rsidRDefault="00593F73">
      <w:pPr>
        <w:shd w:val="clear" w:color="auto" w:fill="FFFFFF"/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b/>
          <w:sz w:val="26"/>
          <w:szCs w:val="26"/>
        </w:rPr>
        <w:t>Лот № 2</w:t>
      </w:r>
      <w:r>
        <w:rPr>
          <w:rFonts w:ascii="PT Astra Serif" w:eastAsia="PT Astra Serif" w:hAnsi="PT Astra Serif" w:cs="PT Astra Serif"/>
          <w:sz w:val="26"/>
          <w:szCs w:val="26"/>
        </w:rPr>
        <w:t xml:space="preserve"> межмуниципальный маршрут № 134 «Цивильск (ДКП г. Цивильск) – Новочебоксарск (ДКП г. Новочебоксарск)».</w:t>
      </w:r>
    </w:p>
    <w:p w:rsidR="00077800" w:rsidRDefault="00593F73">
      <w:pPr>
        <w:shd w:val="clear" w:color="auto" w:fill="FFFFFF"/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eastAsia="PT Astra Serif" w:hAnsi="PT Astra Serif" w:cs="PT Astra Serif"/>
          <w:b/>
          <w:sz w:val="26"/>
          <w:szCs w:val="26"/>
        </w:rPr>
        <w:t xml:space="preserve">Сведения о начальных, промежуточных </w:t>
      </w:r>
      <w:r>
        <w:rPr>
          <w:rFonts w:ascii="PT Astra Serif" w:eastAsia="PT Astra Serif" w:hAnsi="PT Astra Serif" w:cs="PT Astra Serif"/>
          <w:b/>
          <w:sz w:val="26"/>
          <w:szCs w:val="26"/>
        </w:rPr>
        <w:t>и конечных остановочных пунктах межмуниципального маршрута регулярных перевозок:</w:t>
      </w:r>
    </w:p>
    <w:p w:rsidR="00077800" w:rsidRDefault="00593F73">
      <w:pPr>
        <w:shd w:val="clear" w:color="auto" w:fill="FFFFFF"/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eastAsia="PT Astra Serif" w:hAnsi="PT Astra Serif" w:cs="PT Astra Serif"/>
          <w:b/>
          <w:sz w:val="26"/>
          <w:szCs w:val="26"/>
        </w:rPr>
        <w:t>прямой путь: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ДКП г. Цивильск – Опытный – Синьял-Котяки – Марпосадский поворот – Таушкасы – Тиньговатово – Булдеево – Тожможары – Большое Камаево – Шоршелский поворот – Малое К</w:t>
      </w:r>
      <w:r>
        <w:rPr>
          <w:rFonts w:ascii="PT Astra Serif" w:eastAsia="PT Astra Serif" w:hAnsi="PT Astra Serif" w:cs="PT Astra Serif"/>
          <w:sz w:val="26"/>
          <w:szCs w:val="26"/>
        </w:rPr>
        <w:t>амаево – Шоршелы – Атлашево – ТЭЦ-3 –</w:t>
      </w:r>
      <w:r>
        <w:rPr>
          <w:rFonts w:ascii="PT Astra Serif" w:eastAsia="PT Astra Serif" w:hAnsi="PT Astra Serif" w:cs="PT Astra Serif"/>
          <w:sz w:val="26"/>
          <w:szCs w:val="26"/>
        </w:rPr>
        <w:br/>
        <w:t>ул. Восточная – Ельниково – Ельниковский проезд – ДКП г. Новочебоксарск;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eastAsia="PT Astra Serif" w:hAnsi="PT Astra Serif" w:cs="PT Astra Serif"/>
          <w:b/>
          <w:sz w:val="26"/>
          <w:szCs w:val="26"/>
        </w:rPr>
        <w:t>обратный путь: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 xml:space="preserve">ДКП г. Новочебоксарск – Ельниковский проезд – Ельниково – ул. Восточная – ТЭЦ-3 – Атлашево – Шоршелы – Малое Камаево – Шоршелский </w:t>
      </w:r>
      <w:r>
        <w:rPr>
          <w:rFonts w:ascii="PT Astra Serif" w:eastAsia="PT Astra Serif" w:hAnsi="PT Astra Serif" w:cs="PT Astra Serif"/>
          <w:sz w:val="26"/>
          <w:szCs w:val="26"/>
        </w:rPr>
        <w:t>поворот – Большое Камаево – Тожможары – Булдеево – Тиньговатово – Таушкасы – Марпосадский поворот – Синьял-Котяки – Опытный – ДКП г. Цивильск.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eastAsia="PT Astra Serif" w:hAnsi="PT Astra Serif" w:cs="PT Astra Serif"/>
          <w:b/>
          <w:sz w:val="26"/>
          <w:szCs w:val="26"/>
        </w:rPr>
        <w:t>Наименования улиц, автомобильных дорог по которым предполагается движение транспортных средств между остановочным</w:t>
      </w:r>
      <w:r>
        <w:rPr>
          <w:rFonts w:ascii="PT Astra Serif" w:eastAsia="PT Astra Serif" w:hAnsi="PT Astra Serif" w:cs="PT Astra Serif"/>
          <w:b/>
          <w:sz w:val="26"/>
          <w:szCs w:val="26"/>
        </w:rPr>
        <w:t>и пунктами по маршруту: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eastAsia="PT Astra Serif" w:hAnsi="PT Astra Serif" w:cs="PT Astra Serif"/>
          <w:b/>
          <w:sz w:val="26"/>
          <w:szCs w:val="26"/>
        </w:rPr>
        <w:t>прямой путь: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 xml:space="preserve">Новочебоксарск (ул. 10 Пятилетки - ул. Коммунальная - ул. Промышленная) – </w:t>
      </w:r>
      <w:r>
        <w:rPr>
          <w:rFonts w:ascii="PT Astra Serif" w:eastAsia="PT Astra Serif" w:hAnsi="PT Astra Serif" w:cs="PT Astra Serif"/>
          <w:sz w:val="26"/>
          <w:szCs w:val="26"/>
        </w:rPr>
        <w:br/>
        <w:t>а/д «Кугеси - Атлашево - Новочебоксарск» – «Атлашево - «Волга» - Марпосад» – «Йошкар-Ола - Мариинский Посад - Цивильск» – а/д  М-7 «Волга»;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eastAsia="PT Astra Serif" w:hAnsi="PT Astra Serif" w:cs="PT Astra Serif"/>
          <w:b/>
          <w:sz w:val="26"/>
          <w:szCs w:val="26"/>
        </w:rPr>
        <w:t>обратный путь: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а/д  М-7 «Волга» – а/д «Кугеси - Атлашево - Новочебоксарск» – «Атлашево - «Волга» - Марпосад» – «Йошкар-Ола - Мариинский Посад - Цивильск» –  Новочебоксарск (ул. Промышленная - ул. Коммунальная - ул. 10 Пятилетки).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b/>
          <w:sz w:val="26"/>
          <w:szCs w:val="26"/>
        </w:rPr>
        <w:t>Протяженность маршрута:</w:t>
      </w:r>
      <w:r>
        <w:rPr>
          <w:rFonts w:ascii="PT Astra Serif" w:eastAsia="PT Astra Serif" w:hAnsi="PT Astra Serif" w:cs="PT Astra Serif"/>
          <w:sz w:val="26"/>
          <w:szCs w:val="26"/>
        </w:rPr>
        <w:t xml:space="preserve"> 45</w:t>
      </w:r>
      <w:r>
        <w:rPr>
          <w:rFonts w:ascii="PT Astra Serif" w:eastAsia="PT Astra Serif" w:hAnsi="PT Astra Serif" w:cs="PT Astra Serif"/>
          <w:sz w:val="26"/>
          <w:szCs w:val="26"/>
        </w:rPr>
        <w:t>,7 км.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eastAsia="PT Astra Serif" w:hAnsi="PT Astra Serif" w:cs="PT Astra Serif"/>
          <w:b/>
          <w:sz w:val="26"/>
          <w:szCs w:val="26"/>
        </w:rPr>
        <w:t>Требования к транспортным средствам: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Класс и максимальное количество транспортных средств – малый, средний класс, в количестве 3 ед. (в том числе 1 резервный).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b/>
          <w:sz w:val="26"/>
          <w:szCs w:val="26"/>
        </w:rPr>
        <w:t>Порядок посадки и высадки пассажиров:</w:t>
      </w:r>
      <w:r>
        <w:rPr>
          <w:rFonts w:ascii="PT Astra Serif" w:eastAsia="PT Astra Serif" w:hAnsi="PT Astra Serif" w:cs="PT Astra Serif"/>
          <w:sz w:val="26"/>
          <w:szCs w:val="26"/>
        </w:rPr>
        <w:t xml:space="preserve"> в установленных остановочных пунктах.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b/>
          <w:sz w:val="26"/>
          <w:szCs w:val="26"/>
        </w:rPr>
        <w:t>Вид регулярны</w:t>
      </w:r>
      <w:r>
        <w:rPr>
          <w:rFonts w:ascii="PT Astra Serif" w:eastAsia="PT Astra Serif" w:hAnsi="PT Astra Serif" w:cs="PT Astra Serif"/>
          <w:b/>
          <w:sz w:val="26"/>
          <w:szCs w:val="26"/>
        </w:rPr>
        <w:t>х перевозок:</w:t>
      </w:r>
      <w:r>
        <w:rPr>
          <w:rFonts w:ascii="PT Astra Serif" w:eastAsia="PT Astra Serif" w:hAnsi="PT Astra Serif" w:cs="PT Astra Serif"/>
          <w:sz w:val="26"/>
          <w:szCs w:val="26"/>
        </w:rPr>
        <w:t> по нерегулируемым тарифам.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eastAsia="PT Astra Serif" w:hAnsi="PT Astra Serif" w:cs="PT Astra Serif"/>
          <w:b/>
          <w:sz w:val="26"/>
          <w:szCs w:val="26"/>
        </w:rPr>
        <w:t>Расписание движения транспортных средств: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время отправления из начального остановочного пункта: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8-15,  13-15, 17-15;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время отправления из конечного остановочного пункта: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6-30, 11-30,  15-15.</w:t>
      </w:r>
    </w:p>
    <w:p w:rsidR="00077800" w:rsidRDefault="00077800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b/>
          <w:sz w:val="26"/>
          <w:szCs w:val="26"/>
        </w:rPr>
        <w:t>Лот № 3</w:t>
      </w:r>
      <w:r>
        <w:rPr>
          <w:rFonts w:ascii="PT Astra Serif" w:eastAsia="PT Astra Serif" w:hAnsi="PT Astra Serif" w:cs="PT Astra Serif"/>
          <w:sz w:val="26"/>
          <w:szCs w:val="26"/>
        </w:rPr>
        <w:t> межмуниципальный маршрут № 204 «Чебоксары (АВ «Пригородный»)  – к/с Энергия».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eastAsia="PT Astra Serif" w:hAnsi="PT Astra Serif" w:cs="PT Astra Serif"/>
          <w:b/>
          <w:sz w:val="26"/>
          <w:szCs w:val="26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eastAsia="PT Astra Serif" w:hAnsi="PT Astra Serif" w:cs="PT Astra Serif"/>
          <w:b/>
          <w:sz w:val="26"/>
          <w:szCs w:val="26"/>
        </w:rPr>
        <w:t>прямой путь: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Чебоксары (АВ «Пригородный») – Русский драмтеат</w:t>
      </w:r>
      <w:r>
        <w:rPr>
          <w:rFonts w:ascii="PT Astra Serif" w:eastAsia="PT Astra Serif" w:hAnsi="PT Astra Serif" w:cs="PT Astra Serif"/>
          <w:sz w:val="26"/>
          <w:szCs w:val="26"/>
        </w:rPr>
        <w:t>р – гостиница «Россия» - Завод «Энергозапчасть» – проспект Тракторостроителей – Пихтулино – Типсирмы – Конноспортивная школа – к/с «Энергия»;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eastAsia="PT Astra Serif" w:hAnsi="PT Astra Serif" w:cs="PT Astra Serif"/>
          <w:b/>
          <w:sz w:val="26"/>
          <w:szCs w:val="26"/>
        </w:rPr>
        <w:t>обратный путь: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к/с «Энергия» – Конноспортивная школа – Пихтулино  – проспект Тракторостроителей – Завод «Энергозап</w:t>
      </w:r>
      <w:r>
        <w:rPr>
          <w:rFonts w:ascii="PT Astra Serif" w:eastAsia="PT Astra Serif" w:hAnsi="PT Astra Serif" w:cs="PT Astra Serif"/>
          <w:sz w:val="26"/>
          <w:szCs w:val="26"/>
        </w:rPr>
        <w:t>часть» – гостиница «Россия» – Русский драмтеатр – Чебоксары (АВ «Пригородный»).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eastAsia="PT Astra Serif" w:hAnsi="PT Astra Serif" w:cs="PT Astra Serif"/>
          <w:b/>
          <w:sz w:val="26"/>
          <w:szCs w:val="26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eastAsia="PT Astra Serif" w:hAnsi="PT Astra Serif" w:cs="PT Astra Serif"/>
          <w:b/>
          <w:sz w:val="26"/>
          <w:szCs w:val="26"/>
        </w:rPr>
        <w:t>прямой путь: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ул. Привокзальная – пр. Ле</w:t>
      </w:r>
      <w:r>
        <w:rPr>
          <w:rFonts w:ascii="PT Astra Serif" w:eastAsia="PT Astra Serif" w:hAnsi="PT Astra Serif" w:cs="PT Astra Serif"/>
          <w:sz w:val="26"/>
          <w:szCs w:val="26"/>
        </w:rPr>
        <w:t>нина – ул. Гагарина – ул. Калинина – Марпосадское шоссе – а/д Р-176  «Вятка»;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eastAsia="PT Astra Serif" w:hAnsi="PT Astra Serif" w:cs="PT Astra Serif"/>
          <w:b/>
          <w:sz w:val="26"/>
          <w:szCs w:val="26"/>
        </w:rPr>
        <w:t>обратный путь: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а/д Р-176 «Вятка» –  Марпосадское шоссе  – ул. Калинина – ул. Гагарина – пр. Ленина – ул. Привокзальная.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b/>
          <w:sz w:val="26"/>
          <w:szCs w:val="26"/>
        </w:rPr>
        <w:t>Протяженность маршрута:</w:t>
      </w:r>
      <w:r>
        <w:rPr>
          <w:rFonts w:ascii="PT Astra Serif" w:eastAsia="PT Astra Serif" w:hAnsi="PT Astra Serif" w:cs="PT Astra Serif"/>
          <w:sz w:val="26"/>
          <w:szCs w:val="26"/>
        </w:rPr>
        <w:t> 20,2 км.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eastAsia="PT Astra Serif" w:hAnsi="PT Astra Serif" w:cs="PT Astra Serif"/>
          <w:b/>
          <w:sz w:val="26"/>
          <w:szCs w:val="26"/>
        </w:rPr>
        <w:t>Требования к транспортным</w:t>
      </w:r>
      <w:r>
        <w:rPr>
          <w:rFonts w:ascii="PT Astra Serif" w:eastAsia="PT Astra Serif" w:hAnsi="PT Astra Serif" w:cs="PT Astra Serif"/>
          <w:b/>
          <w:sz w:val="26"/>
          <w:szCs w:val="26"/>
        </w:rPr>
        <w:t xml:space="preserve"> средствам: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Класс и максимальное количество транспортных средств – малый, средний класс, в количестве средний класс - 1 ед., малый класс – 2 ед.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b/>
          <w:sz w:val="26"/>
          <w:szCs w:val="26"/>
        </w:rPr>
        <w:t>Порядок посадки и высадки пассажиров:</w:t>
      </w:r>
      <w:r>
        <w:rPr>
          <w:rFonts w:ascii="PT Astra Serif" w:eastAsia="PT Astra Serif" w:hAnsi="PT Astra Serif" w:cs="PT Astra Serif"/>
          <w:sz w:val="26"/>
          <w:szCs w:val="26"/>
        </w:rPr>
        <w:t> в установленных остановочных пунктах.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b/>
          <w:sz w:val="26"/>
          <w:szCs w:val="26"/>
        </w:rPr>
        <w:t>Вид регулярных перевозок:</w:t>
      </w:r>
      <w:r>
        <w:rPr>
          <w:rFonts w:ascii="PT Astra Serif" w:eastAsia="PT Astra Serif" w:hAnsi="PT Astra Serif" w:cs="PT Astra Serif"/>
          <w:sz w:val="26"/>
          <w:szCs w:val="26"/>
        </w:rPr>
        <w:t> по нерегулируемым тарифам.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eastAsia="PT Astra Serif" w:hAnsi="PT Astra Serif" w:cs="PT Astra Serif"/>
          <w:b/>
          <w:sz w:val="26"/>
          <w:szCs w:val="26"/>
        </w:rPr>
        <w:t>Расписание движения транспортных средств: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время отправления из начального остановочного пункта: 5-40, 7-35, 8-30, 10-00, 11-20, 12-40, 14-00, 15-00, 16-20, 17-25, 18-15, 19-40, 21-00.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время отправления из конечного остановочного</w:t>
      </w:r>
      <w:r>
        <w:rPr>
          <w:rFonts w:ascii="PT Astra Serif" w:eastAsia="PT Astra Serif" w:hAnsi="PT Astra Serif" w:cs="PT Astra Serif"/>
          <w:sz w:val="26"/>
          <w:szCs w:val="26"/>
        </w:rPr>
        <w:t xml:space="preserve"> пункта: 6-20, 7-05, 7-40, 9-10, 10-00, 11-40, 13-00, 14-10, 15-30, 16-25, 17-25, 18-40, 20-20, 22-05.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ru-RU"/>
        </w:rPr>
        <w:tab/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4. Место, дата, время проведения процедуры оценки и сопоставления заявок на участие в открытом конкурсе.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Оценка и сопоставление </w:t>
      </w:r>
      <w:r>
        <w:rPr>
          <w:rFonts w:ascii="PT Astra Serif" w:eastAsia="PT Astra Serif" w:hAnsi="PT Astra Serif" w:cs="PT Astra Serif"/>
          <w:sz w:val="26"/>
          <w:szCs w:val="26"/>
          <w:lang w:eastAsia="ru-RU"/>
        </w:rPr>
        <w:t>заявок на участие в отк</w:t>
      </w:r>
      <w:r>
        <w:rPr>
          <w:rFonts w:ascii="PT Astra Serif" w:eastAsia="PT Astra Serif" w:hAnsi="PT Astra Serif" w:cs="PT Astra Serif"/>
          <w:sz w:val="26"/>
          <w:szCs w:val="26"/>
          <w:lang w:eastAsia="ru-RU"/>
        </w:rPr>
        <w:t xml:space="preserve">рытом конкурсе состоялась </w:t>
      </w:r>
      <w:r>
        <w:rPr>
          <w:rFonts w:ascii="PT Astra Serif" w:eastAsia="PT Astra Serif" w:hAnsi="PT Astra Serif" w:cs="PT Astra Serif"/>
          <w:sz w:val="26"/>
          <w:szCs w:val="26"/>
          <w:lang w:eastAsia="ru-RU"/>
        </w:rPr>
        <w:br/>
        <w:t>12 марта 2024 года с 14 ч 30 мин по 15 ч 00 мин по адресу: 428004, г. Чебоксары, пл. Республики, д. 2, каб. 311.</w:t>
      </w:r>
    </w:p>
    <w:p w:rsidR="00077800" w:rsidRDefault="00077800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bCs/>
          <w:sz w:val="26"/>
          <w:szCs w:val="26"/>
        </w:rPr>
      </w:pP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eastAsia="PT Astra Serif" w:hAnsi="PT Astra Serif" w:cs="PT Astra Serif"/>
          <w:bCs/>
          <w:sz w:val="26"/>
          <w:szCs w:val="26"/>
          <w:lang w:eastAsia="ru-RU"/>
        </w:rPr>
        <w:t xml:space="preserve">5. </w:t>
      </w:r>
      <w:r>
        <w:rPr>
          <w:rFonts w:ascii="PT Astra Serif" w:eastAsia="PT Astra Serif" w:hAnsi="PT Astra Serif" w:cs="PT Astra Serif"/>
          <w:bCs/>
          <w:sz w:val="26"/>
          <w:szCs w:val="26"/>
          <w:lang w:eastAsia="zh-CN"/>
        </w:rPr>
        <w:t>Заседание конкурсной комиссии считается правомочным при присутствии на нём более 50 % от общего числа членов кон</w:t>
      </w:r>
      <w:r>
        <w:rPr>
          <w:rFonts w:ascii="PT Astra Serif" w:eastAsia="PT Astra Serif" w:hAnsi="PT Astra Serif" w:cs="PT Astra Serif"/>
          <w:bCs/>
          <w:sz w:val="26"/>
          <w:szCs w:val="26"/>
          <w:lang w:eastAsia="zh-CN"/>
        </w:rPr>
        <w:t>курсной комиссии. В состав конкурсной комиссии входят 7 членов. В заседании комиссии приняли участие 5 члена конкурсной комиссии. Кворум имеется. Комиссия правомочна.</w:t>
      </w:r>
    </w:p>
    <w:p w:rsidR="00077800" w:rsidRDefault="00077800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ru-RU"/>
        </w:rPr>
        <w:t xml:space="preserve">6. 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Конкурсная</w:t>
      </w:r>
      <w:r>
        <w:rPr>
          <w:rFonts w:ascii="PT Astra Serif" w:eastAsia="PT Astra Serif" w:hAnsi="PT Astra Serif" w:cs="PT Astra Serif"/>
          <w:sz w:val="26"/>
          <w:szCs w:val="26"/>
          <w:lang w:eastAsia="ru-RU"/>
        </w:rPr>
        <w:t xml:space="preserve"> комиссия 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оценила и сопоставила </w:t>
      </w:r>
      <w:r>
        <w:rPr>
          <w:rFonts w:ascii="PT Astra Serif" w:eastAsia="PT Astra Serif" w:hAnsi="PT Astra Serif" w:cs="PT Astra Serif"/>
          <w:sz w:val="26"/>
          <w:szCs w:val="26"/>
          <w:lang w:eastAsia="ru-RU"/>
        </w:rPr>
        <w:t>заявки, допущенны</w:t>
      </w:r>
      <w:r>
        <w:rPr>
          <w:rFonts w:ascii="PT Astra Serif" w:eastAsia="PT Astra Serif" w:hAnsi="PT Astra Serif" w:cs="PT Astra Serif"/>
          <w:sz w:val="26"/>
          <w:szCs w:val="26"/>
          <w:lang w:eastAsia="ru-RU"/>
        </w:rPr>
        <w:t>е к участию в открытом конкурсе (протокол заседания комиссии № 2 от 12 марта 2024 г.), в соответствии со шкалой для оценки критериев, применяемых при оценке и сопоставлении заявок на участие в открытом конкурсе на право осуществления перевозок по нерегулир</w:t>
      </w:r>
      <w:r>
        <w:rPr>
          <w:rFonts w:ascii="PT Astra Serif" w:eastAsia="PT Astra Serif" w:hAnsi="PT Astra Serif" w:cs="PT Astra Serif"/>
          <w:sz w:val="26"/>
          <w:szCs w:val="26"/>
          <w:lang w:eastAsia="ru-RU"/>
        </w:rPr>
        <w:t>уемым тарифам по межмуниципальным маршрутам регулярных перевозок в отношении:</w:t>
      </w:r>
    </w:p>
    <w:p w:rsidR="00077800" w:rsidRDefault="00593F73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eastAsia="PT Astra Serif" w:hAnsi="PT Astra Serif" w:cs="PT Astra Serif"/>
          <w:b/>
          <w:sz w:val="26"/>
          <w:szCs w:val="26"/>
        </w:rPr>
        <w:t>Лот № 3 межмуниципальный маршрут № 204 «Чебоксары (АВ «Пригородный»)  – к/с Энергия»</w:t>
      </w:r>
    </w:p>
    <w:p w:rsidR="00077800" w:rsidRDefault="00077800">
      <w:pPr>
        <w:tabs>
          <w:tab w:val="left" w:pos="9354"/>
          <w:tab w:val="left" w:pos="9921"/>
        </w:tabs>
        <w:spacing w:after="0" w:line="240" w:lineRule="auto"/>
        <w:jc w:val="both"/>
        <w:rPr>
          <w:rFonts w:ascii="PT Astra Serif" w:hAnsi="PT Astra Serif" w:cs="PT Astra Serif"/>
          <w:b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5"/>
        <w:gridCol w:w="3631"/>
        <w:gridCol w:w="992"/>
        <w:gridCol w:w="1276"/>
        <w:gridCol w:w="851"/>
        <w:gridCol w:w="1275"/>
        <w:gridCol w:w="1134"/>
      </w:tblGrid>
      <w:tr w:rsidR="00077800">
        <w:trPr>
          <w:trHeight w:val="33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3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 xml:space="preserve">Критерии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>ООО "АвтоУспех"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>ООО</w:t>
            </w:r>
          </w:p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 xml:space="preserve"> "ЧТК"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>ИП</w:t>
            </w:r>
          </w:p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 xml:space="preserve"> Жуков В.В.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>ООО "Фортуна"</w:t>
            </w:r>
          </w:p>
        </w:tc>
      </w:tr>
      <w:tr w:rsidR="00077800">
        <w:trPr>
          <w:trHeight w:val="33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 xml:space="preserve">пп </w:t>
            </w:r>
          </w:p>
        </w:tc>
        <w:tc>
          <w:tcPr>
            <w:tcW w:w="3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00" w:rsidRDefault="0007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 xml:space="preserve">баллов 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00" w:rsidRDefault="00077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00" w:rsidRDefault="00077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00" w:rsidRDefault="00077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00" w:rsidRDefault="00077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7800">
        <w:trPr>
          <w:trHeight w:val="3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077800">
            <w:pPr>
              <w:tabs>
                <w:tab w:val="left" w:pos="9354"/>
                <w:tab w:val="left" w:pos="9921"/>
              </w:tabs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7800" w:rsidRDefault="00077800">
            <w:pPr>
              <w:tabs>
                <w:tab w:val="left" w:pos="9354"/>
                <w:tab w:val="left" w:pos="9921"/>
              </w:tabs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7800" w:rsidRDefault="00077800">
            <w:pPr>
              <w:tabs>
                <w:tab w:val="left" w:pos="9354"/>
                <w:tab w:val="left" w:pos="9921"/>
              </w:tabs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00" w:rsidRDefault="00077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00" w:rsidRDefault="00077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00" w:rsidRDefault="00077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00" w:rsidRDefault="00077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77800">
        <w:trPr>
          <w:trHeight w:val="34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7800">
        <w:trPr>
          <w:trHeight w:val="1398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  <w:lang w:eastAsia="ru-RU"/>
              </w:rPr>
              <w:t xml:space="preserve">1.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>Количество дорожно-транспортных происшествий, повлекших за собой человеческие жертв</w:t>
            </w: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>ы или причинение вреда здоровью граждан и произошедших по вине юридического лица, индивидуального предпринимателя, участника договора простого товарищества или их работников в течение года, предшествующего дате размещения извещения о проведении открытого к</w:t>
            </w: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>онкурса на официальном сайте организатора открытого конкурса в информационно-телекоммуникационной сети «Интернет» (далее – дата размещения извещения), в расчете на среднее количество транспортных средств, предусмотренных договорами обязательного страховани</w:t>
            </w: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 xml:space="preserve">я гражданской ответственности юридического лица, индивидуального предпринимателя, участников договора простого товарищества за причинение вреда жизни, здоровью, имуществу пассажиров, действовавшими в течение года, предшествующего дате размещения извещения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 </w:t>
            </w:r>
          </w:p>
        </w:tc>
      </w:tr>
      <w:tr w:rsidR="00077800">
        <w:trPr>
          <w:trHeight w:val="345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00" w:rsidRDefault="0007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 xml:space="preserve">в ДТП не участвовало 100% транспортных средств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10</w:t>
            </w:r>
          </w:p>
        </w:tc>
      </w:tr>
      <w:tr w:rsidR="00077800">
        <w:trPr>
          <w:trHeight w:val="345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00" w:rsidRDefault="0007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 xml:space="preserve">в ДТП транспортное(ые) средство(а) участвовало(-и)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 </w:t>
            </w:r>
          </w:p>
        </w:tc>
      </w:tr>
      <w:tr w:rsidR="00077800">
        <w:trPr>
          <w:trHeight w:val="5570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  <w:lang w:eastAsia="ru-RU"/>
              </w:rPr>
              <w:t xml:space="preserve">2.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>Опыт осуществления регулярных перевозок юридическим лицом, индивидуальным предпринимателем или участником договора простого товарищества, который подтвержден сведениями об исполненных государственных или муниципальных контрактах либо нотариально заверенным</w:t>
            </w: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>и копиями свидетельств об осуществлении перевозок по маршруту регулярных перевозок, заключенных с исполнительными органами субъектов Российской Федерации или органами местного самоуправления договоров, предусматривающих осуществление перевозок по маршрутам</w:t>
            </w: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 xml:space="preserve"> регулярных перевозок, или иных документов, предусмотренных нормативными правовыми актами субъектов Российской Федерации, муниципальными нормативными правовыми актами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 </w:t>
            </w:r>
          </w:p>
        </w:tc>
      </w:tr>
      <w:tr w:rsidR="00077800">
        <w:trPr>
          <w:trHeight w:val="675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00" w:rsidRDefault="0007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 xml:space="preserve">опыт осуществления регулярных перевозок 5 лет и более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 </w:t>
            </w:r>
          </w:p>
        </w:tc>
      </w:tr>
      <w:tr w:rsidR="00077800">
        <w:trPr>
          <w:trHeight w:val="675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00" w:rsidRDefault="0007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 xml:space="preserve">опыт осуществления регулярных перевозок менее 5 лет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5</w:t>
            </w:r>
          </w:p>
        </w:tc>
      </w:tr>
      <w:tr w:rsidR="00077800">
        <w:trPr>
          <w:trHeight w:val="2415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  <w:lang w:eastAsia="ru-RU"/>
              </w:rPr>
              <w:t xml:space="preserve">3.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 xml:space="preserve">Влияющие на качество перевозок характеристики транспортных средств, предлагаемых юридическим </w:t>
            </w: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 xml:space="preserve">лицом, индивидуальным предпринимателем или участником договора простого товарищества для осуществления регулярных перевозок (присваивается соответствующий балл по каждому транспортному средству, полученные баллы суммируются по всем транспортным средствам)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077800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077800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077800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077800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077800">
        <w:trPr>
          <w:trHeight w:val="345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00" w:rsidRDefault="0007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 xml:space="preserve">вместимость транспортного средства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077800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077800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077800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077800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077800">
        <w:trPr>
          <w:trHeight w:val="345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00" w:rsidRDefault="0007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 xml:space="preserve">более 25 мест для сидения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 </w:t>
            </w:r>
          </w:p>
        </w:tc>
      </w:tr>
      <w:tr w:rsidR="00077800">
        <w:trPr>
          <w:trHeight w:val="345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00" w:rsidRDefault="0007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 xml:space="preserve">от 22 до 25 мест включительно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15</w:t>
            </w:r>
          </w:p>
        </w:tc>
      </w:tr>
      <w:tr w:rsidR="00077800">
        <w:trPr>
          <w:trHeight w:val="345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00" w:rsidRDefault="0007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 xml:space="preserve">от 18 до 21 места включительно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10</w:t>
            </w:r>
          </w:p>
        </w:tc>
      </w:tr>
      <w:tr w:rsidR="00077800">
        <w:trPr>
          <w:trHeight w:val="345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00" w:rsidRDefault="0007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 xml:space="preserve">до 17 мест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5</w:t>
            </w:r>
          </w:p>
        </w:tc>
      </w:tr>
      <w:tr w:rsidR="00077800">
        <w:trPr>
          <w:trHeight w:val="345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00" w:rsidRDefault="0007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 xml:space="preserve">экологические характеристики транспортного средства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077800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077800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077800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077800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077800">
        <w:trPr>
          <w:trHeight w:val="345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00" w:rsidRDefault="0007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>двигатель ниже Евро-4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 </w:t>
            </w:r>
          </w:p>
        </w:tc>
      </w:tr>
      <w:tr w:rsidR="00077800">
        <w:trPr>
          <w:trHeight w:val="345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00" w:rsidRDefault="0007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 xml:space="preserve">двигатель Евро-4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 </w:t>
            </w:r>
          </w:p>
        </w:tc>
      </w:tr>
      <w:tr w:rsidR="00077800">
        <w:trPr>
          <w:trHeight w:val="345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00" w:rsidRDefault="0007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 xml:space="preserve">двигатель Евро-5 и выше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30</w:t>
            </w:r>
          </w:p>
        </w:tc>
      </w:tr>
      <w:tr w:rsidR="00077800">
        <w:trPr>
          <w:trHeight w:val="915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00" w:rsidRDefault="0007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 xml:space="preserve">наличие оборудования в транспортном средстве для перевозки маломобильных групп населения, пассажиров с детскими колясками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20</w:t>
            </w:r>
          </w:p>
        </w:tc>
      </w:tr>
      <w:tr w:rsidR="00077800">
        <w:trPr>
          <w:trHeight w:val="345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00" w:rsidRDefault="0007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 xml:space="preserve">наличие в транспортном средстве низкого пола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20</w:t>
            </w:r>
          </w:p>
        </w:tc>
      </w:tr>
      <w:tr w:rsidR="00077800">
        <w:trPr>
          <w:trHeight w:val="615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00" w:rsidRDefault="0007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 xml:space="preserve">наличие в транспортном средстве системы безналичной оплаты проезда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15</w:t>
            </w:r>
          </w:p>
        </w:tc>
      </w:tr>
      <w:tr w:rsidR="00077800">
        <w:trPr>
          <w:trHeight w:val="1515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00" w:rsidRDefault="0007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 xml:space="preserve">наличие в транспортном средстве речевого автоинформатора, выдающего в автоматическом режиме информацию о текущей и следующей остановках по маршруту регулярных перевозок, а также иную необходимую информацию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9</w:t>
            </w:r>
          </w:p>
        </w:tc>
      </w:tr>
      <w:tr w:rsidR="00077800">
        <w:trPr>
          <w:trHeight w:val="1515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00" w:rsidRDefault="0007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 xml:space="preserve">наличие в салоне транспортного средства электронного информационного табло с бегущей строкой, отображающего информацию о текущей и следующей остановках по маршруту регулярных перевозок, температуре воздуха окружающей среды и в салоне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10</w:t>
            </w:r>
          </w:p>
        </w:tc>
      </w:tr>
      <w:tr w:rsidR="00077800">
        <w:trPr>
          <w:trHeight w:val="915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00" w:rsidRDefault="0007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 xml:space="preserve">наличие в транспортном средстве внешних электронных маршрутоуказателей с отображением информации о маршруте: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077800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077800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077800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077800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077800">
        <w:trPr>
          <w:trHeight w:val="345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00" w:rsidRDefault="0007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>передний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 </w:t>
            </w:r>
          </w:p>
        </w:tc>
      </w:tr>
      <w:tr w:rsidR="00077800">
        <w:trPr>
          <w:trHeight w:val="345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00" w:rsidRDefault="0007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>передний, задний, боковой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20</w:t>
            </w:r>
          </w:p>
        </w:tc>
      </w:tr>
      <w:tr w:rsidR="00077800">
        <w:trPr>
          <w:trHeight w:val="345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00" w:rsidRDefault="0007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 xml:space="preserve">наличие в транспортном средстве кондиционера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20</w:t>
            </w:r>
          </w:p>
        </w:tc>
      </w:tr>
      <w:tr w:rsidR="00077800">
        <w:trPr>
          <w:trHeight w:val="1215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00" w:rsidRDefault="0007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 xml:space="preserve">наличие кресел повышенной комфортности с регулируемым наклоном спинки (для межмуниципальных маршрутов протяженностью более 50 км)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0</w:t>
            </w:r>
          </w:p>
        </w:tc>
      </w:tr>
      <w:tr w:rsidR="00077800">
        <w:trPr>
          <w:trHeight w:val="615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00" w:rsidRDefault="0007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 xml:space="preserve">наличие багажного отсека (для межмуниципальных маршрутов протяженностью более 50 км)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0</w:t>
            </w:r>
          </w:p>
        </w:tc>
      </w:tr>
      <w:tr w:rsidR="00077800">
        <w:trPr>
          <w:trHeight w:val="1215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00" w:rsidRDefault="0007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 xml:space="preserve">наличие оборудования, осуществляющего непрерывную аудио- и видеофиксацию (обеспечивающих хранение записанных данных) работы водителя, переднего и заднего вида, а также салона транспортного средства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30</w:t>
            </w:r>
          </w:p>
        </w:tc>
      </w:tr>
      <w:tr w:rsidR="00077800">
        <w:trPr>
          <w:trHeight w:val="615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00" w:rsidRDefault="0007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 xml:space="preserve">наличие оборудования для использования газомоторного топлива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30</w:t>
            </w:r>
          </w:p>
        </w:tc>
      </w:tr>
      <w:tr w:rsidR="00077800">
        <w:trPr>
          <w:trHeight w:val="915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00" w:rsidRDefault="0007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 xml:space="preserve">наличие в транспортном средстве возможности бесплатного подключения через WiFi к информационно-телекоммуникационной сети «Интернет»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tabs>
                <w:tab w:val="left" w:pos="9354"/>
                <w:tab w:val="left" w:pos="9921"/>
              </w:tabs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ru-RU"/>
              </w:rPr>
              <w:t>9</w:t>
            </w:r>
          </w:p>
        </w:tc>
      </w:tr>
      <w:tr w:rsidR="00077800">
        <w:trPr>
          <w:trHeight w:val="3015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  <w:lang w:eastAsia="ru-RU"/>
              </w:rPr>
              <w:t xml:space="preserve">4.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spacing w:after="0" w:line="240" w:lineRule="auto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>Максимальный срок эксплуатации транспортных средств, предлагаемых юридическим лицом, индивидуальным предпринимателем или участником договора простого товарищества для осуществления регулярных перевозок в течение срока действия свидетельства об осуществлени</w:t>
            </w: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>и перевозок по маршруту регулярных перевозок (присваивается соответствующий балл по каждому транспортному средству, полученные баллы суммируются по всем транспортным средствам)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spacing w:after="0"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077800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077800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077800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077800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077800">
        <w:trPr>
          <w:trHeight w:val="345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00" w:rsidRDefault="0007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spacing w:after="0" w:line="240" w:lineRule="auto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 xml:space="preserve">до 5 лет включительно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  <w:lang w:eastAsia="ru-RU"/>
              </w:rPr>
              <w:t>20</w:t>
            </w:r>
          </w:p>
        </w:tc>
      </w:tr>
      <w:tr w:rsidR="00077800">
        <w:trPr>
          <w:trHeight w:val="345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00" w:rsidRDefault="0007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spacing w:after="0" w:line="240" w:lineRule="auto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 xml:space="preserve">более 5 лет до 7 лет включительно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077800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07780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  <w:lang w:eastAsia="ru-RU"/>
              </w:rPr>
              <w:t>20</w:t>
            </w:r>
          </w:p>
        </w:tc>
      </w:tr>
      <w:tr w:rsidR="00077800">
        <w:trPr>
          <w:trHeight w:val="353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00" w:rsidRDefault="0007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spacing w:after="0" w:line="240" w:lineRule="auto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 xml:space="preserve">более 7 лет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800" w:rsidRDefault="00593F73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7800" w:rsidRDefault="00593F73">
            <w:pPr>
              <w:spacing w:after="0" w:line="240" w:lineRule="auto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7800" w:rsidRDefault="00593F73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  <w:lang w:eastAsia="ru-RU"/>
              </w:rPr>
              <w:t> 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7800" w:rsidRDefault="00593F73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  <w:lang w:eastAsia="ru-RU"/>
              </w:rPr>
              <w:t>10 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7800" w:rsidRDefault="00593F73">
            <w:pPr>
              <w:spacing w:after="0" w:line="240" w:lineRule="auto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  <w:lang w:eastAsia="ru-RU"/>
              </w:rPr>
              <w:t> </w:t>
            </w:r>
          </w:p>
        </w:tc>
      </w:tr>
      <w:tr w:rsidR="00077800">
        <w:trPr>
          <w:trHeight w:val="33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077800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7800" w:rsidRDefault="00077800">
            <w:pPr>
              <w:spacing w:after="0" w:line="240" w:lineRule="auto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7800" w:rsidRDefault="00077800">
            <w:pPr>
              <w:spacing w:after="0" w:line="240" w:lineRule="auto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  <w:lang w:eastAsia="ru-RU"/>
              </w:rPr>
              <w:t>323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  <w:lang w:eastAsia="ru-RU"/>
              </w:rPr>
              <w:t>203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  <w:lang w:eastAsia="ru-RU"/>
              </w:rPr>
              <w:t>198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7800" w:rsidRDefault="00593F73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  <w:lang w:eastAsia="ru-RU"/>
              </w:rPr>
              <w:t>298</w:t>
            </w:r>
          </w:p>
        </w:tc>
      </w:tr>
    </w:tbl>
    <w:p w:rsidR="00077800" w:rsidRDefault="00593F73">
      <w:pPr>
        <w:tabs>
          <w:tab w:val="left" w:pos="9638"/>
        </w:tabs>
        <w:spacing w:after="0" w:line="240" w:lineRule="auto"/>
        <w:ind w:right="-283" w:firstLine="720"/>
        <w:jc w:val="both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eastAsia="PT Astra Serif" w:hAnsi="PT Astra Serif" w:cs="PT Astra Serif"/>
          <w:b/>
          <w:sz w:val="26"/>
          <w:szCs w:val="26"/>
        </w:rPr>
        <w:t xml:space="preserve">Победителем открытого конкурса по лоту № 3  межмуниципальный маршрут № 204 «Чебоксары (АВ «Пригородный»)  – к/с Энергия»  признается ООО «АвтоУспех», заявка </w:t>
      </w:r>
      <w:r>
        <w:rPr>
          <w:rFonts w:ascii="PT Astra Serif" w:eastAsia="PT Astra Serif" w:hAnsi="PT Astra Serif" w:cs="PT Astra Serif"/>
          <w:b/>
          <w:sz w:val="26"/>
          <w:szCs w:val="26"/>
        </w:rPr>
        <w:t>которого получила высшую оценку с присвоением первого номера.</w:t>
      </w:r>
    </w:p>
    <w:p w:rsidR="00077800" w:rsidRDefault="00077800">
      <w:pPr>
        <w:pStyle w:val="210"/>
        <w:spacing w:after="0" w:line="240" w:lineRule="auto"/>
        <w:ind w:left="0" w:firstLine="708"/>
        <w:jc w:val="both"/>
        <w:rPr>
          <w:rFonts w:ascii="PT Astra Serif" w:hAnsi="PT Astra Serif" w:cs="PT Astra Serif"/>
          <w:b/>
          <w:bCs/>
          <w:color w:val="262626"/>
        </w:rPr>
      </w:pPr>
    </w:p>
    <w:p w:rsidR="00077800" w:rsidRDefault="00593F73">
      <w:pPr>
        <w:spacing w:after="0" w:line="240" w:lineRule="auto"/>
        <w:ind w:firstLine="720"/>
        <w:jc w:val="both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7. </w:t>
      </w:r>
      <w:r>
        <w:rPr>
          <w:rFonts w:ascii="PT Astra Serif" w:eastAsia="PT Astra Serif" w:hAnsi="PT Astra Serif" w:cs="PT Astra Serif"/>
          <w:bCs/>
          <w:sz w:val="26"/>
          <w:szCs w:val="26"/>
          <w:lang w:eastAsia="zh-CN"/>
        </w:rPr>
        <w:t>Протокол подписан членами конкурсной комиссии: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3528"/>
        <w:gridCol w:w="6300"/>
      </w:tblGrid>
      <w:tr w:rsidR="00077800">
        <w:trPr>
          <w:trHeight w:val="2177"/>
        </w:trPr>
        <w:tc>
          <w:tcPr>
            <w:tcW w:w="3528" w:type="dxa"/>
            <w:shd w:val="clear" w:color="auto" w:fill="auto"/>
          </w:tcPr>
          <w:p w:rsidR="00077800" w:rsidRDefault="00077800">
            <w:pPr>
              <w:spacing w:after="0"/>
              <w:jc w:val="both"/>
              <w:rPr>
                <w:rFonts w:ascii="PT Astra Serif" w:hAnsi="PT Astra Serif" w:cs="PT Astra Serif"/>
                <w:bCs/>
                <w:sz w:val="26"/>
                <w:szCs w:val="26"/>
              </w:rPr>
            </w:pPr>
          </w:p>
          <w:p w:rsidR="00077800" w:rsidRDefault="00593F73">
            <w:pPr>
              <w:spacing w:after="0"/>
              <w:jc w:val="both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bCs/>
                <w:sz w:val="26"/>
                <w:szCs w:val="26"/>
                <w:lang w:eastAsia="zh-CN"/>
              </w:rPr>
              <w:t>Председатель конкурсной комиссии:</w:t>
            </w:r>
          </w:p>
          <w:p w:rsidR="00077800" w:rsidRDefault="00593F73">
            <w:pPr>
              <w:spacing w:after="0"/>
              <w:jc w:val="both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bCs/>
                <w:sz w:val="26"/>
                <w:szCs w:val="26"/>
                <w:lang w:eastAsia="zh-CN"/>
              </w:rPr>
              <w:t>Члены конкурсной комиссии:</w:t>
            </w:r>
          </w:p>
        </w:tc>
        <w:tc>
          <w:tcPr>
            <w:tcW w:w="6300" w:type="dxa"/>
            <w:shd w:val="clear" w:color="auto" w:fill="auto"/>
          </w:tcPr>
          <w:p w:rsidR="00077800" w:rsidRDefault="00077800">
            <w:pPr>
              <w:spacing w:after="0"/>
              <w:rPr>
                <w:rFonts w:ascii="PT Astra Serif" w:hAnsi="PT Astra Serif" w:cs="PT Astra Serif"/>
                <w:bCs/>
                <w:sz w:val="26"/>
                <w:szCs w:val="26"/>
              </w:rPr>
            </w:pPr>
          </w:p>
          <w:p w:rsidR="00077800" w:rsidRDefault="00077800">
            <w:pPr>
              <w:spacing w:after="0"/>
              <w:rPr>
                <w:rFonts w:ascii="PT Astra Serif" w:hAnsi="PT Astra Serif" w:cs="PT Astra Serif"/>
                <w:bCs/>
                <w:sz w:val="26"/>
                <w:szCs w:val="26"/>
              </w:rPr>
            </w:pPr>
          </w:p>
          <w:p w:rsidR="00077800" w:rsidRDefault="00593F73">
            <w:pPr>
              <w:spacing w:after="0" w:line="480" w:lineRule="auto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bCs/>
                <w:sz w:val="26"/>
                <w:szCs w:val="26"/>
                <w:lang w:eastAsia="zh-CN"/>
              </w:rPr>
              <w:t>Арлашкин Юрий Викторович           ______________</w:t>
            </w:r>
          </w:p>
          <w:p w:rsidR="00077800" w:rsidRDefault="00593F73">
            <w:pPr>
              <w:spacing w:after="0" w:line="480" w:lineRule="auto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bCs/>
                <w:sz w:val="26"/>
                <w:szCs w:val="26"/>
                <w:lang w:eastAsia="zh-CN"/>
              </w:rPr>
              <w:t>Алёшина Гульнара Мухамедшевна   ______________</w:t>
            </w:r>
          </w:p>
          <w:p w:rsidR="00077800" w:rsidRDefault="00593F73">
            <w:pPr>
              <w:spacing w:after="0" w:line="480" w:lineRule="auto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bCs/>
                <w:sz w:val="26"/>
                <w:szCs w:val="26"/>
                <w:lang w:eastAsia="zh-CN"/>
              </w:rPr>
              <w:t>Матулене Елена Михайловна             _____________</w:t>
            </w:r>
          </w:p>
          <w:p w:rsidR="00077800" w:rsidRDefault="00593F73">
            <w:pPr>
              <w:spacing w:after="0" w:line="480" w:lineRule="auto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bCs/>
                <w:sz w:val="26"/>
                <w:szCs w:val="26"/>
                <w:lang w:eastAsia="zh-CN"/>
              </w:rPr>
              <w:t>Михайлов Евгений Владимирович     _____________</w:t>
            </w:r>
          </w:p>
          <w:p w:rsidR="00077800" w:rsidRDefault="00593F73">
            <w:pPr>
              <w:spacing w:after="0" w:line="480" w:lineRule="auto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bCs/>
                <w:sz w:val="26"/>
                <w:szCs w:val="26"/>
                <w:lang w:eastAsia="zh-CN"/>
              </w:rPr>
              <w:t>Пилкин Артем Андреевич                   _____________</w:t>
            </w:r>
          </w:p>
        </w:tc>
      </w:tr>
    </w:tbl>
    <w:p w:rsidR="00077800" w:rsidRDefault="00077800">
      <w:pPr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</w:p>
    <w:sectPr w:rsidR="00077800">
      <w:footerReference w:type="default" r:id="rId8"/>
      <w:pgSz w:w="11906" w:h="16838"/>
      <w:pgMar w:top="1134" w:right="850" w:bottom="1134" w:left="1701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F73" w:rsidRDefault="00593F73">
      <w:pPr>
        <w:spacing w:after="0" w:line="240" w:lineRule="auto"/>
      </w:pPr>
      <w:r>
        <w:separator/>
      </w:r>
    </w:p>
  </w:endnote>
  <w:endnote w:type="continuationSeparator" w:id="0">
    <w:p w:rsidR="00593F73" w:rsidRDefault="0059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Rubik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9646863"/>
      <w:docPartObj>
        <w:docPartGallery w:val="Page Numbers (Bottom of Page)"/>
        <w:docPartUnique/>
      </w:docPartObj>
    </w:sdtPr>
    <w:sdtEndPr/>
    <w:sdtContent>
      <w:p w:rsidR="00077800" w:rsidRDefault="00593F73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77800" w:rsidRDefault="00077800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F73" w:rsidRDefault="00593F73">
      <w:pPr>
        <w:spacing w:after="0" w:line="240" w:lineRule="auto"/>
      </w:pPr>
      <w:r>
        <w:separator/>
      </w:r>
    </w:p>
  </w:footnote>
  <w:footnote w:type="continuationSeparator" w:id="0">
    <w:p w:rsidR="00593F73" w:rsidRDefault="00593F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00"/>
    <w:rsid w:val="00077800"/>
    <w:rsid w:val="00593F73"/>
    <w:rsid w:val="009E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uiPriority w:val="22"/>
    <w:qFormat/>
    <w:rPr>
      <w:b/>
      <w:bCs/>
    </w:rPr>
  </w:style>
  <w:style w:type="paragraph" w:styleId="af6">
    <w:name w:val="header"/>
    <w:basedOn w:val="a"/>
    <w:link w:val="af7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</w:style>
  <w:style w:type="paragraph" w:styleId="af8">
    <w:name w:val="footer"/>
    <w:basedOn w:val="a"/>
    <w:link w:val="af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character" w:styleId="afd">
    <w:name w:val="page number"/>
    <w:basedOn w:val="a0"/>
  </w:style>
  <w:style w:type="paragraph" w:styleId="afe">
    <w:name w:val="Body Text Indent"/>
    <w:basedOn w:val="a"/>
    <w:link w:val="aff"/>
    <w:pPr>
      <w:spacing w:before="120" w:after="0" w:line="240" w:lineRule="auto"/>
      <w:ind w:firstLine="708"/>
      <w:jc w:val="both"/>
    </w:pPr>
    <w:rPr>
      <w:rFonts w:ascii="TimesET" w:eastAsia="Times New Roman" w:hAnsi="TimesET" w:cs="TimesET"/>
      <w:bCs/>
      <w:sz w:val="24"/>
      <w:szCs w:val="24"/>
      <w:lang w:eastAsia="zh-CN"/>
    </w:rPr>
  </w:style>
  <w:style w:type="character" w:customStyle="1" w:styleId="aff">
    <w:name w:val="Основной текст с отступом Знак"/>
    <w:basedOn w:val="a0"/>
    <w:link w:val="afe"/>
    <w:rPr>
      <w:rFonts w:ascii="TimesET" w:eastAsia="Times New Roman" w:hAnsi="TimesET" w:cs="TimesET"/>
      <w:bCs/>
      <w:sz w:val="24"/>
      <w:szCs w:val="24"/>
      <w:lang w:eastAsia="zh-CN"/>
    </w:rPr>
  </w:style>
  <w:style w:type="paragraph" w:styleId="aff0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harChar">
    <w:name w:val="Char Char Знак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uiPriority w:val="22"/>
    <w:qFormat/>
    <w:rPr>
      <w:b/>
      <w:bCs/>
    </w:rPr>
  </w:style>
  <w:style w:type="paragraph" w:styleId="af6">
    <w:name w:val="header"/>
    <w:basedOn w:val="a"/>
    <w:link w:val="af7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</w:style>
  <w:style w:type="paragraph" w:styleId="af8">
    <w:name w:val="footer"/>
    <w:basedOn w:val="a"/>
    <w:link w:val="af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character" w:styleId="afd">
    <w:name w:val="page number"/>
    <w:basedOn w:val="a0"/>
  </w:style>
  <w:style w:type="paragraph" w:styleId="afe">
    <w:name w:val="Body Text Indent"/>
    <w:basedOn w:val="a"/>
    <w:link w:val="aff"/>
    <w:pPr>
      <w:spacing w:before="120" w:after="0" w:line="240" w:lineRule="auto"/>
      <w:ind w:firstLine="708"/>
      <w:jc w:val="both"/>
    </w:pPr>
    <w:rPr>
      <w:rFonts w:ascii="TimesET" w:eastAsia="Times New Roman" w:hAnsi="TimesET" w:cs="TimesET"/>
      <w:bCs/>
      <w:sz w:val="24"/>
      <w:szCs w:val="24"/>
      <w:lang w:eastAsia="zh-CN"/>
    </w:rPr>
  </w:style>
  <w:style w:type="character" w:customStyle="1" w:styleId="aff">
    <w:name w:val="Основной текст с отступом Знак"/>
    <w:basedOn w:val="a0"/>
    <w:link w:val="afe"/>
    <w:rPr>
      <w:rFonts w:ascii="TimesET" w:eastAsia="Times New Roman" w:hAnsi="TimesET" w:cs="TimesET"/>
      <w:bCs/>
      <w:sz w:val="24"/>
      <w:szCs w:val="24"/>
      <w:lang w:eastAsia="zh-CN"/>
    </w:rPr>
  </w:style>
  <w:style w:type="paragraph" w:styleId="aff0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harChar">
    <w:name w:val="Char Char Знак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8829B-8893-4E4C-A248-B86CE844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</dc:creator>
  <cp:lastModifiedBy>Минтранс ЧР Петрова Наталия</cp:lastModifiedBy>
  <cp:revision>2</cp:revision>
  <dcterms:created xsi:type="dcterms:W3CDTF">2024-03-15T05:40:00Z</dcterms:created>
  <dcterms:modified xsi:type="dcterms:W3CDTF">2024-03-15T05:40:00Z</dcterms:modified>
</cp:coreProperties>
</file>