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Arial" w:hAnsi="Arial" w:cs="Arial"/>
          <w:sz w:val="26"/>
          <w:szCs w:val="26"/>
        </w:rPr>
        <w:t xml:space="preserve">Приложение №1 </w: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</w:r>
    </w:p>
    <w:p>
      <w:pPr>
        <w:jc w:val="right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приказу Минстроя Чувашии </w:t>
      </w:r>
      <w:r>
        <w:t xml:space="preserve">от</w: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</w:r>
    </w:p>
    <w:p>
      <w:pPr>
        <w:jc w:val="right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      </w:t>
      </w:r>
      <w:r>
        <w:rPr>
          <w:rFonts w:ascii="Arial" w:hAnsi="Arial" w:cs="Arial"/>
          <w:sz w:val="26"/>
          <w:szCs w:val="26"/>
        </w:rPr>
        <w:t xml:space="preserve">» </w:t>
      </w:r>
      <w:r>
        <w:rPr>
          <w:rFonts w:ascii="Arial" w:hAnsi="Arial" w:cs="Arial"/>
          <w:sz w:val="26"/>
          <w:szCs w:val="26"/>
        </w:rPr>
        <w:t xml:space="preserve">февраля</w:t>
      </w:r>
      <w:r>
        <w:rPr>
          <w:rFonts w:ascii="Arial" w:hAnsi="Arial" w:cs="Arial"/>
          <w:sz w:val="26"/>
          <w:szCs w:val="26"/>
        </w:rPr>
        <w:t xml:space="preserve"> 2025</w:t>
      </w:r>
      <w:r>
        <w:rPr>
          <w:rFonts w:ascii="Arial" w:hAnsi="Arial" w:cs="Arial"/>
          <w:sz w:val="26"/>
          <w:szCs w:val="26"/>
        </w:rPr>
        <w:t xml:space="preserve"> г.</w:t>
      </w:r>
      <w:r>
        <w:rPr>
          <w:rFonts w:ascii="Arial" w:hAnsi="Arial" w:cs="Arial"/>
          <w:sz w:val="26"/>
          <w:szCs w:val="26"/>
        </w:rPr>
        <w:t xml:space="preserve"> №______</w: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</w:r>
    </w:p>
    <w:p>
      <w:pPr>
        <w:pStyle w:val="838"/>
        <w:ind w:left="-1815" w:firstLine="677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Ключевые показатели эффективности функционирования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антимонопольного комплаенса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Министерстве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строительства, архитектуры и жилищно-коммунального хозяйства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Чувашской Республики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Ключевые показатели эффективности функционирования антимонопольного комплаенса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Министерстве </w:t>
      </w:r>
      <w:r>
        <w:rPr>
          <w:rFonts w:ascii="Times New Roman" w:hAnsi="Times New Roman" w:cs="Times New Roman"/>
          <w:bCs/>
          <w:sz w:val="26"/>
          <w:szCs w:val="26"/>
        </w:rPr>
        <w:t xml:space="preserve">строительства, архитектуры и жилищно-коммунального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хозяйства Чувашской Республики</w:t>
      </w:r>
      <w:r>
        <w:rPr>
          <w:rFonts w:ascii="Times New Roman" w:hAnsi="Times New Roman" w:cs="Times New Roman"/>
          <w:bCs/>
          <w:sz w:val="26"/>
          <w:szCs w:val="26"/>
        </w:rPr>
        <w:t xml:space="preserve">: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коэффициент снижения количества нарушений </w:t>
      </w:r>
      <w:r>
        <w:rPr>
          <w:rFonts w:ascii="Times New Roman" w:hAnsi="Times New Roman" w:cs="Times New Roman"/>
          <w:bCs/>
          <w:sz w:val="26"/>
          <w:szCs w:val="26"/>
        </w:rPr>
        <w:t xml:space="preserve">Министерством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строительства, архитектуры и жилищно-коммунального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хозяйства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 </w:t>
      </w:r>
      <w:r>
        <w:rPr>
          <w:rFonts w:ascii="Times New Roman" w:hAnsi="Times New Roman" w:cs="Times New Roman"/>
          <w:bCs/>
          <w:sz w:val="26"/>
          <w:szCs w:val="26"/>
        </w:rPr>
        <w:t xml:space="preserve">антимонопольного законодательства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;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доля проектов нормативных правовых актов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Республики, разработанных </w:t>
      </w:r>
      <w:r>
        <w:rPr>
          <w:rFonts w:ascii="Times New Roman" w:hAnsi="Times New Roman" w:cs="Times New Roman"/>
          <w:bCs/>
          <w:sz w:val="26"/>
          <w:szCs w:val="26"/>
        </w:rPr>
        <w:t xml:space="preserve">Министерством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строительства, архитектуры и жилищно-коммунального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хозяйства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</w:t>
      </w:r>
      <w:r>
        <w:rPr>
          <w:rFonts w:ascii="Times New Roman" w:hAnsi="Times New Roman" w:cs="Times New Roman"/>
          <w:bCs/>
          <w:sz w:val="26"/>
          <w:szCs w:val="26"/>
        </w:rPr>
        <w:t xml:space="preserve">, в которых выявлены риски нарушения антимонопольного законодательства;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доля нормативных правовых актов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Чувашской Республики, разработанных </w:t>
      </w:r>
      <w:r>
        <w:rPr>
          <w:rFonts w:ascii="Times New Roman" w:hAnsi="Times New Roman" w:cs="Times New Roman"/>
          <w:bCs/>
          <w:sz w:val="26"/>
          <w:szCs w:val="26"/>
        </w:rPr>
        <w:t xml:space="preserve">Министерством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строительства, архитектуры и жилищно-коммунального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хозяйства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</w:t>
      </w:r>
      <w:r>
        <w:rPr>
          <w:rFonts w:ascii="Times New Roman" w:hAnsi="Times New Roman" w:cs="Times New Roman"/>
          <w:bCs/>
          <w:sz w:val="26"/>
          <w:szCs w:val="26"/>
        </w:rPr>
        <w:t xml:space="preserve">, в которых выявлены риски нарушения антимонопольного законодательства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;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доля сотрудников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Министерства </w:t>
      </w:r>
      <w:r>
        <w:rPr>
          <w:rFonts w:ascii="Times New Roman" w:hAnsi="Times New Roman" w:cs="Times New Roman"/>
          <w:bCs/>
          <w:sz w:val="26"/>
          <w:szCs w:val="26"/>
        </w:rPr>
        <w:t xml:space="preserve">строительства, архитектуры и жилищно-коммунального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хозяйства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</w:t>
      </w:r>
      <w:r>
        <w:rPr>
          <w:rFonts w:ascii="Times New Roman" w:hAnsi="Times New Roman" w:cs="Times New Roman"/>
          <w:bCs/>
          <w:sz w:val="26"/>
          <w:szCs w:val="26"/>
        </w:rPr>
        <w:t xml:space="preserve">, в отношении которых проведены обучающие мероприятия по антимонопольному законодательству и антимонопольному комплаенсу.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Расчет ключевых показателей эффективности функционирования антимонопольного комплаенса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Министерстве </w:t>
      </w:r>
      <w:r>
        <w:rPr>
          <w:rFonts w:ascii="Times New Roman" w:hAnsi="Times New Roman" w:cs="Times New Roman"/>
          <w:bCs/>
          <w:sz w:val="26"/>
          <w:szCs w:val="26"/>
        </w:rPr>
        <w:t xml:space="preserve">строительства, архитектуры и жилищно-коммунального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хозяйства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 </w:t>
      </w:r>
      <w:r>
        <w:rPr>
          <w:rFonts w:ascii="Times New Roman" w:hAnsi="Times New Roman" w:cs="Times New Roman"/>
          <w:bCs/>
          <w:sz w:val="26"/>
          <w:szCs w:val="26"/>
        </w:rPr>
        <w:t xml:space="preserve">осуществляется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ФАС России от 05.02.2019 № 133/19 </w:t>
      </w:r>
      <w:r>
        <w:rPr>
          <w:rFonts w:ascii="Times New Roman" w:hAnsi="Times New Roman" w:cs="Times New Roman"/>
          <w:bCs/>
          <w:sz w:val="26"/>
          <w:szCs w:val="26"/>
        </w:rPr>
        <w:t xml:space="preserve">«</w:t>
      </w:r>
      <w:r>
        <w:rPr>
          <w:rFonts w:ascii="Times New Roman" w:hAnsi="Times New Roman" w:cs="Times New Roman"/>
          <w:bCs/>
          <w:sz w:val="26"/>
          <w:szCs w:val="26"/>
        </w:rPr>
        <w:t xml:space="preserve">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</w:t>
      </w:r>
      <w:r>
        <w:rPr>
          <w:rFonts w:ascii="Times New Roman" w:hAnsi="Times New Roman" w:cs="Times New Roman"/>
          <w:bCs/>
          <w:sz w:val="26"/>
          <w:szCs w:val="26"/>
        </w:rPr>
        <w:t xml:space="preserve">».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276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7"/>
    <w:next w:val="827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8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7"/>
    <w:next w:val="827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8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7"/>
    <w:next w:val="827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8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7"/>
    <w:next w:val="827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8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7"/>
    <w:next w:val="827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8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7"/>
    <w:next w:val="827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7"/>
    <w:next w:val="827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8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7"/>
    <w:next w:val="827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8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7"/>
    <w:next w:val="827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8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7"/>
    <w:uiPriority w:val="34"/>
    <w:qFormat/>
    <w:pPr>
      <w:contextualSpacing/>
      <w:ind w:left="720"/>
    </w:pPr>
  </w:style>
  <w:style w:type="paragraph" w:styleId="673">
    <w:name w:val="Title"/>
    <w:basedOn w:val="827"/>
    <w:next w:val="827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28"/>
    <w:link w:val="673"/>
    <w:uiPriority w:val="10"/>
    <w:rPr>
      <w:sz w:val="48"/>
      <w:szCs w:val="48"/>
    </w:rPr>
  </w:style>
  <w:style w:type="paragraph" w:styleId="675">
    <w:name w:val="Subtitle"/>
    <w:basedOn w:val="827"/>
    <w:next w:val="827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28"/>
    <w:link w:val="675"/>
    <w:uiPriority w:val="11"/>
    <w:rPr>
      <w:sz w:val="24"/>
      <w:szCs w:val="24"/>
    </w:rPr>
  </w:style>
  <w:style w:type="paragraph" w:styleId="677">
    <w:name w:val="Quote"/>
    <w:basedOn w:val="827"/>
    <w:next w:val="827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7"/>
    <w:next w:val="827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7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28"/>
    <w:link w:val="681"/>
    <w:uiPriority w:val="99"/>
  </w:style>
  <w:style w:type="paragraph" w:styleId="683">
    <w:name w:val="Footer"/>
    <w:basedOn w:val="827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28"/>
    <w:link w:val="683"/>
    <w:uiPriority w:val="99"/>
  </w:style>
  <w:style w:type="paragraph" w:styleId="685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7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28"/>
    <w:uiPriority w:val="99"/>
    <w:unhideWhenUsed/>
    <w:rPr>
      <w:vertAlign w:val="superscript"/>
    </w:rPr>
  </w:style>
  <w:style w:type="character" w:styleId="815">
    <w:name w:val="Endnote Text Char"/>
    <w:link w:val="834"/>
    <w:uiPriority w:val="99"/>
    <w:rPr>
      <w:sz w:val="20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</w:style>
  <w:style w:type="character" w:styleId="828" w:default="1">
    <w:name w:val="Default Paragraph Font"/>
    <w:uiPriority w:val="1"/>
    <w:semiHidden/>
    <w:unhideWhenUsed/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table" w:styleId="831">
    <w:name w:val="Table Grid"/>
    <w:basedOn w:val="82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2">
    <w:name w:val="Balloon Text"/>
    <w:basedOn w:val="827"/>
    <w:link w:val="83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3" w:customStyle="1">
    <w:name w:val="Текст выноски Знак"/>
    <w:basedOn w:val="828"/>
    <w:link w:val="832"/>
    <w:uiPriority w:val="99"/>
    <w:semiHidden/>
    <w:rPr>
      <w:rFonts w:ascii="Segoe UI" w:hAnsi="Segoe UI" w:cs="Segoe UI"/>
      <w:sz w:val="18"/>
      <w:szCs w:val="18"/>
    </w:rPr>
  </w:style>
  <w:style w:type="paragraph" w:styleId="834">
    <w:name w:val="endnote text"/>
    <w:basedOn w:val="827"/>
    <w:link w:val="83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35" w:customStyle="1">
    <w:name w:val="Текст концевой сноски Знак"/>
    <w:basedOn w:val="828"/>
    <w:link w:val="834"/>
    <w:uiPriority w:val="99"/>
    <w:semiHidden/>
    <w:rPr>
      <w:sz w:val="20"/>
      <w:szCs w:val="20"/>
    </w:rPr>
  </w:style>
  <w:style w:type="character" w:styleId="836">
    <w:name w:val="endnote reference"/>
    <w:basedOn w:val="828"/>
    <w:uiPriority w:val="99"/>
    <w:semiHidden/>
    <w:unhideWhenUsed/>
    <w:rPr>
      <w:vertAlign w:val="superscript"/>
    </w:rPr>
  </w:style>
  <w:style w:type="character" w:styleId="837">
    <w:name w:val="Hyperlink"/>
    <w:basedOn w:val="828"/>
    <w:uiPriority w:val="99"/>
    <w:unhideWhenUsed/>
    <w:rPr>
      <w:color w:val="0563c1" w:themeColor="hyperlink"/>
      <w:u w:val="single"/>
    </w:rPr>
  </w:style>
  <w:style w:type="paragraph" w:styleId="83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4C93B-52D9-45B2-B344-9BBDAC66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Лариса Геннадьевна</dc:creator>
  <cp:revision>7</cp:revision>
  <dcterms:created xsi:type="dcterms:W3CDTF">2024-02-06T06:24:00Z</dcterms:created>
  <dcterms:modified xsi:type="dcterms:W3CDTF">2025-02-07T13:18:05Z</dcterms:modified>
</cp:coreProperties>
</file>