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6"/>
          <w:szCs w:val="26"/>
          <w:lang w:val="ru-RU" w:eastAsia="ru-RU" w:bidi="ar-SA"/>
        </w:rPr>
        <w:t>Ядринского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округа Чувашской Республики (возглавляющий администрацию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6"/>
          <w:szCs w:val="26"/>
          <w:lang w:val="ru-RU" w:eastAsia="ru-RU" w:bidi="ar-SA"/>
        </w:rPr>
        <w:t>Ядринского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округа Чувашской Республики и осуществляющий полномочия на постоянной основе).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Главой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ru-RU" w:bidi="ar-SA"/>
        </w:rPr>
        <w:t>Ядринского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Чувашской Республики обязанность по представлению сведений о доходах, об имуществе и обязательствах имущественного характера за отчетный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на себя исполнена.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2">
        <w:r>
          <w:rPr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83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0083c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134</Words>
  <Characters>1077</Characters>
  <CharactersWithSpaces>1208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2023-05-03T15:30:00Z</dcterms:created>
  <dc:creator>АГЧР Федоров Михаил Львович</dc:creator>
  <dc:description/>
  <dc:language>ru-RU</dc:language>
  <cp:lastModifiedBy/>
  <dcterms:modified xsi:type="dcterms:W3CDTF">2024-05-08T10:28:20Z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