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965AB8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B0B7B">
              <w:rPr>
                <w:noProof/>
                <w:color w:val="000000"/>
                <w:sz w:val="26"/>
                <w:szCs w:val="26"/>
                <w:lang w:val="en-US"/>
              </w:rPr>
              <w:t xml:space="preserve">10/160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965AB8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DB0B7B">
              <w:rPr>
                <w:sz w:val="26"/>
                <w:szCs w:val="26"/>
                <w:lang w:val="en-US"/>
              </w:rPr>
              <w:t>10/160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07778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207778" w:rsidTr="00207778">
        <w:trPr>
          <w:trHeight w:val="866"/>
        </w:trPr>
        <w:tc>
          <w:tcPr>
            <w:tcW w:w="4395" w:type="dxa"/>
          </w:tcPr>
          <w:p w:rsidR="009F65A7" w:rsidRPr="00207778" w:rsidRDefault="00207778" w:rsidP="00207778">
            <w:pPr>
              <w:jc w:val="both"/>
            </w:pPr>
            <w:r w:rsidRPr="00207778">
              <w:t>Об утверждении отчета об исполнении</w:t>
            </w:r>
            <w:r>
              <w:t xml:space="preserve">          </w:t>
            </w:r>
            <w:r w:rsidRPr="00207778">
              <w:t xml:space="preserve">бюджета </w:t>
            </w:r>
            <w:proofErr w:type="spellStart"/>
            <w:r w:rsidRPr="00207778">
              <w:t>Тюрлеминского</w:t>
            </w:r>
            <w:proofErr w:type="spellEnd"/>
            <w:r w:rsidRPr="00207778">
              <w:t xml:space="preserve"> сельского</w:t>
            </w:r>
            <w:r>
              <w:t xml:space="preserve"> </w:t>
            </w:r>
            <w:r w:rsidRPr="00207778">
              <w:t>поселения Козловского района</w:t>
            </w:r>
            <w:r>
              <w:t xml:space="preserve"> </w:t>
            </w:r>
            <w:r w:rsidRPr="00207778">
              <w:t>Чувашской Республики за 2022 год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207778" w:rsidRDefault="00207778" w:rsidP="004D7D9F">
      <w:pPr>
        <w:jc w:val="both"/>
        <w:rPr>
          <w:sz w:val="26"/>
          <w:szCs w:val="26"/>
        </w:rPr>
      </w:pPr>
    </w:p>
    <w:p w:rsidR="00207778" w:rsidRPr="00207778" w:rsidRDefault="00207778" w:rsidP="00207778">
      <w:pPr>
        <w:ind w:firstLine="708"/>
        <w:jc w:val="both"/>
      </w:pPr>
      <w:r w:rsidRPr="00207778">
        <w:t xml:space="preserve">Собрание депутатов Козловского муниципального округа Чувашской Республики                    </w:t>
      </w:r>
    </w:p>
    <w:p w:rsidR="00207778" w:rsidRPr="00207778" w:rsidRDefault="00207778" w:rsidP="00207778">
      <w:pPr>
        <w:ind w:firstLine="708"/>
        <w:jc w:val="center"/>
      </w:pPr>
    </w:p>
    <w:p w:rsidR="00207778" w:rsidRPr="00207778" w:rsidRDefault="00207778" w:rsidP="00207778">
      <w:pPr>
        <w:ind w:firstLine="708"/>
        <w:jc w:val="center"/>
      </w:pPr>
      <w:r w:rsidRPr="00207778">
        <w:t>РЕШИЛО:</w:t>
      </w:r>
    </w:p>
    <w:p w:rsidR="00207778" w:rsidRPr="00207778" w:rsidRDefault="00207778" w:rsidP="00207778">
      <w:pPr>
        <w:jc w:val="both"/>
      </w:pPr>
      <w:r w:rsidRPr="00207778">
        <w:tab/>
        <w:t>Статья 1.</w:t>
      </w:r>
    </w:p>
    <w:p w:rsidR="00207778" w:rsidRPr="00207778" w:rsidRDefault="00207778" w:rsidP="00207778">
      <w:pPr>
        <w:jc w:val="both"/>
      </w:pPr>
      <w:r w:rsidRPr="00207778">
        <w:tab/>
      </w:r>
      <w:proofErr w:type="gramStart"/>
      <w:r w:rsidRPr="00207778">
        <w:t xml:space="preserve">Утвердить отчет об исполнении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за 2022 год по доходам в сумме 10193,3 тыс. рублей, по расходам в сумме 10484,6 тыс. рублей, с превышением расходов над доходами (дефицит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Республики) в сумме 291,3 тыс. рублей и со следующими показателями:</w:t>
      </w:r>
      <w:proofErr w:type="gramEnd"/>
    </w:p>
    <w:p w:rsidR="00207778" w:rsidRPr="00207778" w:rsidRDefault="00207778" w:rsidP="00207778">
      <w:pPr>
        <w:ind w:firstLine="705"/>
        <w:jc w:val="both"/>
      </w:pPr>
      <w:r w:rsidRPr="00207778">
        <w:t xml:space="preserve">доходов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207778" w:rsidRPr="00207778" w:rsidRDefault="00207778" w:rsidP="00207778">
      <w:pPr>
        <w:ind w:firstLine="705"/>
        <w:jc w:val="both"/>
      </w:pPr>
      <w:r w:rsidRPr="00207778">
        <w:t xml:space="preserve">расходов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по  ведомственной структуре расходов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за 2022 год согласно приложению 2 к настоящему Решению;</w:t>
      </w:r>
    </w:p>
    <w:p w:rsidR="00207778" w:rsidRPr="00207778" w:rsidRDefault="00207778" w:rsidP="00207778">
      <w:pPr>
        <w:ind w:firstLine="705"/>
        <w:jc w:val="both"/>
      </w:pPr>
      <w:r w:rsidRPr="00207778">
        <w:t xml:space="preserve">расходов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за 2022 год согласно приложению 3 к настоящему Решению;</w:t>
      </w:r>
    </w:p>
    <w:p w:rsidR="00207778" w:rsidRPr="00207778" w:rsidRDefault="00207778" w:rsidP="00207778">
      <w:pPr>
        <w:ind w:firstLine="705"/>
        <w:jc w:val="both"/>
      </w:pPr>
      <w:r w:rsidRPr="00207778">
        <w:t xml:space="preserve">источников финансирования дефицита бюджета </w:t>
      </w:r>
      <w:proofErr w:type="spellStart"/>
      <w:r w:rsidRPr="00207778">
        <w:t>Тюрлеминского</w:t>
      </w:r>
      <w:proofErr w:type="spellEnd"/>
      <w:r w:rsidRPr="00207778">
        <w:t xml:space="preserve"> сельского поселения Козловского района Чувашской Республики по кодам </w:t>
      </w:r>
      <w:proofErr w:type="gramStart"/>
      <w:r w:rsidRPr="00207778">
        <w:t>классификации источников финансирования дефицитов бюджета</w:t>
      </w:r>
      <w:proofErr w:type="gramEnd"/>
      <w:r w:rsidRPr="00207778">
        <w:t xml:space="preserve"> за 2022 год согласно приложению 4 к настоящему Решению</w:t>
      </w:r>
      <w:r>
        <w:t>.</w:t>
      </w:r>
    </w:p>
    <w:p w:rsidR="00207778" w:rsidRPr="00207778" w:rsidRDefault="00207778" w:rsidP="00207778">
      <w:pPr>
        <w:ind w:firstLine="705"/>
        <w:jc w:val="both"/>
      </w:pPr>
    </w:p>
    <w:p w:rsidR="00207778" w:rsidRPr="00207778" w:rsidRDefault="00207778" w:rsidP="00207778">
      <w:pPr>
        <w:jc w:val="both"/>
      </w:pPr>
      <w:r w:rsidRPr="00207778">
        <w:t xml:space="preserve">            Статья 2.</w:t>
      </w:r>
    </w:p>
    <w:p w:rsidR="00207778" w:rsidRDefault="00207778" w:rsidP="00207778">
      <w:pPr>
        <w:jc w:val="both"/>
        <w:rPr>
          <w:shd w:val="clear" w:color="auto" w:fill="FFFFFF"/>
        </w:rPr>
      </w:pPr>
      <w:r w:rsidRPr="00207778">
        <w:tab/>
        <w:t xml:space="preserve">Настоящее </w:t>
      </w:r>
      <w:r w:rsidR="00320256">
        <w:t>р</w:t>
      </w:r>
      <w:r w:rsidRPr="00207778">
        <w:t xml:space="preserve">ешение </w:t>
      </w:r>
      <w:r w:rsidRPr="00207778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07778" w:rsidRDefault="00207778" w:rsidP="00207778">
      <w:pPr>
        <w:jc w:val="both"/>
        <w:rPr>
          <w:shd w:val="clear" w:color="auto" w:fill="FFFFFF"/>
        </w:rPr>
      </w:pPr>
    </w:p>
    <w:p w:rsidR="00207778" w:rsidRDefault="00207778" w:rsidP="0020777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Председатель Собрания депутатов</w:t>
      </w:r>
    </w:p>
    <w:p w:rsidR="00207778" w:rsidRDefault="00207778" w:rsidP="0020777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207778" w:rsidRPr="00207778" w:rsidRDefault="00207778" w:rsidP="0020777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9936" w:type="dxa"/>
        <w:tblInd w:w="95" w:type="dxa"/>
        <w:tblLayout w:type="fixed"/>
        <w:tblLook w:val="04A0"/>
      </w:tblPr>
      <w:tblGrid>
        <w:gridCol w:w="5053"/>
        <w:gridCol w:w="1134"/>
        <w:gridCol w:w="478"/>
        <w:gridCol w:w="1932"/>
        <w:gridCol w:w="1339"/>
      </w:tblGrid>
      <w:tr w:rsidR="00207778" w:rsidRPr="001F66BE" w:rsidTr="006E3B88">
        <w:trPr>
          <w:trHeight w:val="169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778" w:rsidRPr="001F66BE" w:rsidRDefault="00207778" w:rsidP="006E3B88">
            <w:pPr>
              <w:rPr>
                <w:b/>
                <w:bCs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778" w:rsidRPr="001F66BE" w:rsidRDefault="00207778" w:rsidP="006E3B88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207778" w:rsidRPr="001F66BE" w:rsidRDefault="00207778" w:rsidP="00207778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207778" w:rsidRPr="001F66BE" w:rsidTr="006E3B88">
        <w:trPr>
          <w:trHeight w:val="70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778" w:rsidRDefault="00207778" w:rsidP="006E3B88">
            <w:pPr>
              <w:jc w:val="center"/>
              <w:rPr>
                <w:b/>
              </w:rPr>
            </w:pPr>
          </w:p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07778" w:rsidRPr="001F66BE" w:rsidTr="006E3B88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778" w:rsidRPr="001F66BE" w:rsidRDefault="00207778" w:rsidP="006E3B88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207778" w:rsidRPr="001F66BE" w:rsidTr="006E3B88">
        <w:trPr>
          <w:trHeight w:val="300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207778" w:rsidRPr="001F66BE" w:rsidTr="006E3B88">
        <w:trPr>
          <w:trHeight w:val="1065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78" w:rsidRPr="001F66BE" w:rsidRDefault="00207778" w:rsidP="006E3B8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78" w:rsidRPr="001F66BE" w:rsidRDefault="00207778" w:rsidP="006E3B88"/>
        </w:tc>
      </w:tr>
      <w:tr w:rsidR="00207778" w:rsidRPr="001F66BE" w:rsidTr="006E3B88">
        <w:trPr>
          <w:trHeight w:val="284"/>
          <w:tblHeader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207778" w:rsidRPr="001F66BE" w:rsidTr="006E3B88">
        <w:trPr>
          <w:trHeight w:val="115"/>
        </w:trPr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7778" w:rsidRPr="001F66BE" w:rsidRDefault="00207778" w:rsidP="006E3B88">
            <w:pPr>
              <w:rPr>
                <w:b/>
                <w:bCs/>
              </w:rPr>
            </w:pP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10193,3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</w:rPr>
            </w:pP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1181,6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592,3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3,2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654,0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-67,9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Cs/>
              </w:rPr>
            </w:pPr>
          </w:p>
        </w:tc>
      </w:tr>
      <w:tr w:rsidR="00207778" w:rsidRPr="001F66BE" w:rsidTr="006E3B88">
        <w:trPr>
          <w:trHeight w:val="146"/>
        </w:trPr>
        <w:tc>
          <w:tcPr>
            <w:tcW w:w="5053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</w:rPr>
            </w:pP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1577,8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</w:t>
            </w:r>
            <w:r w:rsidRPr="001F66BE">
              <w:rPr>
                <w:sz w:val="22"/>
                <w:szCs w:val="22"/>
              </w:rPr>
              <w:lastRenderedPageBreak/>
              <w:t>исчисление и уплата  налога осуществляются  в соответствии  со статьями 227, 227.1 и 228  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395,7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2,9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86,3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575,4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216,9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20777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300,6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7433,9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Государственная  пошлина  за 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2,7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Доходы, получаемые в виде  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106,7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  от  сдачи в аренду имущества, находящегося в оперативном управлении органов управления  сельских поселений и 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39,7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44,4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Прочие доходы от компенсации  затрат бюджетов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5,5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797,2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>Невыясненные поступления</w:t>
            </w:r>
            <w:r w:rsidRPr="001F66BE">
              <w:rPr>
                <w:sz w:val="22"/>
                <w:szCs w:val="22"/>
              </w:rPr>
              <w:t>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1 17 </w:t>
            </w:r>
            <w:r>
              <w:rPr>
                <w:color w:val="000000"/>
                <w:sz w:val="22"/>
                <w:szCs w:val="22"/>
              </w:rPr>
              <w:t>01050</w:t>
            </w:r>
            <w:r w:rsidRPr="001F66BE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F66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-3,5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4271,6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 xml:space="preserve">Субсидии бюджетам сельских поселений  на </w:t>
            </w:r>
            <w:r w:rsidRPr="001F66BE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Default="00207778" w:rsidP="006E3B88">
            <w:pPr>
              <w:jc w:val="center"/>
              <w:outlineLvl w:val="4"/>
              <w:rPr>
                <w:color w:val="000000"/>
              </w:rPr>
            </w:pPr>
          </w:p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Default="00207778" w:rsidP="006E3B88">
            <w:pPr>
              <w:jc w:val="center"/>
              <w:outlineLvl w:val="4"/>
            </w:pPr>
          </w:p>
          <w:p w:rsidR="00207778" w:rsidRDefault="00207778" w:rsidP="006E3B88">
            <w:pPr>
              <w:jc w:val="center"/>
              <w:outlineLvl w:val="4"/>
            </w:pPr>
          </w:p>
          <w:p w:rsidR="00207778" w:rsidRDefault="00207778" w:rsidP="006E3B88">
            <w:pPr>
              <w:jc w:val="center"/>
              <w:outlineLvl w:val="4"/>
            </w:pPr>
          </w:p>
          <w:p w:rsidR="00207778" w:rsidRDefault="00207778" w:rsidP="006E3B88">
            <w:pPr>
              <w:jc w:val="center"/>
              <w:outlineLvl w:val="4"/>
            </w:pPr>
          </w:p>
          <w:p w:rsidR="00207778" w:rsidRDefault="00207778" w:rsidP="006E3B88">
            <w:pPr>
              <w:jc w:val="center"/>
              <w:outlineLvl w:val="4"/>
            </w:pPr>
          </w:p>
          <w:p w:rsidR="00207778" w:rsidRDefault="00207778" w:rsidP="006E3B88">
            <w:pPr>
              <w:jc w:val="center"/>
              <w:outlineLvl w:val="4"/>
            </w:pPr>
          </w:p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1324,9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lastRenderedPageBreak/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544,7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0,3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249,6</w:t>
            </w:r>
          </w:p>
        </w:tc>
      </w:tr>
      <w:tr w:rsidR="00207778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07778" w:rsidRPr="001F66BE" w:rsidRDefault="00207778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50,1</w:t>
            </w:r>
          </w:p>
        </w:tc>
      </w:tr>
    </w:tbl>
    <w:p w:rsidR="00207778" w:rsidRPr="001F66BE" w:rsidRDefault="00207778" w:rsidP="00207778">
      <w:pPr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</w:t>
      </w: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Default="00207778" w:rsidP="00207778">
      <w:pPr>
        <w:rPr>
          <w:i/>
          <w:iCs/>
          <w:sz w:val="22"/>
          <w:szCs w:val="22"/>
        </w:rPr>
      </w:pPr>
    </w:p>
    <w:p w:rsidR="00207778" w:rsidRPr="001F66BE" w:rsidRDefault="00207778" w:rsidP="00207778">
      <w:pPr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Тюрлеминского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>
        <w:rPr>
          <w:i/>
          <w:iCs/>
          <w:sz w:val="22"/>
          <w:szCs w:val="22"/>
        </w:rPr>
        <w:t>»</w:t>
      </w:r>
    </w:p>
    <w:p w:rsidR="00207778" w:rsidRDefault="00207778" w:rsidP="00207778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207778" w:rsidRPr="00207778" w:rsidRDefault="00207778" w:rsidP="00207778">
      <w:pPr>
        <w:pStyle w:val="a6"/>
        <w:jc w:val="center"/>
        <w:rPr>
          <w:b/>
          <w:sz w:val="22"/>
          <w:szCs w:val="22"/>
        </w:rPr>
      </w:pPr>
      <w:r w:rsidRPr="00207778">
        <w:rPr>
          <w:b/>
          <w:sz w:val="22"/>
          <w:szCs w:val="22"/>
        </w:rPr>
        <w:t>Расходы</w:t>
      </w:r>
    </w:p>
    <w:p w:rsidR="00207778" w:rsidRPr="00207778" w:rsidRDefault="00207778" w:rsidP="00207778">
      <w:pPr>
        <w:pStyle w:val="a6"/>
        <w:jc w:val="center"/>
        <w:rPr>
          <w:b/>
          <w:sz w:val="22"/>
          <w:szCs w:val="22"/>
        </w:rPr>
      </w:pPr>
      <w:r w:rsidRPr="00207778">
        <w:rPr>
          <w:b/>
          <w:sz w:val="22"/>
          <w:szCs w:val="22"/>
        </w:rPr>
        <w:t xml:space="preserve">бюджета </w:t>
      </w:r>
      <w:proofErr w:type="spellStart"/>
      <w:r w:rsidRPr="00207778">
        <w:rPr>
          <w:b/>
          <w:sz w:val="22"/>
          <w:szCs w:val="22"/>
        </w:rPr>
        <w:t>Тюрлеминского</w:t>
      </w:r>
      <w:proofErr w:type="spellEnd"/>
      <w:r w:rsidRPr="00207778">
        <w:rPr>
          <w:b/>
          <w:sz w:val="22"/>
          <w:szCs w:val="22"/>
        </w:rPr>
        <w:t xml:space="preserve"> сельского поселения Козловского района</w:t>
      </w:r>
    </w:p>
    <w:p w:rsidR="00207778" w:rsidRPr="00207778" w:rsidRDefault="00207778" w:rsidP="00207778">
      <w:pPr>
        <w:pStyle w:val="a6"/>
        <w:jc w:val="center"/>
        <w:rPr>
          <w:b/>
          <w:sz w:val="22"/>
          <w:szCs w:val="22"/>
        </w:rPr>
      </w:pPr>
      <w:r w:rsidRPr="00207778">
        <w:rPr>
          <w:b/>
          <w:sz w:val="22"/>
          <w:szCs w:val="22"/>
        </w:rPr>
        <w:t xml:space="preserve">Чувашской Республики по ведомственной структуре расходов бюджета </w:t>
      </w:r>
      <w:proofErr w:type="spellStart"/>
      <w:r w:rsidRPr="00207778">
        <w:rPr>
          <w:b/>
          <w:sz w:val="22"/>
          <w:szCs w:val="22"/>
        </w:rPr>
        <w:t>Тюрлеминского</w:t>
      </w:r>
      <w:proofErr w:type="spellEnd"/>
      <w:r w:rsidRPr="00207778">
        <w:rPr>
          <w:b/>
          <w:sz w:val="22"/>
          <w:szCs w:val="22"/>
        </w:rPr>
        <w:t xml:space="preserve"> сельского поселения Козловского района Чувашской Республики за 2022 год</w:t>
      </w:r>
    </w:p>
    <w:p w:rsidR="00207778" w:rsidRPr="001F66BE" w:rsidRDefault="00207778" w:rsidP="00207778">
      <w:pPr>
        <w:rPr>
          <w:sz w:val="22"/>
          <w:szCs w:val="22"/>
        </w:rPr>
      </w:pPr>
    </w:p>
    <w:p w:rsidR="00207778" w:rsidRPr="001F66BE" w:rsidRDefault="00207778" w:rsidP="00207778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6"/>
        <w:gridCol w:w="599"/>
        <w:gridCol w:w="16"/>
        <w:gridCol w:w="549"/>
        <w:gridCol w:w="7"/>
        <w:gridCol w:w="549"/>
        <w:gridCol w:w="13"/>
        <w:gridCol w:w="1701"/>
        <w:gridCol w:w="16"/>
        <w:gridCol w:w="943"/>
        <w:gridCol w:w="18"/>
        <w:gridCol w:w="1218"/>
        <w:gridCol w:w="348"/>
      </w:tblGrid>
      <w:tr w:rsidR="00207778" w:rsidRPr="001F66BE" w:rsidTr="00207778">
        <w:trPr>
          <w:gridAfter w:val="1"/>
          <w:wAfter w:w="360" w:type="dxa"/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207778" w:rsidRPr="001F66BE" w:rsidRDefault="00207778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207778" w:rsidRPr="001F66BE" w:rsidRDefault="00207778" w:rsidP="006E3B88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207778" w:rsidRPr="001F66BE" w:rsidRDefault="00207778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207778" w:rsidRPr="001F66BE" w:rsidRDefault="00207778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207778" w:rsidRPr="001F66BE" w:rsidRDefault="00207778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1F66BE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1" w:type="dxa"/>
            <w:gridSpan w:val="2"/>
            <w:vAlign w:val="center"/>
          </w:tcPr>
          <w:p w:rsidR="00207778" w:rsidRPr="001F66BE" w:rsidRDefault="00207778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207778" w:rsidRPr="001F66BE" w:rsidRDefault="00207778" w:rsidP="006E3B88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55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10484,6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Тюрлеминского</w:t>
            </w:r>
            <w:proofErr w:type="spellEnd"/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10484,6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77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7778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 w:rsidRPr="00207778">
              <w:rPr>
                <w:b/>
                <w:snapToGrid w:val="0"/>
                <w:color w:val="000000"/>
                <w:sz w:val="22"/>
                <w:szCs w:val="22"/>
              </w:rPr>
              <w:t>1974,1</w:t>
            </w:r>
          </w:p>
        </w:tc>
        <w:tc>
          <w:tcPr>
            <w:tcW w:w="360" w:type="dxa"/>
          </w:tcPr>
          <w:p w:rsidR="00207778" w:rsidRPr="00207778" w:rsidRDefault="00207778">
            <w:pPr>
              <w:spacing w:after="160" w:line="259" w:lineRule="auto"/>
            </w:pPr>
            <w:r w:rsidRPr="00207778">
              <w:rPr>
                <w:sz w:val="22"/>
                <w:szCs w:val="22"/>
              </w:rPr>
              <w:tab/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77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 w:rsidRPr="00207778">
              <w:rPr>
                <w:snapToGrid w:val="0"/>
                <w:color w:val="000000"/>
                <w:sz w:val="22"/>
                <w:szCs w:val="22"/>
              </w:rPr>
              <w:t>1957,6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эффективное использование 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Основное мероприятие «Осуществление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 xml:space="preserve">Поощрение региональной и </w:t>
            </w:r>
            <w:r w:rsidRPr="00207778">
              <w:rPr>
                <w:color w:val="000000"/>
                <w:sz w:val="22"/>
                <w:szCs w:val="22"/>
              </w:rPr>
              <w:lastRenderedPageBreak/>
              <w:t xml:space="preserve">муниципальных управленческих команд Чувашской 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207778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50,1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1907,5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1907,5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207778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07778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1907,5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1907,5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1517,8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120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1517,8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381,7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381,7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8,0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8,0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777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16,5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Муниципальная программа «Развитие земельных и имущественных отношений»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  <w:r w:rsidRPr="00207778">
              <w:rPr>
                <w:sz w:val="22"/>
                <w:szCs w:val="22"/>
              </w:rPr>
              <w:t>муниципальной программы «</w:t>
            </w:r>
            <w:r w:rsidRPr="00207778">
              <w:rPr>
                <w:color w:val="000000"/>
                <w:sz w:val="22"/>
                <w:szCs w:val="22"/>
              </w:rPr>
              <w:t>Развитие земельных и имущественных отношений»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условий для  максимального вовлечения в хозяйственный оборот  муниципального  имущества, в том числе земельных участков»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7,0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20777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20777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207778">
              <w:rPr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20777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15" w:type="dxa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77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778">
              <w:rPr>
                <w:sz w:val="22"/>
                <w:szCs w:val="22"/>
              </w:rPr>
              <w:t>9,5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20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Управление общественными финансами 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20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</w:t>
            </w:r>
            <w:r>
              <w:rPr>
                <w:color w:val="000000"/>
                <w:sz w:val="22"/>
                <w:szCs w:val="22"/>
              </w:rPr>
              <w:t>инансами и муниципальным долгом»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2077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233,5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233,5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16,1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16,1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20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Чувашской 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20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</w:t>
            </w:r>
            <w:r>
              <w:rPr>
                <w:color w:val="000000"/>
                <w:sz w:val="22"/>
                <w:szCs w:val="22"/>
              </w:rPr>
              <w:t>паратно-программного комплекса «</w:t>
            </w:r>
            <w:r w:rsidRPr="001F66BE">
              <w:rPr>
                <w:color w:val="000000"/>
                <w:sz w:val="22"/>
                <w:szCs w:val="22"/>
              </w:rPr>
              <w:t>Безопасный город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на территории Чувашской 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 Чувашской 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гражданской обороны, повышение уровня готовности Территориальной подсистемы Чувашской 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2965,5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2955,5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2955,5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2955,5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2955,5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778,0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778,0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778,0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1472,2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1472,2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1472,2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605,3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605,3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605,3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Другие вопросы  в области </w:t>
            </w:r>
            <w:r>
              <w:rPr>
                <w:color w:val="000000"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="00437FCA"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 образования, и внесение сведений в кадастр недвижимости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2611,9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437FCA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207778"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 w:rsidR="00207778"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="00207778"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 w:rsidR="00437FCA">
              <w:rPr>
                <w:bCs/>
                <w:color w:val="000000"/>
                <w:sz w:val="22"/>
                <w:szCs w:val="22"/>
              </w:rPr>
              <w:t>» муниципальной программы «</w:t>
            </w:r>
            <w:r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13,7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1441,5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30"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Муниципальная программа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1441,5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 w:rsidR="00437FCA">
              <w:rPr>
                <w:bCs/>
                <w:color w:val="000000"/>
                <w:sz w:val="22"/>
                <w:szCs w:val="22"/>
              </w:rPr>
              <w:t>» муниципальной программы «</w:t>
            </w:r>
            <w:r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А110000000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836,3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Обеспечение качества жилищно-коммунальных услуг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А110100000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836,3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А110170230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836,3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А110170230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836,3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А110170230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836,3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государственной программы Чувашской Республ</w:t>
            </w:r>
            <w:r w:rsidR="00437FCA">
              <w:rPr>
                <w:bCs/>
                <w:color w:val="000000"/>
                <w:sz w:val="22"/>
                <w:szCs w:val="22"/>
              </w:rPr>
              <w:t>ики «</w:t>
            </w:r>
            <w:r>
              <w:rPr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А130000000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605,2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Развитие систем водоснабжения муниципальных образований</w:t>
            </w:r>
            <w:r w:rsidR="00437FC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А130100000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605,2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Капитальный и текущий 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18,1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18,1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18,1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А130174870</w:t>
            </w:r>
          </w:p>
        </w:tc>
        <w:tc>
          <w:tcPr>
            <w:tcW w:w="993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587,1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А130174870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587,1</w:t>
            </w:r>
          </w:p>
        </w:tc>
      </w:tr>
      <w:tr w:rsidR="00207778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А130174870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62" w:type="dxa"/>
            <w:vAlign w:val="bottom"/>
            <w:hideMark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587,1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1156,4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437FCA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207778"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207778"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1156,4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 w:rsidR="00437FCA"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Pr="001F66BE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на </w:t>
            </w:r>
            <w:r w:rsidR="00437FCA">
              <w:rPr>
                <w:color w:val="000000"/>
                <w:sz w:val="22"/>
                <w:szCs w:val="22"/>
              </w:rPr>
              <w:t>территории Чувашской Республики»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1156,4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437FCA" w:rsidP="00437FC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207778" w:rsidRPr="001F66BE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1156,4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206,4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437FCA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207778" w:rsidRPr="001F66BE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>
              <w:rPr>
                <w:color w:val="000000"/>
                <w:sz w:val="22"/>
                <w:szCs w:val="22"/>
              </w:rPr>
              <w:t>»</w:t>
            </w:r>
            <w:r w:rsidR="00207778" w:rsidRPr="001F66BE">
              <w:rPr>
                <w:color w:val="000000"/>
                <w:sz w:val="22"/>
                <w:szCs w:val="22"/>
              </w:rPr>
              <w:t xml:space="preserve"> муниципальной</w:t>
            </w:r>
            <w:r>
              <w:rPr>
                <w:color w:val="000000"/>
                <w:sz w:val="22"/>
                <w:szCs w:val="22"/>
              </w:rPr>
              <w:t xml:space="preserve"> программы «</w:t>
            </w:r>
            <w:r w:rsidR="00207778"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437FCA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207778"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F66B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Ц410700000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Обеспечение деятельности   учреждений в сфере </w:t>
            </w:r>
            <w:proofErr w:type="spellStart"/>
            <w:r w:rsidRPr="001F66BE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1F66BE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15" w:type="dxa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FCA" w:rsidRDefault="00437FC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437FCA" w:rsidRDefault="00437FCA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437FCA" w:rsidRDefault="00437FCA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500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Pr="001F66BE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437FC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437FCA" w:rsidP="00437F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207778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207778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="00207778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2077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437F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37F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Физкультурно-оздоровительная и спортивно-массовая работа с населением</w:t>
            </w:r>
            <w:r w:rsidR="00437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07778" w:rsidRPr="001F66BE" w:rsidTr="002077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360" w:type="dxa"/>
          <w:trHeight w:val="20"/>
        </w:trPr>
        <w:tc>
          <w:tcPr>
            <w:tcW w:w="4110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0" w:type="dxa"/>
            <w:gridSpan w:val="2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3420" w:hanging="1080"/>
        <w:rPr>
          <w:i/>
          <w:iCs/>
          <w:sz w:val="22"/>
          <w:szCs w:val="22"/>
        </w:rPr>
      </w:pPr>
    </w:p>
    <w:p w:rsidR="00207778" w:rsidRPr="001F66BE" w:rsidRDefault="00207778" w:rsidP="00207778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437FCA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Тюрлеминского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437FCA">
        <w:rPr>
          <w:i/>
          <w:iCs/>
          <w:sz w:val="22"/>
          <w:szCs w:val="22"/>
        </w:rPr>
        <w:t>»</w:t>
      </w:r>
    </w:p>
    <w:p w:rsidR="00207778" w:rsidRPr="001F66BE" w:rsidRDefault="00207778" w:rsidP="00207778">
      <w:pPr>
        <w:rPr>
          <w:sz w:val="22"/>
          <w:szCs w:val="22"/>
        </w:rPr>
      </w:pPr>
    </w:p>
    <w:p w:rsidR="00207778" w:rsidRPr="001F66BE" w:rsidRDefault="00207778" w:rsidP="00207778">
      <w:pPr>
        <w:rPr>
          <w:sz w:val="22"/>
          <w:szCs w:val="22"/>
        </w:rPr>
      </w:pPr>
    </w:p>
    <w:p w:rsidR="00207778" w:rsidRPr="001F66BE" w:rsidRDefault="00207778" w:rsidP="00207778">
      <w:pPr>
        <w:pStyle w:val="7"/>
        <w:rPr>
          <w:rFonts w:ascii="Times New Roman" w:hAnsi="Times New Roman"/>
          <w:b/>
          <w:sz w:val="22"/>
          <w:szCs w:val="22"/>
        </w:rPr>
      </w:pPr>
      <w:r w:rsidRPr="001F66BE">
        <w:rPr>
          <w:rFonts w:ascii="Times New Roman" w:hAnsi="Times New Roman"/>
          <w:b/>
          <w:sz w:val="22"/>
          <w:szCs w:val="22"/>
        </w:rPr>
        <w:t>Расходы</w:t>
      </w:r>
    </w:p>
    <w:p w:rsidR="00207778" w:rsidRPr="001F66BE" w:rsidRDefault="00207778" w:rsidP="00207778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бюджета </w:t>
      </w:r>
      <w:proofErr w:type="spellStart"/>
      <w:r>
        <w:rPr>
          <w:b/>
          <w:sz w:val="22"/>
          <w:szCs w:val="22"/>
        </w:rPr>
        <w:t>Тюрлеминского</w:t>
      </w:r>
      <w:proofErr w:type="spellEnd"/>
      <w:r w:rsidRPr="001F66BE">
        <w:rPr>
          <w:b/>
          <w:sz w:val="22"/>
          <w:szCs w:val="22"/>
        </w:rPr>
        <w:t xml:space="preserve"> сельского поселения </w:t>
      </w:r>
    </w:p>
    <w:p w:rsidR="00207778" w:rsidRPr="001F66BE" w:rsidRDefault="00207778" w:rsidP="00207778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Козловского района Чувашской Республики </w:t>
      </w:r>
    </w:p>
    <w:p w:rsidR="00207778" w:rsidRPr="001F66BE" w:rsidRDefault="00207778" w:rsidP="00207778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207778" w:rsidRPr="001F66BE" w:rsidRDefault="00207778" w:rsidP="00207778">
      <w:pPr>
        <w:pStyle w:val="af1"/>
        <w:spacing w:after="0"/>
        <w:jc w:val="center"/>
        <w:rPr>
          <w:sz w:val="22"/>
          <w:szCs w:val="22"/>
        </w:rPr>
      </w:pPr>
      <w:r w:rsidRPr="001F66BE">
        <w:rPr>
          <w:b/>
          <w:sz w:val="22"/>
          <w:szCs w:val="22"/>
        </w:rPr>
        <w:t>за 202</w:t>
      </w:r>
      <w:r>
        <w:rPr>
          <w:b/>
          <w:sz w:val="22"/>
          <w:szCs w:val="22"/>
        </w:rPr>
        <w:t>2</w:t>
      </w:r>
      <w:r w:rsidRPr="001F66BE">
        <w:rPr>
          <w:b/>
          <w:sz w:val="22"/>
          <w:szCs w:val="22"/>
        </w:rPr>
        <w:t xml:space="preserve"> год</w:t>
      </w:r>
    </w:p>
    <w:p w:rsidR="00207778" w:rsidRPr="001F66BE" w:rsidRDefault="00207778" w:rsidP="00207778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862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974"/>
        <w:gridCol w:w="1800"/>
      </w:tblGrid>
      <w:tr w:rsidR="00207778" w:rsidRPr="001F66BE" w:rsidTr="00437FCA">
        <w:trPr>
          <w:cantSplit/>
          <w:trHeight w:val="419"/>
        </w:trPr>
        <w:tc>
          <w:tcPr>
            <w:tcW w:w="6521" w:type="dxa"/>
            <w:vAlign w:val="center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gridSpan w:val="2"/>
            <w:vAlign w:val="center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800" w:type="dxa"/>
            <w:vAlign w:val="center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10484,6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07778" w:rsidRPr="001F66BE" w:rsidRDefault="00207778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207778" w:rsidRPr="001F66BE" w:rsidRDefault="00207778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1974,1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1957,6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207778" w:rsidRPr="001F66BE" w:rsidRDefault="00207778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249,6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2965,5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2955,5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10,0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2611,9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13,7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1441,5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1156,4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Pr="001F66BE" w:rsidRDefault="00207778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07778" w:rsidRPr="001F66BE" w:rsidRDefault="00207778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207778" w:rsidRPr="001F66BE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0,3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Default="00207778" w:rsidP="006E3B8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207778" w:rsidRDefault="00207778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207778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2658,5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974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07778" w:rsidRDefault="00207778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20,0</w:t>
            </w:r>
          </w:p>
        </w:tc>
      </w:tr>
      <w:tr w:rsidR="00207778" w:rsidRPr="001F66BE" w:rsidTr="00437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207778" w:rsidRDefault="00207778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974" w:type="dxa"/>
            <w:vAlign w:val="bottom"/>
          </w:tcPr>
          <w:p w:rsidR="00207778" w:rsidRDefault="00207778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207778" w:rsidRDefault="00207778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20,0</w:t>
            </w:r>
          </w:p>
        </w:tc>
      </w:tr>
    </w:tbl>
    <w:p w:rsidR="00207778" w:rsidRPr="001F66BE" w:rsidRDefault="00207778" w:rsidP="00207778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207778" w:rsidRPr="001F66BE" w:rsidRDefault="00207778" w:rsidP="00207778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437FCA" w:rsidRDefault="00437FCA" w:rsidP="00207778">
      <w:pPr>
        <w:ind w:left="5103" w:right="-1"/>
        <w:jc w:val="center"/>
        <w:rPr>
          <w:i/>
          <w:iCs/>
          <w:sz w:val="22"/>
          <w:szCs w:val="22"/>
        </w:rPr>
      </w:pPr>
    </w:p>
    <w:p w:rsidR="00207778" w:rsidRDefault="00207778" w:rsidP="00207778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207778" w:rsidRPr="001F66BE" w:rsidRDefault="00207778" w:rsidP="00207778">
      <w:pPr>
        <w:ind w:left="5103"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437FCA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Тюрлеминского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437FCA">
        <w:rPr>
          <w:i/>
          <w:iCs/>
          <w:sz w:val="22"/>
          <w:szCs w:val="22"/>
        </w:rPr>
        <w:t>»</w:t>
      </w:r>
    </w:p>
    <w:p w:rsidR="00207778" w:rsidRPr="001F66BE" w:rsidRDefault="00207778" w:rsidP="00207778">
      <w:pPr>
        <w:jc w:val="center"/>
        <w:rPr>
          <w:sz w:val="22"/>
          <w:szCs w:val="22"/>
        </w:rPr>
      </w:pPr>
    </w:p>
    <w:p w:rsidR="00207778" w:rsidRPr="001F66BE" w:rsidRDefault="00207778" w:rsidP="00207778">
      <w:pPr>
        <w:rPr>
          <w:sz w:val="22"/>
          <w:szCs w:val="22"/>
        </w:rPr>
      </w:pPr>
    </w:p>
    <w:p w:rsidR="00207778" w:rsidRPr="00437FCA" w:rsidRDefault="00207778" w:rsidP="00437FCA">
      <w:pPr>
        <w:pStyle w:val="a6"/>
        <w:jc w:val="center"/>
        <w:rPr>
          <w:b/>
          <w:sz w:val="22"/>
          <w:szCs w:val="22"/>
        </w:rPr>
      </w:pPr>
      <w:r w:rsidRPr="00437FCA">
        <w:rPr>
          <w:b/>
          <w:sz w:val="22"/>
          <w:szCs w:val="22"/>
        </w:rPr>
        <w:t>Источники финансирования дефицита</w:t>
      </w:r>
    </w:p>
    <w:p w:rsidR="00207778" w:rsidRPr="00437FCA" w:rsidRDefault="00207778" w:rsidP="00437FCA">
      <w:pPr>
        <w:pStyle w:val="a6"/>
        <w:jc w:val="center"/>
        <w:rPr>
          <w:b/>
          <w:sz w:val="22"/>
          <w:szCs w:val="22"/>
        </w:rPr>
      </w:pPr>
      <w:r w:rsidRPr="00437FCA">
        <w:rPr>
          <w:b/>
          <w:sz w:val="22"/>
          <w:szCs w:val="22"/>
        </w:rPr>
        <w:t xml:space="preserve">бюджета </w:t>
      </w:r>
      <w:proofErr w:type="spellStart"/>
      <w:r w:rsidRPr="00437FCA">
        <w:rPr>
          <w:b/>
          <w:sz w:val="22"/>
          <w:szCs w:val="22"/>
        </w:rPr>
        <w:t>Тюрлеминского</w:t>
      </w:r>
      <w:proofErr w:type="spellEnd"/>
      <w:r w:rsidRPr="00437FCA">
        <w:rPr>
          <w:b/>
          <w:sz w:val="22"/>
          <w:szCs w:val="22"/>
        </w:rPr>
        <w:t xml:space="preserve"> сельского поселения</w:t>
      </w:r>
    </w:p>
    <w:p w:rsidR="00207778" w:rsidRPr="00437FCA" w:rsidRDefault="00207778" w:rsidP="00437FCA">
      <w:pPr>
        <w:pStyle w:val="a6"/>
        <w:jc w:val="center"/>
        <w:rPr>
          <w:b/>
          <w:sz w:val="22"/>
          <w:szCs w:val="22"/>
        </w:rPr>
      </w:pPr>
      <w:r w:rsidRPr="00437FCA">
        <w:rPr>
          <w:b/>
          <w:sz w:val="22"/>
          <w:szCs w:val="22"/>
        </w:rPr>
        <w:t>Козловского района Чувашской Республики</w:t>
      </w:r>
    </w:p>
    <w:p w:rsidR="00207778" w:rsidRPr="00437FCA" w:rsidRDefault="00207778" w:rsidP="00437FCA">
      <w:pPr>
        <w:pStyle w:val="a6"/>
        <w:jc w:val="center"/>
        <w:rPr>
          <w:b/>
          <w:sz w:val="22"/>
          <w:szCs w:val="22"/>
        </w:rPr>
      </w:pPr>
      <w:r w:rsidRPr="00437FCA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207778" w:rsidRPr="00437FCA" w:rsidRDefault="00207778" w:rsidP="00437FCA">
      <w:pPr>
        <w:pStyle w:val="a6"/>
        <w:jc w:val="center"/>
        <w:rPr>
          <w:b/>
          <w:sz w:val="22"/>
          <w:szCs w:val="22"/>
        </w:rPr>
      </w:pPr>
      <w:r w:rsidRPr="00437FCA">
        <w:rPr>
          <w:b/>
          <w:sz w:val="22"/>
          <w:szCs w:val="22"/>
        </w:rPr>
        <w:t>бюджетов за 2022 год</w:t>
      </w:r>
    </w:p>
    <w:p w:rsidR="00207778" w:rsidRPr="001F66BE" w:rsidRDefault="00207778" w:rsidP="00207778">
      <w:pPr>
        <w:jc w:val="center"/>
        <w:rPr>
          <w:sz w:val="22"/>
          <w:szCs w:val="22"/>
        </w:rPr>
      </w:pPr>
    </w:p>
    <w:p w:rsidR="00207778" w:rsidRPr="001F66BE" w:rsidRDefault="00207778" w:rsidP="00207778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207778" w:rsidRPr="001F66BE" w:rsidTr="006E3B88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207778" w:rsidRPr="001F66BE" w:rsidTr="006E3B88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207778" w:rsidRPr="001F66BE" w:rsidRDefault="00207778" w:rsidP="006E3B88">
            <w:pPr>
              <w:jc w:val="right"/>
            </w:pPr>
          </w:p>
        </w:tc>
        <w:tc>
          <w:tcPr>
            <w:tcW w:w="1225" w:type="dxa"/>
          </w:tcPr>
          <w:p w:rsidR="00207778" w:rsidRPr="001F66BE" w:rsidRDefault="00207778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207778" w:rsidRPr="001F66BE" w:rsidRDefault="00207778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207778" w:rsidRPr="001F66BE" w:rsidRDefault="00207778" w:rsidP="006E3B88">
            <w:pPr>
              <w:jc w:val="right"/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207778" w:rsidRPr="001F66BE" w:rsidRDefault="00207778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291,3</w:t>
            </w: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Тюрлеминского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291,3</w:t>
            </w: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</w:pP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291,3</w:t>
            </w: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-10221,3</w:t>
            </w:r>
          </w:p>
        </w:tc>
      </w:tr>
      <w:tr w:rsidR="00207778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7778" w:rsidRPr="001F66BE" w:rsidRDefault="00207778" w:rsidP="006E3B88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78" w:rsidRPr="001F66BE" w:rsidRDefault="00207778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10512,6</w:t>
            </w:r>
          </w:p>
        </w:tc>
      </w:tr>
    </w:tbl>
    <w:p w:rsidR="00207778" w:rsidRPr="001F66BE" w:rsidRDefault="00207778" w:rsidP="00207778">
      <w:pPr>
        <w:rPr>
          <w:sz w:val="22"/>
          <w:szCs w:val="22"/>
        </w:rPr>
      </w:pP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207778" w:rsidRPr="001F66BE" w:rsidRDefault="00207778" w:rsidP="00207778">
      <w:pPr>
        <w:pStyle w:val="1"/>
        <w:ind w:left="3984"/>
        <w:rPr>
          <w:i/>
          <w:sz w:val="22"/>
          <w:szCs w:val="22"/>
        </w:rPr>
      </w:pPr>
    </w:p>
    <w:p w:rsidR="00207778" w:rsidRPr="001F66BE" w:rsidRDefault="00207778" w:rsidP="00207778">
      <w:pPr>
        <w:pStyle w:val="1"/>
        <w:ind w:left="3984"/>
        <w:rPr>
          <w:i/>
          <w:sz w:val="22"/>
          <w:szCs w:val="22"/>
        </w:rPr>
      </w:pPr>
    </w:p>
    <w:p w:rsidR="00207778" w:rsidRPr="001F66BE" w:rsidRDefault="00207778" w:rsidP="00207778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207778" w:rsidRPr="001F66BE" w:rsidRDefault="00207778" w:rsidP="00207778">
      <w:pPr>
        <w:jc w:val="both"/>
        <w:rPr>
          <w:sz w:val="22"/>
          <w:szCs w:val="22"/>
        </w:rPr>
      </w:pPr>
    </w:p>
    <w:p w:rsidR="00E867F0" w:rsidRPr="0015476A" w:rsidRDefault="00E867F0" w:rsidP="00207778">
      <w:pPr>
        <w:ind w:firstLine="561"/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15476A"/>
    <w:rsid w:val="001D2C6C"/>
    <w:rsid w:val="001D7B0E"/>
    <w:rsid w:val="00207778"/>
    <w:rsid w:val="002135EE"/>
    <w:rsid w:val="00320256"/>
    <w:rsid w:val="003F5949"/>
    <w:rsid w:val="00411A06"/>
    <w:rsid w:val="00437FCA"/>
    <w:rsid w:val="004675C2"/>
    <w:rsid w:val="004C2DD8"/>
    <w:rsid w:val="004D0C41"/>
    <w:rsid w:val="004D7D9F"/>
    <w:rsid w:val="0051541E"/>
    <w:rsid w:val="00561D58"/>
    <w:rsid w:val="005A6EE4"/>
    <w:rsid w:val="005C266D"/>
    <w:rsid w:val="00653A9E"/>
    <w:rsid w:val="00653C97"/>
    <w:rsid w:val="0065531A"/>
    <w:rsid w:val="00675180"/>
    <w:rsid w:val="00685296"/>
    <w:rsid w:val="00786C3A"/>
    <w:rsid w:val="007F1B4E"/>
    <w:rsid w:val="007F67F1"/>
    <w:rsid w:val="00815B0D"/>
    <w:rsid w:val="008217B3"/>
    <w:rsid w:val="00853D6E"/>
    <w:rsid w:val="008907CD"/>
    <w:rsid w:val="008E6894"/>
    <w:rsid w:val="00913BD4"/>
    <w:rsid w:val="009530F1"/>
    <w:rsid w:val="00965AB8"/>
    <w:rsid w:val="00966FEF"/>
    <w:rsid w:val="00973C1E"/>
    <w:rsid w:val="009B1212"/>
    <w:rsid w:val="009D4085"/>
    <w:rsid w:val="009F265D"/>
    <w:rsid w:val="009F3CE6"/>
    <w:rsid w:val="009F65A7"/>
    <w:rsid w:val="00A82D30"/>
    <w:rsid w:val="00A9050F"/>
    <w:rsid w:val="00A93554"/>
    <w:rsid w:val="00AB0CA0"/>
    <w:rsid w:val="00B724B0"/>
    <w:rsid w:val="00BA4222"/>
    <w:rsid w:val="00BD0BFD"/>
    <w:rsid w:val="00C95263"/>
    <w:rsid w:val="00D93CF6"/>
    <w:rsid w:val="00DA407E"/>
    <w:rsid w:val="00DB0B7B"/>
    <w:rsid w:val="00DC7B12"/>
    <w:rsid w:val="00DD4E84"/>
    <w:rsid w:val="00E14846"/>
    <w:rsid w:val="00E62995"/>
    <w:rsid w:val="00E867F0"/>
    <w:rsid w:val="00EA48C0"/>
    <w:rsid w:val="00EB65DB"/>
    <w:rsid w:val="00F17E66"/>
    <w:rsid w:val="00F54E2A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7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207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7778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077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7778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207778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07778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77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77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777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077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777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0777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07778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20777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207778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20777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207778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20777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207778"/>
  </w:style>
  <w:style w:type="paragraph" w:styleId="af">
    <w:name w:val="footer"/>
    <w:basedOn w:val="a"/>
    <w:link w:val="af0"/>
    <w:rsid w:val="002077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207778"/>
    <w:pPr>
      <w:spacing w:after="120"/>
    </w:pPr>
  </w:style>
  <w:style w:type="character" w:customStyle="1" w:styleId="af2">
    <w:name w:val="Основной текст Знак"/>
    <w:basedOn w:val="a0"/>
    <w:link w:val="af1"/>
    <w:rsid w:val="0020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077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2077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0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207778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207778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207778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207778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207778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207778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207778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207778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207778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2023-05-04T15:17:00Z</cp:lastPrinted>
  <dcterms:created xsi:type="dcterms:W3CDTF">2023-04-24T14:24:00Z</dcterms:created>
  <dcterms:modified xsi:type="dcterms:W3CDTF">2023-05-04T15:18:00Z</dcterms:modified>
</cp:coreProperties>
</file>