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54"/>
        <w:gridCol w:w="3163"/>
        <w:gridCol w:w="2971"/>
      </w:tblGrid>
      <w:tr w:rsidR="000050F8" w:rsidTr="000050F8">
        <w:tc>
          <w:tcPr>
            <w:tcW w:w="3369" w:type="dxa"/>
          </w:tcPr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Чаваш Республики                                                          Муркаш районен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Катькас ял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поселенийен                                                             депутачесен Пухаве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28.03.2018 ç. № С-30/2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Кораккаси  яле</w:t>
            </w:r>
          </w:p>
        </w:tc>
        <w:tc>
          <w:tcPr>
            <w:tcW w:w="3402" w:type="dxa"/>
            <w:hideMark/>
          </w:tcPr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Кадикасинского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28.03.2018 г. №С-30/2</w:t>
            </w:r>
          </w:p>
          <w:p w:rsidR="000050F8" w:rsidRDefault="000050F8">
            <w:pPr>
              <w:pStyle w:val="affb"/>
              <w:widowControl/>
              <w:tabs>
                <w:tab w:val="center" w:pos="4153"/>
                <w:tab w:val="right" w:pos="8306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Кораккасы</w:t>
            </w:r>
          </w:p>
        </w:tc>
      </w:tr>
    </w:tbl>
    <w:p w:rsidR="000050F8" w:rsidRDefault="000050F8" w:rsidP="000050F8"/>
    <w:p w:rsidR="000050F8" w:rsidRDefault="000050F8" w:rsidP="000050F8"/>
    <w:p w:rsidR="000050F8" w:rsidRDefault="000050F8" w:rsidP="000050F8"/>
    <w:tbl>
      <w:tblPr>
        <w:tblW w:w="0" w:type="auto"/>
        <w:tblLayout w:type="fixed"/>
        <w:tblLook w:val="04A0"/>
      </w:tblPr>
      <w:tblGrid>
        <w:gridCol w:w="4468"/>
      </w:tblGrid>
      <w:tr w:rsidR="000050F8" w:rsidTr="000050F8">
        <w:trPr>
          <w:trHeight w:val="1091"/>
        </w:trPr>
        <w:tc>
          <w:tcPr>
            <w:tcW w:w="4468" w:type="dxa"/>
            <w:hideMark/>
          </w:tcPr>
          <w:p w:rsidR="000050F8" w:rsidRPr="006479C4" w:rsidRDefault="000050F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b/>
              </w:rPr>
            </w:pPr>
            <w:r w:rsidRPr="006479C4">
              <w:rPr>
                <w:b/>
              </w:rPr>
              <w:t>Об утверждении местных нормативов градостроительного проектирования Кадикасинского сельского поселения Моргаушского района Чувашской Республики</w:t>
            </w:r>
          </w:p>
        </w:tc>
      </w:tr>
    </w:tbl>
    <w:p w:rsidR="000050F8" w:rsidRDefault="000050F8" w:rsidP="000050F8">
      <w:pPr>
        <w:ind w:firstLine="567"/>
        <w:rPr>
          <w:rFonts w:cs="Arial"/>
        </w:rPr>
      </w:pPr>
    </w:p>
    <w:p w:rsidR="000050F8" w:rsidRDefault="000050F8" w:rsidP="000050F8">
      <w:pPr>
        <w:rPr>
          <w:b/>
        </w:rPr>
      </w:pPr>
    </w:p>
    <w:p w:rsidR="000050F8" w:rsidRDefault="000050F8" w:rsidP="000050F8">
      <w:pPr>
        <w:ind w:firstLine="709"/>
        <w:jc w:val="both"/>
        <w:rPr>
          <w:b/>
        </w:rPr>
      </w:pPr>
      <w:r>
        <w:t>В соответствии со статьей 14 и 16 Федерального закона от 6 октября 2003г №131-ФЗ «Об общих принципах организации местного самоуправления в Российской Федерации», статьей 8 Градостроительного кодекса Российской Федерации, статьей 4 Закона Чувашской Республики от 4 июня 2007г №11 «О регулировании градострои</w:t>
      </w:r>
      <w:r>
        <w:softHyphen/>
        <w:t xml:space="preserve">тельной деятельности в Чувашской Республике» </w:t>
      </w:r>
      <w:r>
        <w:rPr>
          <w:b/>
        </w:rPr>
        <w:t>Собрание депутатов Кадикасинского сельского поселения Моргаушского района Чувашской Республики решило:</w:t>
      </w:r>
    </w:p>
    <w:p w:rsidR="000050F8" w:rsidRDefault="000050F8" w:rsidP="000050F8">
      <w:pPr>
        <w:ind w:firstLine="709"/>
        <w:jc w:val="both"/>
      </w:pPr>
    </w:p>
    <w:p w:rsidR="000050F8" w:rsidRDefault="000050F8" w:rsidP="000050F8">
      <w:pPr>
        <w:ind w:firstLine="709"/>
        <w:jc w:val="both"/>
      </w:pPr>
      <w:r>
        <w:t>1. Утвердить прилагаемые местные нормативы градостроительного проектирования Кадикасинского сельского поселения Моргаушского района Чувашской Республики.</w:t>
      </w:r>
    </w:p>
    <w:p w:rsidR="000050F8" w:rsidRDefault="000050F8" w:rsidP="000050F8">
      <w:pPr>
        <w:ind w:firstLine="709"/>
        <w:jc w:val="both"/>
      </w:pPr>
      <w:r>
        <w:t xml:space="preserve">2. Разместить указанные в пункте 1 Настоящего решения, местные нормативы градостроительного проектирования на официальном сайте администрации Кадикасинского сельского поселения Моргаушского района Чувашской Республики в сети «Интернет». </w:t>
      </w:r>
    </w:p>
    <w:p w:rsidR="000050F8" w:rsidRDefault="000050F8" w:rsidP="000050F8">
      <w:pPr>
        <w:ind w:firstLine="709"/>
        <w:jc w:val="both"/>
      </w:pPr>
      <w:r>
        <w:t>3. Контроль за выполнением настоящего постановления возложить на администрацию Кадикасинского сельского поселения Моргаушского района Чувашской Республики.</w:t>
      </w:r>
    </w:p>
    <w:p w:rsidR="000050F8" w:rsidRDefault="000050F8" w:rsidP="000050F8">
      <w:pPr>
        <w:ind w:firstLine="709"/>
        <w:jc w:val="both"/>
      </w:pPr>
      <w:r>
        <w:t>4. Настоящее постановление вступает в силу через десять дней после дня его официального опубликования.</w:t>
      </w:r>
    </w:p>
    <w:p w:rsidR="000050F8" w:rsidRDefault="000050F8" w:rsidP="000050F8">
      <w:pPr>
        <w:rPr>
          <w:caps/>
        </w:rPr>
      </w:pPr>
    </w:p>
    <w:p w:rsidR="000050F8" w:rsidRDefault="000050F8" w:rsidP="000050F8"/>
    <w:p w:rsidR="000050F8" w:rsidRDefault="000050F8" w:rsidP="000050F8">
      <w:pPr>
        <w:pStyle w:val="aff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Кадикасинского </w:t>
      </w:r>
    </w:p>
    <w:p w:rsidR="000050F8" w:rsidRDefault="000050F8" w:rsidP="000050F8">
      <w:pPr>
        <w:autoSpaceDE w:val="0"/>
        <w:autoSpaceDN w:val="0"/>
        <w:adjustRightInd w:val="0"/>
      </w:pPr>
      <w:r>
        <w:t xml:space="preserve">сельского поселения                                                                                      Г.Г. Лебедев                    </w:t>
      </w:r>
    </w:p>
    <w:p w:rsidR="000050F8" w:rsidRDefault="000050F8" w:rsidP="000050F8">
      <w:pPr>
        <w:autoSpaceDE w:val="0"/>
        <w:autoSpaceDN w:val="0"/>
        <w:adjustRightInd w:val="0"/>
      </w:pPr>
    </w:p>
    <w:p w:rsidR="000050F8" w:rsidRDefault="000050F8" w:rsidP="000050F8">
      <w:pPr>
        <w:autoSpaceDE w:val="0"/>
        <w:autoSpaceDN w:val="0"/>
        <w:adjustRightInd w:val="0"/>
      </w:pPr>
    </w:p>
    <w:p w:rsidR="000050F8" w:rsidRDefault="000050F8" w:rsidP="000050F8">
      <w:pPr>
        <w:autoSpaceDE w:val="0"/>
        <w:autoSpaceDN w:val="0"/>
        <w:adjustRightInd w:val="0"/>
      </w:pPr>
    </w:p>
    <w:p w:rsidR="000050F8" w:rsidRDefault="000050F8" w:rsidP="000050F8">
      <w:pPr>
        <w:autoSpaceDE w:val="0"/>
        <w:autoSpaceDN w:val="0"/>
        <w:adjustRightInd w:val="0"/>
      </w:pPr>
    </w:p>
    <w:p w:rsidR="000050F8" w:rsidRDefault="000050F8" w:rsidP="000050F8">
      <w:pPr>
        <w:autoSpaceDE w:val="0"/>
        <w:autoSpaceDN w:val="0"/>
        <w:adjustRightInd w:val="0"/>
      </w:pPr>
    </w:p>
    <w:p w:rsidR="000050F8" w:rsidRDefault="000050F8" w:rsidP="000050F8">
      <w:pPr>
        <w:autoSpaceDE w:val="0"/>
        <w:autoSpaceDN w:val="0"/>
        <w:adjustRightInd w:val="0"/>
      </w:pPr>
    </w:p>
    <w:p w:rsidR="000050F8" w:rsidRDefault="000050F8" w:rsidP="000050F8">
      <w:pPr>
        <w:autoSpaceDE w:val="0"/>
        <w:autoSpaceDN w:val="0"/>
        <w:adjustRightInd w:val="0"/>
      </w:pPr>
    </w:p>
    <w:p w:rsidR="009F564C" w:rsidRDefault="009F564C" w:rsidP="000050F8">
      <w:pPr>
        <w:autoSpaceDE w:val="0"/>
        <w:autoSpaceDN w:val="0"/>
        <w:adjustRightInd w:val="0"/>
        <w:rPr>
          <w:caps/>
          <w:sz w:val="26"/>
          <w:szCs w:val="26"/>
        </w:rPr>
      </w:pPr>
    </w:p>
    <w:p w:rsidR="007E42A7" w:rsidRDefault="007E42A7" w:rsidP="007E42A7">
      <w:pPr>
        <w:autoSpaceDE w:val="0"/>
        <w:autoSpaceDN w:val="0"/>
        <w:adjustRightInd w:val="0"/>
        <w:ind w:left="4800"/>
        <w:jc w:val="center"/>
        <w:rPr>
          <w:caps/>
        </w:rPr>
      </w:pPr>
      <w:r>
        <w:rPr>
          <w:caps/>
        </w:rPr>
        <w:lastRenderedPageBreak/>
        <w:t>УтвержденЫ</w:t>
      </w:r>
    </w:p>
    <w:p w:rsidR="007E42A7" w:rsidRDefault="007E42A7" w:rsidP="007E42A7">
      <w:pPr>
        <w:autoSpaceDE w:val="0"/>
        <w:autoSpaceDN w:val="0"/>
        <w:adjustRightInd w:val="0"/>
        <w:ind w:left="4800"/>
        <w:jc w:val="center"/>
      </w:pPr>
      <w:r>
        <w:t xml:space="preserve">Решением Собрания депутатов </w:t>
      </w:r>
    </w:p>
    <w:p w:rsidR="007E42A7" w:rsidRDefault="007E42A7" w:rsidP="007E42A7">
      <w:pPr>
        <w:autoSpaceDE w:val="0"/>
        <w:autoSpaceDN w:val="0"/>
        <w:adjustRightInd w:val="0"/>
        <w:ind w:left="4800"/>
        <w:jc w:val="center"/>
      </w:pPr>
      <w:r>
        <w:t>Кадикасинского сельского поселения Моргаушского района Чувашской Республики</w:t>
      </w:r>
    </w:p>
    <w:p w:rsidR="007E42A7" w:rsidRDefault="007E42A7" w:rsidP="007E42A7">
      <w:pPr>
        <w:autoSpaceDE w:val="0"/>
        <w:autoSpaceDN w:val="0"/>
        <w:adjustRightInd w:val="0"/>
        <w:ind w:left="4800"/>
        <w:jc w:val="center"/>
      </w:pPr>
    </w:p>
    <w:p w:rsidR="007E42A7" w:rsidRDefault="007E42A7" w:rsidP="007E42A7">
      <w:pPr>
        <w:autoSpaceDE w:val="0"/>
        <w:autoSpaceDN w:val="0"/>
        <w:adjustRightInd w:val="0"/>
        <w:ind w:left="4800"/>
        <w:jc w:val="center"/>
      </w:pPr>
      <w:r>
        <w:t>от «28» марта 2018 г.   № С-30/2</w:t>
      </w:r>
    </w:p>
    <w:p w:rsidR="007515A1" w:rsidRDefault="007515A1" w:rsidP="008E2324">
      <w:pPr>
        <w:jc w:val="center"/>
        <w:rPr>
          <w:b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МЕСТНЫЕ </w:t>
      </w:r>
      <w:r w:rsidRPr="009C5A3F">
        <w:rPr>
          <w:b/>
          <w:sz w:val="26"/>
          <w:szCs w:val="26"/>
        </w:rPr>
        <w:t>НОРМАТИВЫ</w:t>
      </w:r>
    </w:p>
    <w:p w:rsidR="007515A1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градостроительного проектирования</w:t>
      </w:r>
    </w:p>
    <w:p w:rsidR="007E42A7" w:rsidRPr="007E42A7" w:rsidRDefault="007E42A7" w:rsidP="007E42A7">
      <w:pPr>
        <w:jc w:val="center"/>
        <w:rPr>
          <w:b/>
          <w:sz w:val="26"/>
          <w:szCs w:val="26"/>
        </w:rPr>
      </w:pPr>
      <w:r w:rsidRPr="007E42A7">
        <w:rPr>
          <w:b/>
          <w:sz w:val="26"/>
          <w:szCs w:val="26"/>
        </w:rPr>
        <w:t xml:space="preserve">Кадикасинского сельского поселения </w:t>
      </w:r>
    </w:p>
    <w:p w:rsidR="007E42A7" w:rsidRPr="007E42A7" w:rsidRDefault="007E42A7" w:rsidP="007E42A7">
      <w:pPr>
        <w:jc w:val="center"/>
        <w:rPr>
          <w:b/>
          <w:sz w:val="26"/>
          <w:szCs w:val="26"/>
        </w:rPr>
      </w:pPr>
      <w:r w:rsidRPr="007E42A7">
        <w:rPr>
          <w:b/>
          <w:sz w:val="26"/>
          <w:szCs w:val="26"/>
        </w:rPr>
        <w:t>Моргаушского района Чувашской Республики</w:t>
      </w:r>
    </w:p>
    <w:p w:rsidR="007E42A7" w:rsidRPr="007E42A7" w:rsidRDefault="007E42A7" w:rsidP="007E42A7">
      <w:pPr>
        <w:rPr>
          <w:sz w:val="26"/>
          <w:szCs w:val="26"/>
        </w:rPr>
      </w:pPr>
    </w:p>
    <w:p w:rsidR="007515A1" w:rsidRPr="003E0553" w:rsidRDefault="007515A1" w:rsidP="008E2324">
      <w:pPr>
        <w:jc w:val="center"/>
        <w:rPr>
          <w:b/>
          <w:sz w:val="16"/>
          <w:szCs w:val="16"/>
        </w:rPr>
      </w:pPr>
    </w:p>
    <w:p w:rsidR="007515A1" w:rsidRDefault="007515A1" w:rsidP="008E2324">
      <w:pPr>
        <w:rPr>
          <w:sz w:val="26"/>
          <w:szCs w:val="26"/>
        </w:rPr>
      </w:pPr>
    </w:p>
    <w:p w:rsidR="007515A1" w:rsidRDefault="007515A1" w:rsidP="008E2324">
      <w:pPr>
        <w:rPr>
          <w:sz w:val="26"/>
          <w:szCs w:val="26"/>
        </w:rPr>
      </w:pPr>
    </w:p>
    <w:p w:rsidR="007515A1" w:rsidRPr="009C5A3F" w:rsidRDefault="007515A1" w:rsidP="008E2324">
      <w:pPr>
        <w:rPr>
          <w:sz w:val="26"/>
          <w:szCs w:val="26"/>
        </w:rPr>
      </w:pPr>
    </w:p>
    <w:p w:rsidR="007515A1" w:rsidRPr="009C5A3F" w:rsidRDefault="007515A1" w:rsidP="008E2324">
      <w:pPr>
        <w:pStyle w:val="5"/>
        <w:spacing w:before="0" w:after="0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 Основная часть</w:t>
      </w:r>
    </w:p>
    <w:p w:rsidR="007515A1" w:rsidRPr="009C5A3F" w:rsidRDefault="007515A1" w:rsidP="008E2324">
      <w:pPr>
        <w:jc w:val="both"/>
        <w:rPr>
          <w:b/>
          <w:sz w:val="26"/>
          <w:szCs w:val="26"/>
        </w:rPr>
      </w:pPr>
    </w:p>
    <w:p w:rsidR="007515A1" w:rsidRPr="009C5A3F" w:rsidRDefault="007515A1" w:rsidP="008E2324">
      <w:pPr>
        <w:ind w:firstLine="709"/>
        <w:jc w:val="both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1.</w:t>
      </w:r>
      <w:r w:rsidRPr="009C5A3F">
        <w:rPr>
          <w:b/>
          <w:sz w:val="26"/>
          <w:szCs w:val="26"/>
        </w:rPr>
        <w:t xml:space="preserve"> Предельные значения расчетных показателей минимально допустимого уровня обеспеченности населения </w:t>
      </w:r>
      <w:r w:rsidR="00126232">
        <w:rPr>
          <w:b/>
          <w:sz w:val="26"/>
          <w:szCs w:val="26"/>
        </w:rPr>
        <w:t>администрации Кадикасинского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9C5A3F">
        <w:rPr>
          <w:b/>
          <w:sz w:val="26"/>
          <w:szCs w:val="26"/>
        </w:rPr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126232">
        <w:rPr>
          <w:b/>
          <w:sz w:val="26"/>
          <w:szCs w:val="26"/>
        </w:rPr>
        <w:t>администрации Кадикасинского</w:t>
      </w:r>
      <w:r w:rsidR="00126232" w:rsidRPr="009F564C">
        <w:rPr>
          <w:b/>
          <w:sz w:val="26"/>
          <w:szCs w:val="26"/>
        </w:rPr>
        <w:t xml:space="preserve"> 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9C5A3F">
        <w:rPr>
          <w:b/>
          <w:sz w:val="26"/>
          <w:szCs w:val="26"/>
        </w:rPr>
        <w:t xml:space="preserve"> Чувашской Республики</w:t>
      </w:r>
    </w:p>
    <w:p w:rsidR="007515A1" w:rsidRPr="009C5A3F" w:rsidRDefault="007515A1" w:rsidP="008E2324">
      <w:pPr>
        <w:ind w:firstLine="851"/>
        <w:jc w:val="both"/>
        <w:rPr>
          <w:sz w:val="26"/>
          <w:szCs w:val="26"/>
        </w:rPr>
      </w:pPr>
    </w:p>
    <w:p w:rsidR="007515A1" w:rsidRPr="009C5A3F" w:rsidRDefault="007515A1" w:rsidP="008E2324">
      <w:pPr>
        <w:ind w:firstLine="720"/>
        <w:jc w:val="both"/>
        <w:rPr>
          <w:sz w:val="26"/>
          <w:szCs w:val="26"/>
        </w:rPr>
      </w:pPr>
      <w:r w:rsidRPr="009C5A3F">
        <w:rPr>
          <w:sz w:val="26"/>
          <w:szCs w:val="26"/>
        </w:rPr>
        <w:t>Предельные значения расчетных показателей минимально допустимого уровня обеспеченности населения</w:t>
      </w:r>
      <w:r w:rsidR="00126232">
        <w:rPr>
          <w:sz w:val="26"/>
          <w:szCs w:val="26"/>
        </w:rPr>
        <w:t xml:space="preserve"> администрации Кадикасинского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Pr="009C5A3F">
        <w:rPr>
          <w:sz w:val="26"/>
          <w:szCs w:val="26"/>
        </w:rPr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126232">
        <w:rPr>
          <w:sz w:val="26"/>
          <w:szCs w:val="26"/>
        </w:rPr>
        <w:t>администрации Кадикасинского</w:t>
      </w:r>
      <w:r w:rsidR="009F564C" w:rsidRPr="009F564C">
        <w:rPr>
          <w:b/>
          <w:sz w:val="26"/>
          <w:szCs w:val="26"/>
        </w:rPr>
        <w:t xml:space="preserve">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 xml:space="preserve">Чувашской Республики установлены исходя из текущей обеспеченности </w:t>
      </w:r>
      <w:r w:rsidR="00126232">
        <w:rPr>
          <w:sz w:val="26"/>
          <w:szCs w:val="26"/>
        </w:rPr>
        <w:t>администрации Кадикасинского</w:t>
      </w:r>
      <w:r w:rsidR="009F564C" w:rsidRPr="009F564C">
        <w:rPr>
          <w:b/>
          <w:sz w:val="26"/>
          <w:szCs w:val="26"/>
        </w:rPr>
        <w:t xml:space="preserve">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Pr="009C5A3F">
        <w:rPr>
          <w:sz w:val="26"/>
          <w:szCs w:val="26"/>
        </w:rPr>
        <w:t xml:space="preserve"> Чувашской Республики объектами местного значения, фактической потребности населения в тех или иных услугах и объектах, с учетом динамики социально-экономичес</w:t>
      </w:r>
      <w:r w:rsidRPr="009C5A3F">
        <w:rPr>
          <w:sz w:val="26"/>
          <w:szCs w:val="26"/>
        </w:rPr>
        <w:softHyphen/>
        <w:t xml:space="preserve">кого развития, приоритетов градостроительного развития </w:t>
      </w:r>
      <w:r w:rsidR="00126232">
        <w:rPr>
          <w:sz w:val="26"/>
          <w:szCs w:val="26"/>
        </w:rPr>
        <w:t>администрации Кадикасинского</w:t>
      </w:r>
      <w:r w:rsidR="009F564C" w:rsidRPr="009F564C">
        <w:rPr>
          <w:b/>
          <w:sz w:val="26"/>
          <w:szCs w:val="26"/>
        </w:rPr>
        <w:t xml:space="preserve">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>Чувашской Республики, демографической ситуации и уровня жизни населения.</w:t>
      </w:r>
    </w:p>
    <w:p w:rsidR="007515A1" w:rsidRPr="009C5A3F" w:rsidRDefault="007515A1" w:rsidP="008E2324">
      <w:pPr>
        <w:ind w:firstLine="720"/>
        <w:jc w:val="both"/>
        <w:rPr>
          <w:sz w:val="26"/>
          <w:szCs w:val="26"/>
        </w:rPr>
      </w:pPr>
      <w:r w:rsidRPr="009C5A3F">
        <w:rPr>
          <w:sz w:val="26"/>
          <w:szCs w:val="26"/>
        </w:rPr>
        <w:t xml:space="preserve">Обоснование предельных значений расчетных показателей, определенных в настоящем подразделе, приведено в разделе 2 настоящих </w:t>
      </w:r>
      <w:r>
        <w:rPr>
          <w:sz w:val="26"/>
          <w:szCs w:val="26"/>
        </w:rPr>
        <w:t xml:space="preserve">местных </w:t>
      </w:r>
      <w:r w:rsidRPr="009C5A3F">
        <w:rPr>
          <w:sz w:val="26"/>
          <w:szCs w:val="26"/>
        </w:rPr>
        <w:t xml:space="preserve">нормативов градостроительного проектирования </w:t>
      </w:r>
      <w:r w:rsidR="00126232">
        <w:rPr>
          <w:sz w:val="26"/>
          <w:szCs w:val="26"/>
        </w:rPr>
        <w:t>администрации Кадикасинского</w:t>
      </w:r>
      <w:r w:rsidR="009F564C" w:rsidRPr="009F564C">
        <w:rPr>
          <w:b/>
          <w:sz w:val="26"/>
          <w:szCs w:val="26"/>
        </w:rPr>
        <w:t xml:space="preserve">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="009F564C" w:rsidRPr="009C5A3F"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>
        <w:rPr>
          <w:bCs/>
          <w:spacing w:val="-2"/>
          <w:sz w:val="26"/>
          <w:szCs w:val="26"/>
        </w:rPr>
        <w:t xml:space="preserve">(далее также – </w:t>
      </w:r>
      <w:r>
        <w:rPr>
          <w:bCs/>
          <w:sz w:val="26"/>
          <w:szCs w:val="26"/>
        </w:rPr>
        <w:t>местные</w:t>
      </w:r>
      <w:r w:rsidRPr="009C5A3F">
        <w:rPr>
          <w:bCs/>
          <w:sz w:val="26"/>
          <w:szCs w:val="26"/>
        </w:rPr>
        <w:t xml:space="preserve"> нормати</w:t>
      </w:r>
      <w:r>
        <w:rPr>
          <w:bCs/>
          <w:sz w:val="26"/>
          <w:szCs w:val="26"/>
        </w:rPr>
        <w:t>вы)</w:t>
      </w:r>
      <w:r w:rsidRPr="009C5A3F">
        <w:rPr>
          <w:sz w:val="26"/>
          <w:szCs w:val="26"/>
        </w:rPr>
        <w:t>.</w:t>
      </w:r>
    </w:p>
    <w:p w:rsidR="007515A1" w:rsidRDefault="007515A1" w:rsidP="008E2324">
      <w:pPr>
        <w:ind w:firstLine="720"/>
        <w:jc w:val="both"/>
        <w:rPr>
          <w:sz w:val="26"/>
          <w:szCs w:val="26"/>
        </w:rPr>
      </w:pPr>
    </w:p>
    <w:p w:rsidR="007515A1" w:rsidRPr="009C5A3F" w:rsidRDefault="007515A1" w:rsidP="007E42A7">
      <w:pPr>
        <w:jc w:val="both"/>
        <w:rPr>
          <w:sz w:val="26"/>
          <w:szCs w:val="26"/>
        </w:rPr>
      </w:pPr>
    </w:p>
    <w:p w:rsidR="007515A1" w:rsidRPr="009C5A3F" w:rsidRDefault="007515A1" w:rsidP="009F564C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>.1. Предельные значения расчетных показателей минимально допустимого уровня обеспеченности населения</w:t>
      </w:r>
      <w:r w:rsidR="009F564C">
        <w:rPr>
          <w:rFonts w:ascii="Times New Roman" w:hAnsi="Times New Roman"/>
          <w:i w:val="0"/>
        </w:rPr>
        <w:t xml:space="preserve"> </w:t>
      </w:r>
      <w:r w:rsidR="00126232" w:rsidRPr="00C37E99">
        <w:rPr>
          <w:rFonts w:ascii="Times New Roman" w:hAnsi="Times New Roman"/>
          <w:i w:val="0"/>
        </w:rPr>
        <w:t xml:space="preserve">администрации </w:t>
      </w:r>
      <w:r w:rsidR="00126232" w:rsidRPr="00E17757">
        <w:rPr>
          <w:rFonts w:ascii="Times New Roman" w:hAnsi="Times New Roman"/>
          <w:i w:val="0"/>
        </w:rPr>
        <w:t>Кадикасинского</w:t>
      </w:r>
      <w:r w:rsidRPr="00E17757">
        <w:rPr>
          <w:rFonts w:ascii="Times New Roman" w:hAnsi="Times New Roman"/>
          <w:i w:val="0"/>
        </w:rPr>
        <w:t xml:space="preserve"> </w:t>
      </w:r>
      <w:r w:rsidR="009F564C" w:rsidRPr="00E17757">
        <w:rPr>
          <w:rFonts w:ascii="Times New Roman" w:hAnsi="Times New Roman"/>
          <w:i w:val="0"/>
        </w:rPr>
        <w:t>сельского поселения</w:t>
      </w:r>
      <w:r w:rsidR="009F564C" w:rsidRPr="009F564C">
        <w:rPr>
          <w:rFonts w:ascii="Times New Roman" w:hAnsi="Times New Roman"/>
          <w:i w:val="0"/>
          <w:sz w:val="28"/>
          <w:szCs w:val="28"/>
        </w:rPr>
        <w:t xml:space="preserve"> </w:t>
      </w:r>
      <w:r w:rsidR="009F564C" w:rsidRPr="00E17757">
        <w:rPr>
          <w:rFonts w:ascii="Times New Roman" w:hAnsi="Times New Roman"/>
          <w:i w:val="0"/>
        </w:rPr>
        <w:t>Моргаушского района</w:t>
      </w:r>
      <w:r w:rsidR="009F564C" w:rsidRPr="009C5A3F">
        <w:rPr>
          <w:rFonts w:ascii="Times New Roman" w:hAnsi="Times New Roman"/>
          <w:i w:val="0"/>
        </w:rPr>
        <w:t xml:space="preserve"> </w:t>
      </w:r>
      <w:r w:rsidRPr="009C5A3F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электро-, тепло-, газо-, водоснабжения и водоотведения </w:t>
      </w:r>
    </w:p>
    <w:p w:rsidR="007515A1" w:rsidRPr="009C5A3F" w:rsidRDefault="007515A1" w:rsidP="008E2324"/>
    <w:p w:rsidR="007515A1" w:rsidRPr="009C5A3F" w:rsidRDefault="007515A1" w:rsidP="008E2324">
      <w:pPr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.1 (1)</w:t>
      </w:r>
    </w:p>
    <w:p w:rsidR="007515A1" w:rsidRPr="009C5A3F" w:rsidRDefault="007515A1" w:rsidP="008E2324">
      <w:pPr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уровня обеспеченности населения </w:t>
      </w:r>
      <w:r w:rsidR="001A04DE">
        <w:rPr>
          <w:b/>
          <w:sz w:val="26"/>
          <w:szCs w:val="26"/>
        </w:rPr>
        <w:t>администрации Кадикасинского сельского поселения</w:t>
      </w: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Чувашской Республики объектами местного значения </w:t>
      </w: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в области электроснабжения</w:t>
      </w:r>
    </w:p>
    <w:p w:rsidR="007515A1" w:rsidRPr="009C5A3F" w:rsidRDefault="007515A1" w:rsidP="008E2324">
      <w:pPr>
        <w:jc w:val="center"/>
        <w:rPr>
          <w:sz w:val="26"/>
          <w:szCs w:val="26"/>
        </w:rPr>
      </w:pPr>
    </w:p>
    <w:tbl>
      <w:tblPr>
        <w:tblW w:w="492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1908"/>
        <w:gridCol w:w="2508"/>
        <w:gridCol w:w="1272"/>
        <w:gridCol w:w="3451"/>
      </w:tblGrid>
      <w:tr w:rsidR="007515A1" w:rsidRPr="009C5A3F" w:rsidTr="004363A0">
        <w:tc>
          <w:tcPr>
            <w:tcW w:w="104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</w:tc>
        <w:tc>
          <w:tcPr>
            <w:tcW w:w="395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color w:val="000000"/>
                <w:sz w:val="22"/>
                <w:szCs w:val="22"/>
              </w:rPr>
              <w:t>Расчетный показатель минимально допустимого уровня обеспеченности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(норматив потребления коммунальных услуг по электроснабжению)</w:t>
            </w:r>
          </w:p>
        </w:tc>
      </w:tr>
      <w:tr w:rsidR="007515A1" w:rsidRPr="009C5A3F" w:rsidTr="004363A0">
        <w:tc>
          <w:tcPr>
            <w:tcW w:w="1044" w:type="pct"/>
            <w:vMerge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72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696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  <w:r w:rsidRPr="009C5A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1908"/>
        <w:gridCol w:w="2521"/>
        <w:gridCol w:w="1259"/>
        <w:gridCol w:w="970"/>
        <w:gridCol w:w="84"/>
        <w:gridCol w:w="568"/>
        <w:gridCol w:w="680"/>
        <w:gridCol w:w="559"/>
        <w:gridCol w:w="739"/>
      </w:tblGrid>
      <w:tr w:rsidR="007515A1" w:rsidRPr="009C5A3F" w:rsidTr="004363A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15A1" w:rsidRPr="009C5A3F" w:rsidTr="004363A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Электростанции, подстанции, переключатель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ные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 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проживающих,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25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84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90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проживающих, 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101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131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148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160</w:t>
            </w:r>
          </w:p>
        </w:tc>
      </w:tr>
    </w:tbl>
    <w:p w:rsidR="007515A1" w:rsidRPr="009C5A3F" w:rsidRDefault="007515A1" w:rsidP="008E2324">
      <w:pPr>
        <w:spacing w:line="235" w:lineRule="auto"/>
        <w:contextualSpacing/>
        <w:jc w:val="both"/>
        <w:rPr>
          <w:b/>
          <w:i/>
          <w:sz w:val="16"/>
          <w:szCs w:val="16"/>
        </w:rPr>
      </w:pPr>
    </w:p>
    <w:p w:rsidR="007515A1" w:rsidRPr="009C5A3F" w:rsidRDefault="007515A1" w:rsidP="008E2324">
      <w:pPr>
        <w:spacing w:line="235" w:lineRule="auto"/>
        <w:ind w:left="1284" w:hanging="1284"/>
        <w:contextualSpacing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  <w:r w:rsidRPr="009C5A3F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9C5A3F">
        <w:rPr>
          <w:color w:val="000000"/>
          <w:sz w:val="26"/>
          <w:szCs w:val="26"/>
        </w:rPr>
        <w:t>.1 (2)</w:t>
      </w: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right="-1"/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Размеры охранных зон</w:t>
      </w:r>
      <w:r w:rsidRPr="009C5A3F">
        <w:rPr>
          <w:b/>
          <w:sz w:val="26"/>
          <w:szCs w:val="26"/>
        </w:rPr>
        <w:t xml:space="preserve"> </w:t>
      </w:r>
      <w:r w:rsidRPr="009C5A3F">
        <w:rPr>
          <w:b/>
          <w:color w:val="000000"/>
          <w:sz w:val="26"/>
          <w:szCs w:val="26"/>
        </w:rPr>
        <w:t xml:space="preserve">объектов местного значения </w:t>
      </w:r>
    </w:p>
    <w:p w:rsidR="007515A1" w:rsidRPr="009C5A3F" w:rsidRDefault="007515A1" w:rsidP="008E2324">
      <w:pPr>
        <w:spacing w:line="235" w:lineRule="auto"/>
        <w:ind w:right="-1"/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в области электроснабжения</w:t>
      </w:r>
    </w:p>
    <w:p w:rsidR="007515A1" w:rsidRPr="009C5A3F" w:rsidRDefault="007515A1" w:rsidP="008E2324">
      <w:pPr>
        <w:spacing w:line="235" w:lineRule="auto"/>
        <w:ind w:right="-1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9"/>
        <w:gridCol w:w="4973"/>
        <w:gridCol w:w="2053"/>
        <w:gridCol w:w="1653"/>
      </w:tblGrid>
      <w:tr w:rsidR="007515A1" w:rsidRPr="009C5A3F" w:rsidTr="003E0553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пп</w:t>
            </w:r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Размер охранной зоны</w:t>
            </w:r>
          </w:p>
        </w:tc>
      </w:tr>
      <w:tr w:rsidR="007515A1" w:rsidRPr="009C5A3F" w:rsidTr="003E0553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b/>
          <w:sz w:val="22"/>
          <w:szCs w:val="22"/>
        </w:rPr>
      </w:pPr>
      <w:r w:rsidRPr="009C5A3F">
        <w:rPr>
          <w:b/>
          <w:sz w:val="22"/>
          <w:szCs w:val="22"/>
        </w:rPr>
        <w:t>_______________</w:t>
      </w:r>
    </w:p>
    <w:p w:rsidR="007515A1" w:rsidRPr="009C5A3F" w:rsidRDefault="007515A1" w:rsidP="008E2324">
      <w:pPr>
        <w:spacing w:line="235" w:lineRule="auto"/>
        <w:ind w:left="264" w:hanging="264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  *</w:t>
      </w:r>
      <w:r w:rsidRPr="009C5A3F">
        <w:rPr>
          <w:sz w:val="22"/>
          <w:szCs w:val="22"/>
        </w:rPr>
        <w:tab/>
        <w:t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7515A1" w:rsidRPr="009C5A3F" w:rsidRDefault="007515A1" w:rsidP="008E2324">
      <w:pPr>
        <w:spacing w:line="235" w:lineRule="auto"/>
        <w:ind w:left="264" w:hanging="264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**</w:t>
      </w:r>
      <w:r w:rsidRPr="009C5A3F">
        <w:rPr>
          <w:sz w:val="22"/>
          <w:szCs w:val="22"/>
        </w:rPr>
        <w:tab/>
        <w:t xml:space="preserve">Охранная зона ВЛ напряжения 1–20 кВ составляет </w:t>
      </w:r>
      <w:smartTag w:uri="urn:schemas-microsoft-com:office:smarttags" w:element="metricconverter">
        <w:smartTagPr>
          <w:attr w:name="ProductID" w:val="5 м"/>
        </w:smartTagPr>
        <w:r w:rsidRPr="009C5A3F">
          <w:rPr>
            <w:sz w:val="22"/>
            <w:szCs w:val="22"/>
          </w:rPr>
          <w:t>5 м</w:t>
        </w:r>
      </w:smartTag>
      <w:r w:rsidRPr="009C5A3F">
        <w:rPr>
          <w:sz w:val="22"/>
          <w:szCs w:val="22"/>
        </w:rPr>
        <w:t xml:space="preserve"> для линий с самонесущими или изолированными проводами, размещенных в границах населенных пунктов.</w:t>
      </w:r>
    </w:p>
    <w:p w:rsidR="007515A1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.1 (3)</w:t>
      </w: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Предельные значения расчетных показателей минимально допустимого</w:t>
      </w:r>
    </w:p>
    <w:p w:rsidR="007515A1" w:rsidRPr="009C5A3F" w:rsidRDefault="007515A1" w:rsidP="008E2324">
      <w:pPr>
        <w:spacing w:line="235" w:lineRule="auto"/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уровня обеспеченности населения </w:t>
      </w:r>
      <w:r w:rsidR="00027E13" w:rsidRPr="00027E13">
        <w:rPr>
          <w:b/>
          <w:sz w:val="26"/>
          <w:szCs w:val="26"/>
        </w:rPr>
        <w:t>админстрации Кадикасинского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</w:p>
    <w:p w:rsidR="007515A1" w:rsidRPr="009C5A3F" w:rsidRDefault="007515A1" w:rsidP="008E2324">
      <w:pPr>
        <w:spacing w:line="235" w:lineRule="auto"/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Чувашской Республики объектами местного значения </w:t>
      </w:r>
    </w:p>
    <w:p w:rsidR="007515A1" w:rsidRPr="009C5A3F" w:rsidRDefault="007515A1" w:rsidP="008E2324">
      <w:pPr>
        <w:spacing w:line="235" w:lineRule="auto"/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в области газоснабжения</w:t>
      </w:r>
    </w:p>
    <w:p w:rsidR="007515A1" w:rsidRPr="009C5A3F" w:rsidRDefault="007515A1" w:rsidP="008E2324">
      <w:pPr>
        <w:spacing w:line="235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3099"/>
        <w:gridCol w:w="2738"/>
        <w:gridCol w:w="1904"/>
        <w:gridCol w:w="1547"/>
      </w:tblGrid>
      <w:tr w:rsidR="007515A1" w:rsidRPr="009C5A3F" w:rsidTr="003E0553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 местного значения</w:t>
            </w:r>
          </w:p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  <w:r w:rsidRPr="009C5A3F">
              <w:rPr>
                <w:sz w:val="22"/>
                <w:szCs w:val="22"/>
              </w:rPr>
              <w:t>(норматив потребления коммунальных услуг по газоснабжению)</w:t>
            </w:r>
          </w:p>
        </w:tc>
      </w:tr>
      <w:tr w:rsidR="007515A1" w:rsidRPr="009C5A3F" w:rsidTr="003E0553">
        <w:tc>
          <w:tcPr>
            <w:tcW w:w="1668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025" w:type="pct"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5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3099"/>
        <w:gridCol w:w="2738"/>
        <w:gridCol w:w="1904"/>
        <w:gridCol w:w="1547"/>
      </w:tblGrid>
      <w:tr w:rsidR="007515A1" w:rsidRPr="009C5A3F" w:rsidTr="003E0553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7515A1" w:rsidRPr="009C5A3F" w:rsidTr="003E0553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12</w:t>
            </w:r>
          </w:p>
        </w:tc>
      </w:tr>
      <w:tr w:rsidR="007515A1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31</w:t>
            </w:r>
          </w:p>
        </w:tc>
      </w:tr>
      <w:tr w:rsidR="007515A1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20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  <w:t>* Для определения в целях градостроительного проектирования мини</w:t>
      </w:r>
      <w:r w:rsidRPr="009C5A3F">
        <w:rPr>
          <w:sz w:val="22"/>
          <w:szCs w:val="22"/>
        </w:rPr>
        <w:softHyphen/>
        <w:t>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2. ** Нормы расхода природного газа следует использовать в целях градо</w:t>
      </w:r>
      <w:r w:rsidRPr="009C5A3F">
        <w:rPr>
          <w:sz w:val="22"/>
          <w:szCs w:val="22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 xml:space="preserve"> (8000 ккал/м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>).</w:t>
      </w:r>
    </w:p>
    <w:p w:rsidR="007515A1" w:rsidRPr="009F564C" w:rsidRDefault="007515A1" w:rsidP="009F564C">
      <w:pPr>
        <w:pStyle w:val="1"/>
        <w:shd w:val="clear" w:color="auto" w:fill="FFFFFF"/>
        <w:tabs>
          <w:tab w:val="left" w:pos="1764"/>
        </w:tabs>
        <w:spacing w:before="0" w:after="0"/>
        <w:ind w:left="1812" w:hanging="528"/>
        <w:jc w:val="both"/>
        <w:textAlignment w:val="baseline"/>
        <w:rPr>
          <w:b w:val="0"/>
          <w:sz w:val="22"/>
          <w:szCs w:val="22"/>
        </w:rPr>
      </w:pPr>
      <w:r w:rsidRPr="009C5A3F">
        <w:rPr>
          <w:b w:val="0"/>
          <w:sz w:val="22"/>
          <w:szCs w:val="22"/>
        </w:rPr>
        <w:t xml:space="preserve">3. Указанные нормы следует применять с учетом требований СП 62.13330.2011.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15A1" w:rsidRPr="009C5A3F" w:rsidRDefault="007515A1" w:rsidP="008E2324">
      <w:pPr>
        <w:jc w:val="right"/>
        <w:rPr>
          <w:color w:val="000000"/>
          <w:sz w:val="26"/>
          <w:szCs w:val="26"/>
        </w:rPr>
      </w:pPr>
      <w:r w:rsidRPr="009C5A3F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9C5A3F">
        <w:rPr>
          <w:color w:val="000000"/>
          <w:sz w:val="26"/>
          <w:szCs w:val="26"/>
        </w:rPr>
        <w:t>.1 (4)</w:t>
      </w:r>
    </w:p>
    <w:p w:rsidR="007515A1" w:rsidRPr="009C5A3F" w:rsidRDefault="007515A1" w:rsidP="008E2324">
      <w:pPr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Размеры охранных зон</w:t>
      </w:r>
      <w:r w:rsidRPr="009C5A3F">
        <w:rPr>
          <w:b/>
          <w:sz w:val="26"/>
          <w:szCs w:val="26"/>
        </w:rPr>
        <w:t xml:space="preserve"> </w:t>
      </w:r>
      <w:r w:rsidRPr="009C5A3F">
        <w:rPr>
          <w:b/>
          <w:color w:val="000000"/>
          <w:sz w:val="26"/>
          <w:szCs w:val="26"/>
        </w:rPr>
        <w:t xml:space="preserve">объектов местного значения </w:t>
      </w:r>
    </w:p>
    <w:p w:rsidR="007515A1" w:rsidRPr="009C5A3F" w:rsidRDefault="007515A1" w:rsidP="008E2324">
      <w:pPr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в области газоснабжения</w:t>
      </w:r>
    </w:p>
    <w:p w:rsidR="007515A1" w:rsidRPr="009C5A3F" w:rsidRDefault="007515A1" w:rsidP="008E2324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5"/>
        <w:gridCol w:w="4632"/>
        <w:gridCol w:w="2372"/>
        <w:gridCol w:w="1679"/>
      </w:tblGrid>
      <w:tr w:rsidR="007515A1" w:rsidRPr="009C5A3F" w:rsidTr="003E0553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Размер охранной зоны</w:t>
            </w:r>
          </w:p>
        </w:tc>
      </w:tr>
      <w:tr w:rsidR="007515A1" w:rsidRPr="009C5A3F" w:rsidTr="003E0553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 xml:space="preserve">подземных газопроводов </w:t>
            </w:r>
            <w:r w:rsidRPr="009C5A3F">
              <w:rPr>
                <w:iCs/>
                <w:sz w:val="22"/>
                <w:szCs w:val="22"/>
              </w:rPr>
              <w:t>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bCs/>
                <w:color w:val="000000"/>
                <w:sz w:val="22"/>
                <w:szCs w:val="22"/>
              </w:rPr>
              <w:t>5*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межпоселковых газопроводов</w:t>
            </w:r>
            <w:r w:rsidRPr="009C5A3F">
              <w:rPr>
                <w:sz w:val="22"/>
                <w:szCs w:val="22"/>
              </w:rPr>
              <w:t>, проходящих по лесам и древесно-кустар</w:t>
            </w:r>
            <w:r w:rsidRPr="009C5A3F">
              <w:rPr>
                <w:sz w:val="22"/>
                <w:szCs w:val="22"/>
              </w:rPr>
              <w:softHyphen/>
              <w:t>ни</w:t>
            </w:r>
            <w:r w:rsidRPr="009C5A3F">
              <w:rPr>
                <w:sz w:val="22"/>
                <w:szCs w:val="22"/>
              </w:rPr>
              <w:softHyphen/>
              <w:t>ко</w:t>
            </w:r>
            <w:r w:rsidRPr="009C5A3F">
              <w:rPr>
                <w:sz w:val="22"/>
                <w:szCs w:val="22"/>
              </w:rPr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6**</w:t>
            </w:r>
          </w:p>
        </w:tc>
      </w:tr>
    </w:tbl>
    <w:p w:rsidR="007515A1" w:rsidRPr="009C5A3F" w:rsidRDefault="007515A1" w:rsidP="008E2324">
      <w:pPr>
        <w:autoSpaceDE w:val="0"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autoSpaceDE w:val="0"/>
        <w:ind w:left="1542" w:hanging="1542"/>
        <w:jc w:val="both"/>
        <w:rPr>
          <w:sz w:val="22"/>
          <w:szCs w:val="22"/>
        </w:rPr>
      </w:pPr>
    </w:p>
    <w:p w:rsidR="007515A1" w:rsidRPr="009C5A3F" w:rsidRDefault="007515A1" w:rsidP="008E2324">
      <w:pPr>
        <w:autoSpaceDE w:val="0"/>
        <w:ind w:left="1542" w:hanging="1542"/>
        <w:jc w:val="both"/>
        <w:rPr>
          <w:iCs/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</w:r>
      <w:r w:rsidRPr="009C5A3F">
        <w:rPr>
          <w:iCs/>
          <w:sz w:val="22"/>
          <w:szCs w:val="22"/>
        </w:rPr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iCs/>
          <w:sz w:val="22"/>
          <w:szCs w:val="22"/>
        </w:rPr>
        <w:t>2.</w:t>
      </w:r>
      <w:r w:rsidRPr="009C5A3F">
        <w:rPr>
          <w:i/>
          <w:iCs/>
          <w:color w:val="000000"/>
          <w:sz w:val="22"/>
          <w:szCs w:val="22"/>
          <w:shd w:val="clear" w:color="auto" w:fill="FFFFFF"/>
        </w:rPr>
        <w:tab/>
      </w:r>
      <w:r w:rsidRPr="009C5A3F">
        <w:rPr>
          <w:iCs/>
          <w:sz w:val="22"/>
          <w:szCs w:val="22"/>
        </w:rPr>
        <w:t>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</w:t>
      </w:r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 xml:space="preserve">* </w:t>
      </w:r>
      <w:r w:rsidRPr="009C5A3F">
        <w:rPr>
          <w:bCs/>
          <w:sz w:val="22"/>
          <w:szCs w:val="22"/>
        </w:rPr>
        <w:t>3 м</w:t>
      </w:r>
      <w:r w:rsidRPr="009C5A3F">
        <w:rPr>
          <w:sz w:val="22"/>
          <w:szCs w:val="22"/>
        </w:rPr>
        <w:t xml:space="preserve"> от газопровода со стороны провода и </w:t>
      </w:r>
      <w:r w:rsidRPr="009C5A3F">
        <w:rPr>
          <w:bCs/>
          <w:sz w:val="22"/>
          <w:szCs w:val="22"/>
        </w:rPr>
        <w:t>2 м</w:t>
      </w:r>
      <w:r w:rsidRPr="009C5A3F">
        <w:rPr>
          <w:sz w:val="22"/>
          <w:szCs w:val="22"/>
        </w:rPr>
        <w:t xml:space="preserve"> – с противоположной стороны.</w:t>
      </w:r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 xml:space="preserve">** Для </w:t>
      </w:r>
      <w:r w:rsidRPr="009C5A3F">
        <w:rPr>
          <w:iCs/>
          <w:sz w:val="22"/>
          <w:szCs w:val="22"/>
        </w:rPr>
        <w:t>надземных участков газопроводов</w:t>
      </w:r>
      <w:r w:rsidRPr="009C5A3F">
        <w:rPr>
          <w:sz w:val="22"/>
          <w:szCs w:val="22"/>
        </w:rPr>
        <w:t xml:space="preserve"> расстояние от деревьев до трубопровода должно быть не менее высоты деревьев.</w:t>
      </w:r>
    </w:p>
    <w:p w:rsidR="007515A1" w:rsidRPr="009C5A3F" w:rsidRDefault="007515A1" w:rsidP="008E2324">
      <w:pPr>
        <w:autoSpaceDE w:val="0"/>
        <w:ind w:firstLine="851"/>
        <w:jc w:val="right"/>
        <w:rPr>
          <w:sz w:val="20"/>
          <w:szCs w:val="20"/>
        </w:rPr>
      </w:pP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  <w:r w:rsidRPr="00DE6B69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DE6B69">
        <w:rPr>
          <w:color w:val="000000"/>
          <w:sz w:val="26"/>
          <w:szCs w:val="26"/>
        </w:rPr>
        <w:t>.1 (5)</w:t>
      </w: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r w:rsidRPr="00DE6B69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</w:p>
    <w:p w:rsidR="007515A1" w:rsidRPr="00DE6B69" w:rsidRDefault="007515A1" w:rsidP="008E2324">
      <w:pPr>
        <w:spacing w:line="230" w:lineRule="auto"/>
        <w:jc w:val="center"/>
        <w:rPr>
          <w:b/>
          <w:bCs/>
          <w:color w:val="000000"/>
          <w:sz w:val="26"/>
          <w:szCs w:val="26"/>
        </w:rPr>
      </w:pPr>
      <w:r w:rsidRPr="00DE6B69">
        <w:rPr>
          <w:b/>
          <w:sz w:val="26"/>
          <w:szCs w:val="26"/>
        </w:rPr>
        <w:t xml:space="preserve">уровня обеспеченности населения </w:t>
      </w:r>
      <w:r w:rsidR="00126232" w:rsidRPr="00931459">
        <w:rPr>
          <w:b/>
          <w:sz w:val="26"/>
          <w:szCs w:val="26"/>
        </w:rPr>
        <w:t>администрации Кадикасинского</w:t>
      </w:r>
      <w:r w:rsidR="00126232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 xml:space="preserve">сельского поселения Моргаушского района </w:t>
      </w:r>
      <w:r w:rsidRPr="00DE6B69">
        <w:rPr>
          <w:b/>
          <w:sz w:val="26"/>
          <w:szCs w:val="26"/>
        </w:rPr>
        <w:t>Чувашской Республики объектами местного значения в области теплоснабжения для</w:t>
      </w:r>
      <w:r w:rsidRPr="00DE6B69">
        <w:rPr>
          <w:b/>
          <w:bCs/>
          <w:color w:val="000000"/>
        </w:rPr>
        <w:t xml:space="preserve"> </w:t>
      </w:r>
      <w:r w:rsidRPr="00DE6B69">
        <w:rPr>
          <w:b/>
          <w:bCs/>
          <w:color w:val="000000"/>
          <w:sz w:val="26"/>
          <w:szCs w:val="26"/>
        </w:rPr>
        <w:t>жилых домов одноквартирных отдельно стоящих и блокированных</w:t>
      </w: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4"/>
        <w:gridCol w:w="2619"/>
        <w:gridCol w:w="916"/>
        <w:gridCol w:w="916"/>
        <w:gridCol w:w="983"/>
        <w:gridCol w:w="1047"/>
      </w:tblGrid>
      <w:tr w:rsidR="007515A1" w:rsidRPr="00DE6B69" w:rsidTr="003E0553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обеспеченности (удельная характеристика расхода</w:t>
            </w:r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тепловой энергии на отопление и вентиляцию</w:t>
            </w:r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малоэтажных жилых одноквартирных зданий, Вт/(м</w:t>
            </w:r>
            <w:r w:rsidRPr="00DE6B69">
              <w:rPr>
                <w:sz w:val="22"/>
                <w:szCs w:val="22"/>
                <w:vertAlign w:val="superscript"/>
              </w:rPr>
              <w:t>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7515A1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bookmarkStart w:id="0" w:name="i222626"/>
            <w:r w:rsidRPr="00DE6B69">
              <w:rPr>
                <w:sz w:val="22"/>
                <w:szCs w:val="22"/>
              </w:rPr>
              <w:t>отапливаемая площадь домов, м</w:t>
            </w:r>
            <w:r w:rsidRPr="00DE6B69">
              <w:rPr>
                <w:sz w:val="22"/>
                <w:szCs w:val="22"/>
                <w:vertAlign w:val="superscript"/>
              </w:rPr>
              <w:t>2</w:t>
            </w:r>
            <w:bookmarkEnd w:id="0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с числом этажей</w:t>
            </w:r>
          </w:p>
        </w:tc>
      </w:tr>
      <w:tr w:rsidR="007515A1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4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  <w:ind w:left="125" w:right="97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0,476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0,414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0,372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firstLine="283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0,336</w:t>
            </w:r>
          </w:p>
        </w:tc>
      </w:tr>
    </w:tbl>
    <w:p w:rsidR="007515A1" w:rsidRDefault="007515A1" w:rsidP="009F564C">
      <w:pPr>
        <w:spacing w:line="230" w:lineRule="auto"/>
        <w:ind w:right="-1"/>
        <w:rPr>
          <w:color w:val="000000"/>
          <w:sz w:val="26"/>
          <w:szCs w:val="26"/>
        </w:rPr>
      </w:pPr>
    </w:p>
    <w:p w:rsidR="007515A1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  <w:r w:rsidRPr="00DE6B69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DE6B69">
        <w:rPr>
          <w:color w:val="000000"/>
          <w:sz w:val="26"/>
          <w:szCs w:val="26"/>
        </w:rPr>
        <w:t>.1 (6)</w:t>
      </w: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0"/>
          <w:szCs w:val="20"/>
        </w:rPr>
      </w:pP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r w:rsidRPr="00DE6B69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r w:rsidRPr="00DE6B69">
        <w:rPr>
          <w:b/>
          <w:sz w:val="26"/>
          <w:szCs w:val="26"/>
        </w:rPr>
        <w:t xml:space="preserve">уровня обеспеченности населения </w:t>
      </w:r>
      <w:r w:rsidR="00126232" w:rsidRPr="00126232">
        <w:rPr>
          <w:b/>
          <w:sz w:val="26"/>
          <w:szCs w:val="26"/>
        </w:rPr>
        <w:t>администрации Кадикасинского</w:t>
      </w:r>
      <w:r w:rsidR="00126232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DE6B69">
        <w:rPr>
          <w:b/>
          <w:sz w:val="26"/>
          <w:szCs w:val="26"/>
        </w:rPr>
        <w:t xml:space="preserve">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7515A1" w:rsidRPr="00DE6B69" w:rsidRDefault="007515A1" w:rsidP="008E2324">
      <w:pPr>
        <w:spacing w:line="230" w:lineRule="auto"/>
        <w:jc w:val="center"/>
        <w:rPr>
          <w:b/>
          <w:sz w:val="20"/>
          <w:szCs w:val="20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126"/>
        <w:gridCol w:w="706"/>
        <w:gridCol w:w="708"/>
        <w:gridCol w:w="710"/>
        <w:gridCol w:w="710"/>
        <w:gridCol w:w="710"/>
        <w:gridCol w:w="710"/>
        <w:gridCol w:w="710"/>
        <w:gridCol w:w="708"/>
      </w:tblGrid>
      <w:tr w:rsidR="007515A1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</w:p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(удельная характеристика расхода тепловой энергии на отопление и вентиляцию зданий, Вт/(м3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 w:val="restar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Этажность здания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4, 5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6, 7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8, 9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12 и выше</w:t>
            </w:r>
          </w:p>
        </w:tc>
      </w:tr>
      <w:tr w:rsidR="007515A1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0,455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0,414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0,290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 xml:space="preserve">2. Общественные, кроме перечисленных в строках </w:t>
            </w:r>
            <w:hyperlink w:anchor="Par28" w:history="1">
              <w:r w:rsidRPr="00DE6B69">
                <w:rPr>
                  <w:sz w:val="22"/>
                  <w:szCs w:val="22"/>
                </w:rPr>
                <w:t>3</w:t>
              </w:r>
            </w:hyperlink>
            <w:r w:rsidRPr="00DE6B69">
              <w:rPr>
                <w:sz w:val="22"/>
                <w:szCs w:val="22"/>
              </w:rPr>
              <w:t>–</w:t>
            </w:r>
            <w:hyperlink w:anchor="Par53" w:history="1">
              <w:r w:rsidRPr="00DE6B69">
                <w:rPr>
                  <w:sz w:val="22"/>
                  <w:szCs w:val="22"/>
                </w:rPr>
                <w:t>6</w:t>
              </w:r>
            </w:hyperlink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0,487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0,440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3. Лечебно-профи</w:t>
            </w:r>
            <w:r w:rsidRPr="00DE6B69">
              <w:rPr>
                <w:sz w:val="22"/>
                <w:szCs w:val="22"/>
              </w:rPr>
              <w:softHyphen/>
              <w:t>лак</w:t>
            </w:r>
            <w:r w:rsidRPr="00DE6B69">
              <w:rPr>
                <w:sz w:val="22"/>
                <w:szCs w:val="22"/>
              </w:rPr>
              <w:softHyphen/>
              <w:t>тические медицинские организации, дома-интерна</w:t>
            </w:r>
            <w:r w:rsidRPr="00DE6B69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0,348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4. Дошкольные образовательные организации, хосписы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5. Сервисного обслуживания, культурно-досуговой деятельности, технопарки, склады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0,266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0,243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9C5A3F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6. Административ</w:t>
            </w:r>
            <w:r w:rsidRPr="00DE6B69">
              <w:rPr>
                <w:sz w:val="22"/>
                <w:szCs w:val="22"/>
              </w:rPr>
              <w:softHyphen/>
              <w:t>ного назначения (офи</w:t>
            </w:r>
            <w:r w:rsidRPr="00DE6B69">
              <w:rPr>
                <w:sz w:val="22"/>
                <w:szCs w:val="22"/>
              </w:rPr>
              <w:softHyphen/>
            </w:r>
            <w:r w:rsidRPr="00DE6B69">
              <w:rPr>
                <w:sz w:val="22"/>
                <w:szCs w:val="22"/>
              </w:rPr>
              <w:softHyphen/>
              <w:t>сы)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0,278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</w:tr>
    </w:tbl>
    <w:p w:rsidR="007515A1" w:rsidRPr="009C5A3F" w:rsidRDefault="007515A1" w:rsidP="008E2324">
      <w:pPr>
        <w:spacing w:line="235" w:lineRule="auto"/>
        <w:rPr>
          <w:sz w:val="2"/>
          <w:szCs w:val="2"/>
        </w:rPr>
      </w:pPr>
    </w:p>
    <w:p w:rsidR="007515A1" w:rsidRDefault="007515A1" w:rsidP="008E2324">
      <w:pPr>
        <w:jc w:val="right"/>
        <w:rPr>
          <w:sz w:val="26"/>
          <w:szCs w:val="26"/>
        </w:rPr>
      </w:pPr>
    </w:p>
    <w:p w:rsidR="007515A1" w:rsidRPr="009C5A3F" w:rsidRDefault="007515A1" w:rsidP="008E2324">
      <w:pPr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 xml:space="preserve">.1 (7) </w:t>
      </w:r>
    </w:p>
    <w:p w:rsidR="007515A1" w:rsidRPr="009C5A3F" w:rsidRDefault="007515A1" w:rsidP="008E2324">
      <w:pPr>
        <w:jc w:val="right"/>
        <w:rPr>
          <w:sz w:val="26"/>
          <w:szCs w:val="26"/>
        </w:rPr>
      </w:pPr>
    </w:p>
    <w:p w:rsidR="007515A1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126232" w:rsidRPr="00126232">
        <w:rPr>
          <w:b/>
          <w:sz w:val="26"/>
          <w:szCs w:val="26"/>
        </w:rPr>
        <w:t>администрации Кадикасинского</w:t>
      </w:r>
      <w:r w:rsidR="00126232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 xml:space="preserve">сельского поселения Моргаушского района </w:t>
      </w:r>
      <w:r w:rsidRPr="009C5A3F">
        <w:rPr>
          <w:b/>
          <w:sz w:val="26"/>
          <w:szCs w:val="26"/>
        </w:rPr>
        <w:t xml:space="preserve"> Чувашской Республики объектами местного значения в области водоснабжения и водоотведения </w:t>
      </w:r>
    </w:p>
    <w:p w:rsidR="007515A1" w:rsidRPr="004D77BC" w:rsidRDefault="00ED4A9F" w:rsidP="009F564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p w:rsidR="007515A1" w:rsidRPr="009C5A3F" w:rsidRDefault="007515A1" w:rsidP="008E2324">
      <w:pPr>
        <w:ind w:firstLine="851"/>
        <w:jc w:val="center"/>
        <w:rPr>
          <w:sz w:val="26"/>
          <w:szCs w:val="26"/>
        </w:rPr>
      </w:pPr>
    </w:p>
    <w:tbl>
      <w:tblPr>
        <w:tblW w:w="50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686"/>
        <w:gridCol w:w="3598"/>
        <w:gridCol w:w="1081"/>
        <w:gridCol w:w="1079"/>
        <w:gridCol w:w="929"/>
        <w:gridCol w:w="948"/>
        <w:gridCol w:w="11"/>
      </w:tblGrid>
      <w:tr w:rsidR="007515A1" w:rsidRPr="009C5A3F" w:rsidTr="00ED4A9F">
        <w:trPr>
          <w:gridAfter w:val="1"/>
          <w:wAfter w:w="6" w:type="pct"/>
        </w:trPr>
        <w:tc>
          <w:tcPr>
            <w:tcW w:w="903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1515"/>
              </w:tabs>
              <w:jc w:val="both"/>
            </w:pPr>
            <w:r w:rsidRPr="009C5A3F">
              <w:rPr>
                <w:sz w:val="22"/>
                <w:szCs w:val="22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091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ED4A9F" w:rsidRDefault="007515A1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 xml:space="preserve">Климатическая зона «Чебоксары» (гг. Чебоксары, Новочебоксарск, Красноармейский, Красночетайский, Мариинско-Посадский, </w:t>
            </w:r>
          </w:p>
          <w:p w:rsidR="007515A1" w:rsidRPr="009C5A3F" w:rsidRDefault="007515A1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>Моргаушский, Цивильский, Чебоксарский и Ядринский районы)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1. 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4. 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EE5F06" w:rsidRDefault="007515A1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EE5F06" w:rsidRDefault="007515A1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EE5F06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EE5F06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5. 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EE5F06" w:rsidRDefault="007515A1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EE5F06" w:rsidRDefault="007515A1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EE5F06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EE5F06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7. В жилых домах и многоквартирных домах с водопроводом, душами без ванн, с канализацией, с водонагревом различного типа (ХВС, с душем без ванн, мойкой кухонной, раковиной, канализацией, с водонагревом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8. 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47" w:lineRule="auto"/>
            </w:pP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47" w:lineRule="auto"/>
            </w:pP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47" w:lineRule="auto"/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2,600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10. 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9C5A3F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11. В многоквартирных домах коммунального типа с водопроводом,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4,571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  <w:jc w:val="both"/>
            </w:pPr>
            <w:r w:rsidRPr="00EE5F06">
              <w:rPr>
                <w:sz w:val="22"/>
                <w:szCs w:val="22"/>
              </w:rPr>
              <w:t>12. В многоквартирных домах коммунального типа с водопроводом, централизованным ГВС, общими душевыми, столовыми и прачечными,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  <w:jc w:val="both"/>
            </w:pPr>
            <w:r w:rsidRPr="00EE5F06">
              <w:rPr>
                <w:sz w:val="22"/>
                <w:szCs w:val="22"/>
              </w:rPr>
              <w:t>13. В многоквартирных домах коммунального типа с 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  <w:jc w:val="both"/>
            </w:pPr>
            <w:r w:rsidRPr="00EE5F06">
              <w:rPr>
                <w:sz w:val="22"/>
                <w:szCs w:val="22"/>
              </w:rPr>
              <w:t>14. В многоквартирных домах коммунального типа с водопроводом, с общими кухнями и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5,298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  <w:jc w:val="both"/>
            </w:pPr>
            <w:r w:rsidRPr="00EE5F06">
              <w:rPr>
                <w:sz w:val="22"/>
                <w:szCs w:val="22"/>
              </w:rPr>
              <w:t>15. В многоквартирных домах коммунального типа с водопроводом, централизованным ГВС,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  <w:jc w:val="both"/>
            </w:pPr>
            <w:r w:rsidRPr="00EE5F06">
              <w:rPr>
                <w:sz w:val="22"/>
                <w:szCs w:val="22"/>
              </w:rPr>
              <w:t>16. 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водонагревом различного типа (ХВС, с блоками душевых на этажах при жилых комнатах в каждой секции, с мойкой кухонной, раковиной, канализацией, с водонагревом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r w:rsidRPr="00EE5F06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  <w:ind w:left="28" w:right="28"/>
              <w:jc w:val="both"/>
            </w:pPr>
            <w:r w:rsidRPr="00EE5F06">
              <w:rPr>
                <w:sz w:val="22"/>
                <w:szCs w:val="22"/>
              </w:rPr>
              <w:t>17. В многоквартирных домах коммунального типа с водопроводом, централизованным ГВС, с общими кухнями, с душевыми при всех жилых комнатах, с канализацией (ХВС и ГВС, с душевыми при всех жилых комнатах,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</w:pP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</w:pP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D4A9F" w:rsidRPr="00EE5F06" w:rsidTr="00EE5F06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  <w:ind w:left="28" w:right="28"/>
              <w:jc w:val="both"/>
            </w:pPr>
            <w:r w:rsidRPr="00EE5F06">
              <w:rPr>
                <w:sz w:val="22"/>
                <w:szCs w:val="22"/>
              </w:rPr>
              <w:t>18. В многоквартирных домах коммунального типа с водопроводом, с общими кухнями, с душевыми при всех жилых комнатах, с канализацией, с водонагревом различного типа (ХВС, с душевыми при всех жилых комнатах, с мойкой кухонной, раковиной, с канализацией, с водонагревом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</w:pPr>
            <w:r w:rsidRPr="00EE5F06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</w:pPr>
            <w:r w:rsidRPr="00EE5F06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EE5F06" w:rsidRDefault="00ED4A9F" w:rsidP="003E0553">
            <w:pPr>
              <w:spacing w:line="230" w:lineRule="auto"/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EE5F06" w:rsidRDefault="00ED4A9F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5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</w:tbl>
    <w:p w:rsidR="007515A1" w:rsidRPr="00EE5F06" w:rsidRDefault="007515A1" w:rsidP="008E2324">
      <w:pPr>
        <w:spacing w:line="230" w:lineRule="auto"/>
        <w:rPr>
          <w:sz w:val="16"/>
          <w:szCs w:val="16"/>
        </w:rPr>
      </w:pPr>
    </w:p>
    <w:p w:rsidR="007515A1" w:rsidRPr="00EE5F06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</w:p>
    <w:p w:rsidR="007515A1" w:rsidRPr="00EE5F06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  <w:r w:rsidRPr="00EE5F06">
        <w:rPr>
          <w:sz w:val="22"/>
          <w:szCs w:val="22"/>
        </w:rPr>
        <w:t>Примечание.</w:t>
      </w:r>
      <w:r w:rsidRPr="00EE5F06">
        <w:rPr>
          <w:sz w:val="22"/>
          <w:szCs w:val="22"/>
        </w:rPr>
        <w:tab/>
        <w:t>Указанные нормы следует применять с учетом требований табл. 1 СП 31.13330. 2012.</w:t>
      </w:r>
    </w:p>
    <w:p w:rsidR="007515A1" w:rsidRPr="00EE5F06" w:rsidRDefault="007515A1" w:rsidP="008E2324">
      <w:pPr>
        <w:spacing w:line="230" w:lineRule="auto"/>
        <w:ind w:right="-142"/>
        <w:contextualSpacing/>
        <w:jc w:val="right"/>
        <w:rPr>
          <w:color w:val="000000"/>
          <w:sz w:val="26"/>
          <w:szCs w:val="26"/>
        </w:rPr>
      </w:pPr>
    </w:p>
    <w:p w:rsidR="007515A1" w:rsidRPr="00EE5F06" w:rsidRDefault="007515A1" w:rsidP="008E2324">
      <w:pPr>
        <w:spacing w:line="230" w:lineRule="auto"/>
        <w:ind w:right="-142"/>
        <w:contextualSpacing/>
        <w:jc w:val="right"/>
        <w:rPr>
          <w:color w:val="000000"/>
          <w:sz w:val="26"/>
          <w:szCs w:val="26"/>
        </w:rPr>
      </w:pPr>
    </w:p>
    <w:p w:rsidR="007515A1" w:rsidRPr="00EE5F06" w:rsidRDefault="007515A1" w:rsidP="008E2324">
      <w:pPr>
        <w:spacing w:line="230" w:lineRule="auto"/>
        <w:ind w:right="-142"/>
        <w:contextualSpacing/>
        <w:jc w:val="right"/>
        <w:rPr>
          <w:color w:val="000000"/>
          <w:sz w:val="26"/>
          <w:szCs w:val="26"/>
        </w:rPr>
      </w:pPr>
    </w:p>
    <w:p w:rsidR="007515A1" w:rsidRPr="00EE5F06" w:rsidRDefault="007515A1" w:rsidP="008E2324">
      <w:pPr>
        <w:spacing w:line="230" w:lineRule="auto"/>
        <w:ind w:right="-142"/>
        <w:contextualSpacing/>
        <w:jc w:val="right"/>
        <w:rPr>
          <w:color w:val="000000"/>
          <w:sz w:val="26"/>
          <w:szCs w:val="26"/>
        </w:rPr>
      </w:pPr>
    </w:p>
    <w:p w:rsidR="007515A1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</w:rPr>
      </w:pPr>
      <w:r w:rsidRPr="00EE5F06">
        <w:rPr>
          <w:rFonts w:ascii="Times New Roman" w:hAnsi="Times New Roman"/>
          <w:i w:val="0"/>
        </w:rPr>
        <w:t>1.1.2. Предельные значения расчетных показателей минимально допустимого уровня обеспеченности</w:t>
      </w:r>
      <w:r w:rsidRPr="00EE5F06">
        <w:rPr>
          <w:rFonts w:ascii="Times New Roman" w:hAnsi="Times New Roman"/>
        </w:rPr>
        <w:t xml:space="preserve"> </w:t>
      </w:r>
      <w:r w:rsidRPr="00EE5F06">
        <w:rPr>
          <w:rFonts w:ascii="Times New Roman" w:hAnsi="Times New Roman"/>
          <w:i w:val="0"/>
        </w:rPr>
        <w:t xml:space="preserve">населения </w:t>
      </w:r>
      <w:r w:rsidR="00126232" w:rsidRPr="00EE5F06">
        <w:rPr>
          <w:rFonts w:ascii="Times New Roman" w:hAnsi="Times New Roman"/>
          <w:i w:val="0"/>
        </w:rPr>
        <w:t>администрации Кадикасинского</w:t>
      </w:r>
      <w:r w:rsidR="00126232" w:rsidRPr="00EE5F06">
        <w:t xml:space="preserve"> </w:t>
      </w:r>
      <w:r w:rsidR="00ED4A9F" w:rsidRPr="00EE5F06">
        <w:rPr>
          <w:rFonts w:ascii="Times New Roman" w:hAnsi="Times New Roman"/>
          <w:i w:val="0"/>
        </w:rPr>
        <w:t>сельского поселения Моргаушского района</w:t>
      </w:r>
      <w:r w:rsidRPr="00EE5F06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</w:t>
      </w:r>
      <w:r w:rsidRPr="009C5A3F">
        <w:rPr>
          <w:rFonts w:ascii="Times New Roman" w:hAnsi="Times New Roman"/>
          <w:i w:val="0"/>
        </w:rPr>
        <w:t xml:space="preserve"> уровня территориальной доступности таких объектов для населения </w:t>
      </w:r>
      <w:r w:rsidR="0005362B">
        <w:rPr>
          <w:rFonts w:ascii="Times New Roman" w:hAnsi="Times New Roman"/>
          <w:i w:val="0"/>
          <w:sz w:val="28"/>
          <w:szCs w:val="28"/>
        </w:rPr>
        <w:t>администрации</w:t>
      </w:r>
      <w:r w:rsidR="001232C3">
        <w:rPr>
          <w:rFonts w:ascii="Times New Roman" w:hAnsi="Times New Roman"/>
          <w:i w:val="0"/>
          <w:sz w:val="28"/>
          <w:szCs w:val="28"/>
        </w:rPr>
        <w:t xml:space="preserve"> Кадикасинского </w:t>
      </w:r>
      <w:r w:rsidR="009F564C" w:rsidRPr="009F564C">
        <w:rPr>
          <w:rFonts w:ascii="Times New Roman" w:hAnsi="Times New Roman"/>
          <w:i w:val="0"/>
          <w:sz w:val="28"/>
          <w:szCs w:val="28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Default="007515A1" w:rsidP="008E2324">
      <w:pPr>
        <w:spacing w:line="230" w:lineRule="auto"/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(1)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Предельные значения расчетных показателей</w:t>
      </w:r>
      <w:r w:rsidRPr="009C5A3F">
        <w:rPr>
          <w:b/>
          <w:i/>
        </w:rPr>
        <w:t xml:space="preserve"> </w:t>
      </w:r>
      <w:r w:rsidRPr="009C5A3F">
        <w:rPr>
          <w:b/>
          <w:sz w:val="26"/>
          <w:szCs w:val="26"/>
        </w:rPr>
        <w:t xml:space="preserve">минимально допустимого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6"/>
          <w:szCs w:val="26"/>
        </w:rPr>
      </w:pPr>
      <w:r w:rsidRPr="009C5A3F">
        <w:rPr>
          <w:b/>
          <w:sz w:val="26"/>
          <w:szCs w:val="26"/>
        </w:rPr>
        <w:t xml:space="preserve">уровня обеспеченности населения </w:t>
      </w:r>
      <w:r w:rsidR="00126232" w:rsidRPr="00126232">
        <w:rPr>
          <w:b/>
          <w:sz w:val="26"/>
          <w:szCs w:val="26"/>
        </w:rPr>
        <w:t>администрации Кадикасинского</w:t>
      </w:r>
      <w:r w:rsidR="00ED4A9F" w:rsidRPr="00ED4A9F">
        <w:rPr>
          <w:i/>
        </w:rPr>
        <w:t xml:space="preserve"> </w:t>
      </w:r>
      <w:r w:rsidR="00ED4A9F" w:rsidRPr="00ED4A9F">
        <w:rPr>
          <w:b/>
          <w:sz w:val="28"/>
          <w:szCs w:val="28"/>
        </w:rPr>
        <w:t>сельского поселения Моргаушского района</w:t>
      </w:r>
      <w:r w:rsidRPr="009C5A3F">
        <w:rPr>
          <w:b/>
          <w:sz w:val="26"/>
          <w:szCs w:val="26"/>
        </w:rPr>
        <w:t xml:space="preserve"> Чувашской Республики</w:t>
      </w:r>
      <w:r w:rsidRPr="009C5A3F">
        <w:rPr>
          <w:b/>
          <w:i/>
        </w:rPr>
        <w:t xml:space="preserve"> </w:t>
      </w:r>
      <w:r w:rsidRPr="009C5A3F">
        <w:rPr>
          <w:b/>
          <w:sz w:val="26"/>
          <w:szCs w:val="26"/>
        </w:rPr>
        <w:t xml:space="preserve">местами хранения личного автотранспорта населения </w:t>
      </w:r>
      <w:r w:rsidR="00126232" w:rsidRPr="00126232">
        <w:rPr>
          <w:b/>
          <w:sz w:val="26"/>
          <w:szCs w:val="26"/>
        </w:rPr>
        <w:t>администрации Кадикасинского</w:t>
      </w:r>
      <w:r w:rsidR="00ED4A9F" w:rsidRPr="00ED4A9F">
        <w:rPr>
          <w:i/>
        </w:rPr>
        <w:t xml:space="preserve"> </w:t>
      </w:r>
      <w:r w:rsidR="00ED4A9F" w:rsidRPr="00ED4A9F">
        <w:rPr>
          <w:b/>
          <w:sz w:val="28"/>
          <w:szCs w:val="28"/>
        </w:rPr>
        <w:t>сельского поселения Моргаушского района</w:t>
      </w:r>
      <w:r w:rsidRPr="009C5A3F">
        <w:rPr>
          <w:b/>
          <w:sz w:val="26"/>
          <w:szCs w:val="26"/>
        </w:rPr>
        <w:t xml:space="preserve">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19"/>
        <w:gridCol w:w="1441"/>
        <w:gridCol w:w="1080"/>
        <w:gridCol w:w="1619"/>
        <w:gridCol w:w="1223"/>
      </w:tblGrid>
      <w:tr w:rsidR="007515A1" w:rsidRPr="009C5A3F" w:rsidTr="004363A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№ </w:t>
            </w:r>
            <w:r w:rsidRPr="009C5A3F">
              <w:rPr>
                <w:sz w:val="22"/>
                <w:szCs w:val="22"/>
              </w:rPr>
              <w:br/>
              <w:t>пп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4363A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782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1319"/>
        <w:gridCol w:w="2117"/>
        <w:gridCol w:w="1441"/>
        <w:gridCol w:w="1081"/>
        <w:gridCol w:w="1619"/>
        <w:gridCol w:w="1220"/>
      </w:tblGrid>
      <w:tr w:rsidR="007515A1" w:rsidRPr="009C5A3F" w:rsidTr="00AB062F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</w:p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Стоянки автомобилей для многоквартирных жилых домов</w:t>
            </w:r>
          </w:p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800–1000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Экономкласс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Специализирован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1 квартиру</w:t>
            </w:r>
          </w:p>
          <w:p w:rsidR="007515A1" w:rsidRPr="009C5A3F" w:rsidRDefault="007515A1" w:rsidP="003E0553"/>
          <w:p w:rsidR="007515A1" w:rsidRPr="009C5A3F" w:rsidRDefault="007515A1" w:rsidP="003E0553"/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b/>
              </w:rPr>
            </w:pPr>
          </w:p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Открытые приобъектные стоянки у общественных зданий, </w:t>
            </w:r>
          </w:p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учреждений, предприятий, торговых </w:t>
            </w:r>
            <w:r w:rsidR="00ED4A9F">
              <w:rPr>
                <w:b/>
                <w:sz w:val="22"/>
                <w:szCs w:val="22"/>
              </w:rPr>
              <w:t xml:space="preserve">центров </w:t>
            </w:r>
            <w:r w:rsidRPr="009C5A3F">
              <w:rPr>
                <w:b/>
                <w:sz w:val="22"/>
                <w:szCs w:val="22"/>
              </w:rPr>
              <w:t>и т.д.</w:t>
            </w:r>
          </w:p>
          <w:p w:rsidR="007515A1" w:rsidRPr="009C5A3F" w:rsidRDefault="007515A1" w:rsidP="003E0553">
            <w:pPr>
              <w:rPr>
                <w:b/>
              </w:rPr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ED4A9F" w:rsidP="00ED4A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200–220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ED4A9F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>здания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100–120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>фисные здания и помещения, 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50–60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Банки и банковские учреждения, кредитно-финансовые учреждения: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30–35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55–60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20–25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pPr>
              <w:rPr>
                <w:vertAlign w:val="superscript"/>
              </w:rPr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keepNext/>
            </w:pPr>
            <w:r>
              <w:rPr>
                <w:sz w:val="22"/>
                <w:szCs w:val="22"/>
              </w:rPr>
              <w:t>7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  <w:jc w:val="both"/>
            </w:pPr>
            <w:r w:rsidRPr="009C5A3F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>Машино-мест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8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Магазины-склады (мел</w:t>
            </w:r>
            <w:r w:rsidR="00AB062F">
              <w:rPr>
                <w:sz w:val="22"/>
                <w:szCs w:val="22"/>
              </w:rPr>
              <w:t>кооптовой и розничной торговли</w:t>
            </w:r>
            <w:r w:rsidRPr="009C5A3F">
              <w:rPr>
                <w:sz w:val="22"/>
                <w:szCs w:val="22"/>
              </w:rPr>
              <w:t>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>
              <w:rPr>
                <w:sz w:val="22"/>
                <w:szCs w:val="22"/>
              </w:rPr>
              <w:t>Машино-мест</w:t>
            </w:r>
            <w:r w:rsidRPr="009C5A3F">
              <w:rPr>
                <w:sz w:val="22"/>
                <w:szCs w:val="22"/>
              </w:rPr>
              <w:t xml:space="preserve"> на 30–35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9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40–50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10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Специализированные магазины по продаже товаров эпизодического спроса непродовольственной группы (спортивные,</w:t>
            </w:r>
            <w:r w:rsidR="00AB062F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60–70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11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Рынки постоянные: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30–40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40–50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r w:rsidRPr="009C5A3F">
              <w:rPr>
                <w:sz w:val="22"/>
                <w:szCs w:val="22"/>
              </w:rPr>
              <w:t>1</w:t>
            </w:r>
            <w:r w:rsidR="00AB062F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Машино-мест на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13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Объекты коммунально-быто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обслуживания: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5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ателье, 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10–15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20–25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Машино-мест 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14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AB062F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 xml:space="preserve"> М</w:t>
            </w:r>
            <w:r w:rsidR="007515A1" w:rsidRPr="009C5A3F">
              <w:rPr>
                <w:sz w:val="22"/>
                <w:szCs w:val="22"/>
              </w:rPr>
              <w:t>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17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18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Медицинские организации </w:t>
            </w:r>
            <w:r w:rsidR="00AB062F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районного, участ</w:t>
            </w:r>
            <w:r w:rsidRPr="009C5A3F">
              <w:rPr>
                <w:sz w:val="22"/>
                <w:szCs w:val="22"/>
              </w:rPr>
              <w:softHyphen/>
              <w:t>кового уровня, оказывающие медицинскую помощь в ста</w:t>
            </w:r>
            <w:r w:rsidRPr="009C5A3F">
              <w:rPr>
                <w:sz w:val="22"/>
                <w:szCs w:val="22"/>
              </w:rPr>
              <w:softHyphen/>
              <w:t>ционарных условиях (боль</w:t>
            </w:r>
            <w:r w:rsidRPr="009C5A3F">
              <w:rPr>
                <w:sz w:val="22"/>
                <w:szCs w:val="22"/>
              </w:rPr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19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20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>С</w:t>
            </w:r>
            <w:r w:rsidR="007515A1" w:rsidRPr="009C5A3F">
              <w:rPr>
                <w:sz w:val="22"/>
                <w:szCs w:val="22"/>
              </w:rPr>
              <w:t>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25–30 мест на 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  <w:r w:rsidR="00AB062F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Оздоровительные комплексы (фитнес-клубы,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25–55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22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Тренажерные залы площадью 150–500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площадью 1000–2000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и бассейном общей площадью 2000–3000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 w:rsidR="00B574D6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33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34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 xml:space="preserve"> </w:t>
            </w:r>
            <w:r w:rsidR="007515A1"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</w:tbl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0"/>
          <w:szCs w:val="2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>Примечания: Размещение требуемого количества машино-мест может быть обеспечено в подземных охраняемых автостоянках на придомовой территории многоквартирных жилых домов с соблю</w:t>
      </w:r>
      <w:r w:rsidRPr="009C5A3F">
        <w:rPr>
          <w:sz w:val="22"/>
          <w:szCs w:val="22"/>
        </w:rPr>
        <w:softHyphen/>
        <w:t>дением нормативного уровня благоустройства.</w:t>
      </w:r>
    </w:p>
    <w:p w:rsidR="007515A1" w:rsidRPr="009C5A3F" w:rsidRDefault="007515A1" w:rsidP="008E2324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В зонах жилой застройки следует предусматривать стоянки для хранения легко</w:t>
      </w:r>
      <w:r w:rsidRPr="009C5A3F">
        <w:rPr>
          <w:sz w:val="22"/>
          <w:szCs w:val="22"/>
        </w:rPr>
        <w:softHyphen/>
        <w:t>вых автомобилей населения при пешеходной доступности не более 800 м, а в районах ре</w:t>
      </w:r>
      <w:r w:rsidRPr="009C5A3F">
        <w:rPr>
          <w:sz w:val="22"/>
          <w:szCs w:val="22"/>
        </w:rPr>
        <w:softHyphen/>
        <w:t>конструкции – не более 1000 м.</w:t>
      </w:r>
    </w:p>
    <w:p w:rsidR="007515A1" w:rsidRPr="009C5A3F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Длина пешеходных подходов от стоянок для временного хранения легковых авто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мобилей к объектам в зонах массового отдыха не должна превышать </w:t>
      </w:r>
      <w:r w:rsidRPr="009C5A3F">
        <w:rPr>
          <w:rFonts w:ascii="Times New Roman" w:hAnsi="Times New Roman" w:cs="Times New Roman"/>
          <w:sz w:val="22"/>
          <w:szCs w:val="22"/>
        </w:rPr>
        <w:br/>
        <w:t>1000 м.</w:t>
      </w:r>
    </w:p>
    <w:p w:rsidR="007515A1" w:rsidRPr="009C5A3F" w:rsidRDefault="00B574D6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515A1" w:rsidRPr="009C5A3F">
        <w:rPr>
          <w:rFonts w:ascii="Times New Roman" w:hAnsi="Times New Roman" w:cs="Times New Roman"/>
          <w:sz w:val="22"/>
          <w:szCs w:val="22"/>
        </w:rPr>
        <w:t xml:space="preserve"> Указанные стоянки должны быть размещены с учетом обеспечения удоб</w:t>
      </w:r>
      <w:r w:rsidR="007515A1" w:rsidRPr="009C5A3F">
        <w:rPr>
          <w:rFonts w:ascii="Times New Roman" w:hAnsi="Times New Roman" w:cs="Times New Roman"/>
          <w:sz w:val="22"/>
          <w:szCs w:val="22"/>
        </w:rPr>
        <w:softHyphen/>
        <w:t>ных подходов к объектам туристского осмотра, но не далее 500 м от них, и не нарушать целост</w:t>
      </w:r>
      <w:r w:rsidR="007515A1" w:rsidRPr="009C5A3F">
        <w:rPr>
          <w:rFonts w:ascii="Times New Roman" w:hAnsi="Times New Roman" w:cs="Times New Roman"/>
          <w:sz w:val="22"/>
          <w:szCs w:val="22"/>
        </w:rPr>
        <w:softHyphen/>
        <w:t xml:space="preserve">ный характер исторической среды. </w:t>
      </w:r>
    </w:p>
    <w:p w:rsidR="007515A1" w:rsidRPr="00B574D6" w:rsidRDefault="00B574D6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B574D6">
        <w:rPr>
          <w:rFonts w:ascii="Times New Roman" w:hAnsi="Times New Roman" w:cs="Times New Roman"/>
          <w:sz w:val="22"/>
          <w:szCs w:val="22"/>
        </w:rPr>
        <w:t xml:space="preserve"> </w:t>
      </w:r>
      <w:r w:rsidR="007515A1" w:rsidRPr="00B574D6">
        <w:rPr>
          <w:rFonts w:ascii="Times New Roman" w:hAnsi="Times New Roman" w:cs="Times New Roman"/>
          <w:sz w:val="22"/>
          <w:szCs w:val="22"/>
        </w:rPr>
        <w:t>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="007515A1" w:rsidRPr="00B574D6">
        <w:rPr>
          <w:rFonts w:ascii="Times New Roman" w:hAnsi="Times New Roman" w:cs="Times New Roman"/>
          <w:sz w:val="22"/>
          <w:szCs w:val="22"/>
        </w:rPr>
        <w:softHyphen/>
        <w:t>ницами парковочных мест шириной не менее 0,75 м.</w:t>
      </w:r>
    </w:p>
    <w:p w:rsidR="007515A1" w:rsidRPr="009C5A3F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Число машино-мест следует принимать при уровнях автомобилизации, определен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на расчетный срок.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Перечень зданий и сооружений уточняется в соответствующих сводах правил, регла</w:t>
      </w:r>
      <w:r w:rsidRPr="009C5A3F">
        <w:rPr>
          <w:sz w:val="22"/>
          <w:szCs w:val="22"/>
        </w:rPr>
        <w:softHyphen/>
        <w:t>ментирующих проектирование зданий и сооружений, площадок и помещений, предназначен</w:t>
      </w:r>
      <w:r w:rsidRPr="009C5A3F">
        <w:rPr>
          <w:sz w:val="22"/>
          <w:szCs w:val="22"/>
        </w:rPr>
        <w:softHyphen/>
        <w:t>ных для стоянок.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0"/>
          <w:szCs w:val="1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(2)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4"/>
        <w:gridCol w:w="2435"/>
        <w:gridCol w:w="2030"/>
        <w:gridCol w:w="2163"/>
      </w:tblGrid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Тип жилого дома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Норма площади квартир в расчете на одного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человека,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Формула заселения жилого дома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Доля в общем объеме жилищного строительства, %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+ 1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10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Экономкласс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25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50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– 1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60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– 2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7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b/>
          <w:bCs/>
          <w:sz w:val="22"/>
          <w:szCs w:val="22"/>
        </w:rPr>
      </w:pPr>
    </w:p>
    <w:p w:rsidR="007515A1" w:rsidRPr="009C5A3F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sz w:val="22"/>
          <w:szCs w:val="22"/>
        </w:rPr>
      </w:pPr>
      <w:r w:rsidRPr="009C5A3F">
        <w:rPr>
          <w:bCs/>
          <w:sz w:val="22"/>
          <w:szCs w:val="22"/>
        </w:rPr>
        <w:t>Примечания:</w:t>
      </w:r>
      <w:r w:rsidRPr="009C5A3F">
        <w:rPr>
          <w:bCs/>
          <w:sz w:val="22"/>
          <w:szCs w:val="22"/>
        </w:rPr>
        <w:tab/>
      </w:r>
      <w:r w:rsidRPr="009C5A3F">
        <w:rPr>
          <w:sz w:val="22"/>
          <w:szCs w:val="22"/>
        </w:rPr>
        <w:t>1.</w:t>
      </w:r>
      <w:r w:rsidRPr="009C5A3F">
        <w:rPr>
          <w:sz w:val="16"/>
          <w:szCs w:val="16"/>
        </w:rPr>
        <w:t xml:space="preserve"> </w:t>
      </w:r>
      <w:r w:rsidRPr="009C5A3F">
        <w:rPr>
          <w:sz w:val="22"/>
          <w:szCs w:val="22"/>
        </w:rPr>
        <w:t>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2.</w:t>
      </w:r>
      <w:r w:rsidRPr="009C5A3F">
        <w:rPr>
          <w:sz w:val="22"/>
          <w:szCs w:val="22"/>
        </w:rPr>
        <w:tab/>
        <w:t>k – общее число жилых комнат в квартире или доме; n – численность проживающих людей.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3. В числителе – на первую очередь, в знаменателе – на расчетный срок.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14"/>
          <w:szCs w:val="14"/>
        </w:rPr>
      </w:pPr>
      <w:r w:rsidRPr="009C5A3F">
        <w:rPr>
          <w:sz w:val="22"/>
          <w:szCs w:val="22"/>
        </w:rPr>
        <w:t>4. Указанные показатели не являются основанием для установления нормы реального заселения.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(3)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30"/>
          <w:szCs w:val="30"/>
        </w:rPr>
      </w:pPr>
    </w:p>
    <w:p w:rsidR="007515A1" w:rsidRPr="009C5A3F" w:rsidRDefault="007515A1" w:rsidP="008E2324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Предельные значения расчетных показателей минимально допустимого</w:t>
      </w:r>
    </w:p>
    <w:p w:rsidR="007515A1" w:rsidRPr="009C5A3F" w:rsidRDefault="007515A1" w:rsidP="008E2324">
      <w:pPr>
        <w:pStyle w:val="5"/>
        <w:spacing w:before="0" w:after="0" w:line="230" w:lineRule="auto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 xml:space="preserve">уровня обеспеченности населения </w:t>
      </w:r>
      <w:r w:rsidR="00126232" w:rsidRPr="00126232">
        <w:rPr>
          <w:rFonts w:ascii="Times New Roman" w:hAnsi="Times New Roman"/>
          <w:i w:val="0"/>
        </w:rPr>
        <w:t xml:space="preserve">администрации Кадикасинского </w:t>
      </w:r>
      <w:r w:rsidR="00B574D6" w:rsidRPr="00126232">
        <w:rPr>
          <w:rFonts w:ascii="Times New Roman" w:hAnsi="Times New Roman"/>
          <w:i w:val="0"/>
        </w:rPr>
        <w:t>сельского</w:t>
      </w:r>
      <w:r w:rsidR="00B574D6">
        <w:rPr>
          <w:rFonts w:ascii="Times New Roman" w:hAnsi="Times New Roman"/>
          <w:i w:val="0"/>
        </w:rPr>
        <w:t xml:space="preserve">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05362B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sz w:val="30"/>
          <w:szCs w:val="3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69"/>
        <w:gridCol w:w="3071"/>
        <w:gridCol w:w="1598"/>
        <w:gridCol w:w="1096"/>
        <w:gridCol w:w="2954"/>
      </w:tblGrid>
      <w:tr w:rsidR="007515A1" w:rsidRPr="009C5A3F" w:rsidTr="003E0553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</w:tr>
      <w:tr w:rsidR="007515A1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Колонка /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1200 легковых 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t>-</w:t>
            </w:r>
          </w:p>
        </w:tc>
      </w:tr>
      <w:tr w:rsidR="007515A1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Пост на </w:t>
            </w:r>
            <w:r w:rsidRPr="009C5A3F">
              <w:rPr>
                <w:sz w:val="22"/>
                <w:szCs w:val="22"/>
              </w:rPr>
              <w:br/>
              <w:t xml:space="preserve">200 легковых 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t>-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____________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</w:t>
      </w:r>
      <w:r w:rsidRPr="009C5A3F">
        <w:rPr>
          <w:sz w:val="22"/>
          <w:szCs w:val="22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Классификация приводится в соответствии с санитарной классификацией предприятий, производств и объектов СанПиН 2.2.1/2.1.1.1200-03.</w:t>
      </w:r>
    </w:p>
    <w:p w:rsidR="007515A1" w:rsidRDefault="007515A1" w:rsidP="008E2324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7515A1" w:rsidRDefault="007515A1" w:rsidP="008E2324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7515A1" w:rsidRPr="009C5A3F" w:rsidRDefault="00B574D6" w:rsidP="008E2324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contextualSpacing/>
        <w:jc w:val="right"/>
        <w:rPr>
          <w:sz w:val="30"/>
          <w:szCs w:val="30"/>
        </w:rPr>
      </w:pPr>
    </w:p>
    <w:p w:rsidR="007515A1" w:rsidRPr="009C5A3F" w:rsidRDefault="00B574D6" w:rsidP="008E2324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contextualSpacing/>
        <w:rPr>
          <w:b/>
          <w:sz w:val="2"/>
          <w:szCs w:val="2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_______________</w:t>
      </w:r>
    </w:p>
    <w:p w:rsidR="007515A1" w:rsidRPr="009C5A3F" w:rsidRDefault="00B574D6" w:rsidP="008E2324">
      <w:pPr>
        <w:widowControl w:val="0"/>
        <w:autoSpaceDE w:val="0"/>
        <w:autoSpaceDN w:val="0"/>
        <w:adjustRightInd w:val="0"/>
        <w:ind w:left="162" w:hanging="1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.3. Предельные значения расчетных показателей минимально допустимого уровня обеспеченности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126232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5362B">
        <w:rPr>
          <w:rFonts w:ascii="Times New Roman" w:hAnsi="Times New Roman"/>
          <w:i w:val="0"/>
        </w:rPr>
        <w:t>администрации Кадикасинского</w:t>
      </w:r>
      <w:r w:rsidR="00FE7132" w:rsidRPr="00FE7132">
        <w:rPr>
          <w:b w:val="0"/>
        </w:rPr>
        <w:t xml:space="preserve"> </w:t>
      </w:r>
      <w:r w:rsidR="00FE7132" w:rsidRPr="00FE7132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.3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41"/>
        <w:gridCol w:w="2562"/>
        <w:gridCol w:w="2365"/>
        <w:gridCol w:w="1090"/>
        <w:gridCol w:w="1640"/>
        <w:gridCol w:w="1090"/>
      </w:tblGrid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муниципального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образования </w:t>
            </w:r>
          </w:p>
          <w:p w:rsidR="007515A1" w:rsidRPr="009C5A3F" w:rsidRDefault="007515A1" w:rsidP="003E0553"/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291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379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273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1"/>
        <w:gridCol w:w="2562"/>
        <w:gridCol w:w="2365"/>
        <w:gridCol w:w="1090"/>
        <w:gridCol w:w="1640"/>
        <w:gridCol w:w="1090"/>
      </w:tblGrid>
      <w:tr w:rsidR="007515A1" w:rsidRPr="009C5A3F" w:rsidTr="003E0553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3E0553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Стадионы, плоскостные спортивные сооружения</w:t>
            </w:r>
          </w:p>
        </w:tc>
      </w:tr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E7132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7515A1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1500</w:t>
            </w:r>
          </w:p>
        </w:tc>
      </w:tr>
      <w:tr w:rsidR="007515A1" w:rsidRPr="009C5A3F" w:rsidTr="003E0553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837B92" w:rsidRDefault="007515A1" w:rsidP="003E0553">
            <w:pPr>
              <w:spacing w:line="235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</w:tr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E7132" w:rsidRDefault="00B574D6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</w:t>
            </w:r>
            <w:r w:rsidR="007515A1" w:rsidRPr="00FE7132">
              <w:rPr>
                <w:sz w:val="22"/>
                <w:szCs w:val="22"/>
              </w:rPr>
              <w:t xml:space="preserve"> сельское по</w:t>
            </w:r>
            <w:r w:rsidR="007515A1"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20</w:t>
            </w:r>
          </w:p>
        </w:tc>
      </w:tr>
      <w:tr w:rsidR="007515A1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500</w:t>
            </w:r>
          </w:p>
        </w:tc>
      </w:tr>
    </w:tbl>
    <w:p w:rsidR="007515A1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.4. Предельные значения расчетных показателей минимально допустимого уровня обеспеченности населения </w:t>
      </w:r>
      <w:r w:rsidR="00126232" w:rsidRPr="00126232">
        <w:rPr>
          <w:rFonts w:ascii="Times New Roman" w:hAnsi="Times New Roman"/>
          <w:i w:val="0"/>
        </w:rPr>
        <w:t xml:space="preserve">администрации Кадикасинского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126232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/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.4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495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71"/>
        <w:gridCol w:w="2876"/>
        <w:gridCol w:w="1802"/>
        <w:gridCol w:w="1208"/>
        <w:gridCol w:w="1672"/>
        <w:gridCol w:w="1166"/>
      </w:tblGrid>
      <w:tr w:rsidR="007515A1" w:rsidRPr="009C5A3F" w:rsidTr="0087647F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7515A1" w:rsidRPr="009C5A3F" w:rsidRDefault="007515A1" w:rsidP="003E0553">
            <w:r w:rsidRPr="009C5A3F">
              <w:rPr>
                <w:color w:val="000000"/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/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минимально допустимого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7515A1" w:rsidRPr="009C5A3F" w:rsidTr="0087647F">
        <w:tc>
          <w:tcPr>
            <w:tcW w:w="256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564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980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469"/>
        <w:gridCol w:w="2881"/>
        <w:gridCol w:w="1798"/>
        <w:gridCol w:w="1259"/>
        <w:gridCol w:w="1622"/>
        <w:gridCol w:w="1259"/>
      </w:tblGrid>
      <w:tr w:rsidR="007515A1" w:rsidRPr="009C5A3F" w:rsidTr="0087647F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Пешеходная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500</w:t>
            </w:r>
          </w:p>
        </w:tc>
      </w:tr>
      <w:tr w:rsidR="007515A1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87647F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мест на 100 человек в возрасте от 5 до 18 лет, обучающихся в общеобразовательных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7515A1" w:rsidRPr="00E83AEE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 w:rsidRPr="00E83AEE">
        <w:rPr>
          <w:bCs/>
          <w:sz w:val="22"/>
          <w:szCs w:val="22"/>
        </w:rPr>
        <w:t>Примечания:</w:t>
      </w:r>
      <w:r w:rsidRPr="00E83AEE">
        <w:rPr>
          <w:bCs/>
          <w:sz w:val="22"/>
          <w:szCs w:val="22"/>
        </w:rPr>
        <w:tab/>
        <w:t>1.</w:t>
      </w:r>
      <w:r w:rsidRPr="00E83AEE">
        <w:rPr>
          <w:bCs/>
          <w:sz w:val="22"/>
          <w:szCs w:val="22"/>
        </w:rPr>
        <w:tab/>
      </w:r>
      <w:r w:rsidRPr="009C5A3F">
        <w:rPr>
          <w:bCs/>
          <w:sz w:val="22"/>
          <w:szCs w:val="22"/>
        </w:rPr>
        <w:t>Д</w:t>
      </w:r>
      <w:r w:rsidRPr="00E83AEE">
        <w:rPr>
          <w:bCs/>
          <w:sz w:val="22"/>
          <w:szCs w:val="22"/>
        </w:rPr>
        <w:t>ошкольными образовательными организациями</w:t>
      </w:r>
      <w:r w:rsidRPr="009C5A3F">
        <w:rPr>
          <w:bCs/>
          <w:sz w:val="22"/>
          <w:szCs w:val="22"/>
        </w:rPr>
        <w:t xml:space="preserve"> должны быть обеспечены 84% чис</w:t>
      </w:r>
      <w:r w:rsidRPr="009C5A3F">
        <w:rPr>
          <w:bCs/>
          <w:sz w:val="22"/>
          <w:szCs w:val="22"/>
        </w:rPr>
        <w:softHyphen/>
        <w:t>ленности детей дошкольного возраста.</w:t>
      </w:r>
    </w:p>
    <w:p w:rsidR="007515A1" w:rsidRPr="00E04C6B" w:rsidRDefault="007515A1" w:rsidP="00E04C6B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E83AEE">
        <w:rPr>
          <w:bCs/>
          <w:sz w:val="22"/>
          <w:szCs w:val="22"/>
        </w:rPr>
        <w:t>2.</w:t>
      </w:r>
      <w:r w:rsidRPr="00E83AEE">
        <w:rPr>
          <w:bCs/>
          <w:sz w:val="22"/>
          <w:szCs w:val="22"/>
        </w:rPr>
        <w:tab/>
        <w:t>В районах одно- и двухэтажной застройки допускается увеличение максимально до</w:t>
      </w:r>
      <w:r w:rsidRPr="00E83AEE">
        <w:rPr>
          <w:bCs/>
          <w:sz w:val="22"/>
          <w:szCs w:val="22"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>Для общеобразовательных организаций при малоэтажной застройке допускается уве</w:t>
      </w:r>
      <w:r w:rsidRPr="009C5A3F">
        <w:rPr>
          <w:sz w:val="22"/>
          <w:szCs w:val="22"/>
        </w:rPr>
        <w:softHyphen/>
        <w:t>личение максимально допустимого уровня территориальной доступности до 750 м.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>Размещение общеобразовательных организаций допускается на расстоянии транс</w:t>
      </w:r>
      <w:r w:rsidRPr="009C5A3F">
        <w:rPr>
          <w:sz w:val="22"/>
          <w:szCs w:val="22"/>
        </w:rPr>
        <w:softHyphen/>
        <w:t>портной доступности для учащихся начального общего образования – 15 минут (в одну сто</w:t>
      </w:r>
      <w:r w:rsidRPr="009C5A3F">
        <w:rPr>
          <w:sz w:val="22"/>
          <w:szCs w:val="22"/>
        </w:rPr>
        <w:softHyphen/>
        <w:t>рону), для учащихся основного общего и среднего общего образования – не более 50 минут (в одну сторону).</w:t>
      </w:r>
    </w:p>
    <w:p w:rsidR="007515A1" w:rsidRPr="009C5A3F" w:rsidRDefault="007515A1" w:rsidP="008E2324">
      <w:pPr>
        <w:pStyle w:val="5"/>
        <w:spacing w:before="0" w:after="0" w:line="230" w:lineRule="auto"/>
        <w:rPr>
          <w:rFonts w:ascii="Times New Roman" w:hAnsi="Times New Roman"/>
          <w:i w:val="0"/>
        </w:rPr>
      </w:pPr>
    </w:p>
    <w:p w:rsidR="007515A1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.5. Предельные значения расчетных показателей минимально допустимого уровня обеспеченности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126232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126232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Default="007515A1" w:rsidP="008E2324">
      <w:pPr>
        <w:spacing w:line="230" w:lineRule="auto"/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.5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4"/>
        <w:gridCol w:w="2976"/>
        <w:gridCol w:w="1811"/>
        <w:gridCol w:w="1589"/>
        <w:gridCol w:w="1418"/>
        <w:gridCol w:w="908"/>
      </w:tblGrid>
      <w:tr w:rsidR="007515A1" w:rsidRPr="009C5A3F" w:rsidTr="005819E8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5819E8">
        <w:tc>
          <w:tcPr>
            <w:tcW w:w="263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620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986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9"/>
        <w:gridCol w:w="2960"/>
        <w:gridCol w:w="1852"/>
        <w:gridCol w:w="1562"/>
        <w:gridCol w:w="1422"/>
        <w:gridCol w:w="891"/>
      </w:tblGrid>
      <w:tr w:rsidR="007515A1" w:rsidRPr="009C5A3F" w:rsidTr="005819E8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 Библиотеки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rPr>
                <w:color w:val="FF0000"/>
              </w:rPr>
            </w:pPr>
            <w:r w:rsidRPr="009C5A3F">
              <w:rPr>
                <w:sz w:val="22"/>
                <w:szCs w:val="22"/>
              </w:rPr>
              <w:t>1.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Общедоступная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общедоступных библиотек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B574D6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515A1" w:rsidRPr="009C5A3F">
              <w:rPr>
                <w:b/>
                <w:sz w:val="22"/>
                <w:szCs w:val="22"/>
              </w:rPr>
              <w:t>. Кинотеатры и кинозалы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5819E8">
            <w:r>
              <w:rPr>
                <w:sz w:val="22"/>
                <w:szCs w:val="22"/>
              </w:rPr>
              <w:t>4</w:t>
            </w:r>
            <w:r w:rsidRPr="009C5A3F">
              <w:rPr>
                <w:sz w:val="22"/>
                <w:szCs w:val="22"/>
              </w:rPr>
              <w:t>.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Кинозал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на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FE7132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515A1" w:rsidRPr="009C5A3F">
              <w:rPr>
                <w:b/>
                <w:sz w:val="22"/>
                <w:szCs w:val="22"/>
              </w:rPr>
              <w:t>. Учреждения клубного типа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FE7132" w:rsidP="00B574D6">
            <w:r>
              <w:rPr>
                <w:sz w:val="22"/>
                <w:szCs w:val="22"/>
              </w:rPr>
              <w:t>3</w:t>
            </w:r>
            <w:r w:rsidR="007515A1">
              <w:rPr>
                <w:sz w:val="22"/>
                <w:szCs w:val="22"/>
              </w:rPr>
              <w:t>.</w:t>
            </w:r>
            <w:r w:rsidR="00B574D6">
              <w:rPr>
                <w:sz w:val="22"/>
                <w:szCs w:val="22"/>
              </w:rPr>
              <w:t>1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Дом культуры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на 1000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.6. Предельные значения расчетных показателей минимально допустимого уровня обеспеченности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126232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 xml:space="preserve">поселения Моргаушского района </w:t>
      </w:r>
      <w:r w:rsidRPr="009C5A3F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126232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 xml:space="preserve">.6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93"/>
        <w:gridCol w:w="13"/>
        <w:gridCol w:w="3212"/>
        <w:gridCol w:w="7"/>
        <w:gridCol w:w="1594"/>
        <w:gridCol w:w="1089"/>
        <w:gridCol w:w="1791"/>
        <w:gridCol w:w="1089"/>
      </w:tblGrid>
      <w:tr w:rsidR="007515A1" w:rsidRPr="009C5A3F" w:rsidTr="00B478A6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/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B478A6">
        <w:tc>
          <w:tcPr>
            <w:tcW w:w="272" w:type="pct"/>
            <w:gridSpan w:val="2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733" w:type="pct"/>
            <w:gridSpan w:val="2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85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  <w:tr w:rsidR="007515A1" w:rsidRPr="009C5A3F" w:rsidTr="00B478A6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2785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Помещения администрации муниципального образования Чувашской Республики. </w:t>
            </w:r>
          </w:p>
          <w:p w:rsidR="007515A1" w:rsidRPr="009C5A3F" w:rsidRDefault="00B574D6" w:rsidP="003E0553">
            <w:pPr>
              <w:ind w:left="1450" w:firstLine="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Для сельского поселения:</w:t>
            </w:r>
          </w:p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Площадь помещений,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Default="007515A1" w:rsidP="003E0553"/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 в пределах населенных пунктов, км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  <w:tr w:rsidR="007515A1" w:rsidRPr="009C5A3F" w:rsidTr="00837B92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Муниципальный архив*:</w:t>
            </w:r>
          </w:p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Читальный зал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Площадь помещений,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2,7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 в пределах населенных пунктов, км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7515A1" w:rsidRPr="009C5A3F" w:rsidRDefault="007515A1" w:rsidP="00B478A6">
      <w:pPr>
        <w:widowControl w:val="0"/>
        <w:autoSpaceDE w:val="0"/>
        <w:autoSpaceDN w:val="0"/>
        <w:adjustRightInd w:val="0"/>
        <w:ind w:left="1524" w:hanging="1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Примечания: </w:t>
      </w:r>
      <w:r w:rsidRPr="009C5A3F">
        <w:rPr>
          <w:sz w:val="22"/>
          <w:szCs w:val="22"/>
        </w:rPr>
        <w:t>* Площадь хранилища документов определяется в задании на проектирование.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>7</w:t>
      </w:r>
      <w:r w:rsidRPr="009C5A3F">
        <w:rPr>
          <w:rFonts w:ascii="Times New Roman" w:hAnsi="Times New Roman"/>
          <w:i w:val="0"/>
        </w:rPr>
        <w:t xml:space="preserve">. Предельные значения расчетных показателей минимально допустимого уровня обеспеченности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B574D6" w:rsidRPr="00B574D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поселения Моргаушского района</w:t>
      </w:r>
      <w:r w:rsidR="00B574D6" w:rsidRPr="009C5A3F">
        <w:rPr>
          <w:rFonts w:ascii="Times New Roman" w:hAnsi="Times New Roman"/>
          <w:i w:val="0"/>
        </w:rPr>
        <w:t xml:space="preserve"> </w:t>
      </w:r>
      <w:r w:rsidRPr="009C5A3F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126232" w:rsidRPr="00126232">
        <w:rPr>
          <w:rFonts w:ascii="Times New Roman" w:hAnsi="Times New Roman"/>
          <w:i w:val="0"/>
        </w:rPr>
        <w:t>администрации Кадикасинского сельского</w:t>
      </w:r>
      <w:r w:rsidR="00B574D6" w:rsidRPr="00B574D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</w:t>
      </w:r>
      <w:r>
        <w:rPr>
          <w:sz w:val="26"/>
          <w:szCs w:val="26"/>
        </w:rPr>
        <w:t>7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Наименование объекта местного значения</w:t>
            </w:r>
          </w:p>
          <w:p w:rsidR="007515A1" w:rsidRPr="009C5A3F" w:rsidRDefault="007515A1" w:rsidP="003E0553"/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294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503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8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A24EA4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7515A1" w:rsidRPr="009C5A3F" w:rsidTr="003E0553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</w:rPr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6</w:t>
            </w:r>
          </w:p>
        </w:tc>
      </w:tr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 xml:space="preserve">Количество (объект) на 150000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100</w:t>
            </w:r>
          </w:p>
        </w:tc>
      </w:tr>
      <w:tr w:rsidR="007515A1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30</w:t>
            </w:r>
          </w:p>
        </w:tc>
      </w:tr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Кладбища традиционного захоронения:</w:t>
            </w:r>
          </w:p>
          <w:p w:rsidR="007515A1" w:rsidRPr="009C5A3F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20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Площадь, га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  <w:tr w:rsidR="007515A1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  <w:tr w:rsidR="007515A1" w:rsidRPr="009C5A3F" w:rsidTr="003E0553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</w:rPr>
              <w:t xml:space="preserve">Площадь, га на 1000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br w:type="page"/>
      </w:r>
      <w:r w:rsidRPr="009C5A3F">
        <w:rPr>
          <w:rFonts w:ascii="Times New Roman" w:hAnsi="Times New Roman"/>
          <w:i w:val="0"/>
        </w:rPr>
        <w:t xml:space="preserve">2. Материалы по обоснованию расчетных показателей, </w:t>
      </w: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 xml:space="preserve">содержащихся в основной части </w:t>
      </w:r>
      <w:r>
        <w:rPr>
          <w:rFonts w:ascii="Times New Roman" w:hAnsi="Times New Roman"/>
          <w:i w:val="0"/>
        </w:rPr>
        <w:t xml:space="preserve">местных </w:t>
      </w:r>
      <w:r w:rsidRPr="009C5A3F">
        <w:rPr>
          <w:rFonts w:ascii="Times New Roman" w:hAnsi="Times New Roman"/>
          <w:i w:val="0"/>
        </w:rPr>
        <w:t xml:space="preserve">нормативов </w:t>
      </w: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lang w:eastAsia="en-US"/>
        </w:rPr>
      </w:pPr>
      <w:r w:rsidRPr="009C5A3F">
        <w:rPr>
          <w:rFonts w:ascii="Times New Roman" w:hAnsi="Times New Roman"/>
          <w:i w:val="0"/>
        </w:rPr>
        <w:t>градостроительного проектирования</w:t>
      </w:r>
      <w:r>
        <w:rPr>
          <w:rFonts w:ascii="Times New Roman" w:hAnsi="Times New Roman"/>
          <w:i w:val="0"/>
        </w:rPr>
        <w:t xml:space="preserve"> </w:t>
      </w:r>
      <w:r w:rsidR="00126232" w:rsidRPr="00126232">
        <w:rPr>
          <w:rFonts w:ascii="Times New Roman" w:hAnsi="Times New Roman"/>
          <w:i w:val="0"/>
        </w:rPr>
        <w:t xml:space="preserve">администрации Кадикасинского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>
        <w:rPr>
          <w:rFonts w:ascii="Times New Roman" w:hAnsi="Times New Roman"/>
          <w:i w:val="0"/>
        </w:rPr>
        <w:t xml:space="preserve"> </w:t>
      </w:r>
      <w:r w:rsidRPr="009C5A3F">
        <w:rPr>
          <w:rFonts w:ascii="Times New Roman" w:hAnsi="Times New Roman"/>
          <w:i w:val="0"/>
        </w:rPr>
        <w:t>Чувашской Республики</w:t>
      </w:r>
    </w:p>
    <w:p w:rsidR="007515A1" w:rsidRPr="008908B8" w:rsidRDefault="007515A1" w:rsidP="008E2324">
      <w:pPr>
        <w:ind w:firstLine="851"/>
        <w:jc w:val="both"/>
        <w:rPr>
          <w:sz w:val="28"/>
          <w:szCs w:val="28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Обоснование предельных значений расчетных показателей мини</w:t>
      </w:r>
      <w:r w:rsidRPr="009C5A3F">
        <w:rPr>
          <w:b/>
          <w:sz w:val="26"/>
          <w:szCs w:val="26"/>
        </w:rPr>
        <w:softHyphen/>
        <w:t xml:space="preserve">мально допустимого уровня обеспеченности населения </w:t>
      </w:r>
      <w:r w:rsidR="00126232" w:rsidRPr="00126232">
        <w:rPr>
          <w:b/>
          <w:sz w:val="26"/>
          <w:szCs w:val="26"/>
        </w:rPr>
        <w:t xml:space="preserve">администрации Кадикасинского </w:t>
      </w:r>
      <w:r w:rsidR="00135EE6" w:rsidRPr="00A05984">
        <w:rPr>
          <w:b/>
          <w:sz w:val="28"/>
          <w:szCs w:val="28"/>
        </w:rPr>
        <w:t>сельского поселения</w:t>
      </w:r>
      <w:r w:rsidR="00135EE6" w:rsidRPr="00135EE6">
        <w:rPr>
          <w:b/>
          <w:sz w:val="28"/>
          <w:szCs w:val="28"/>
        </w:rPr>
        <w:t xml:space="preserve"> Моргаушского района</w:t>
      </w:r>
      <w:r w:rsidRPr="00135EE6">
        <w:rPr>
          <w:b/>
          <w:sz w:val="28"/>
          <w:szCs w:val="28"/>
        </w:rPr>
        <w:t xml:space="preserve"> </w:t>
      </w:r>
      <w:r w:rsidRPr="009C5A3F">
        <w:rPr>
          <w:b/>
          <w:sz w:val="26"/>
          <w:szCs w:val="26"/>
        </w:rPr>
        <w:t>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9C5A3F">
        <w:rPr>
          <w:b/>
          <w:sz w:val="26"/>
          <w:szCs w:val="26"/>
        </w:rPr>
        <w:softHyphen/>
        <w:t xml:space="preserve">тов для населения </w:t>
      </w:r>
      <w:r w:rsidR="00126232" w:rsidRPr="00126232">
        <w:rPr>
          <w:b/>
          <w:sz w:val="26"/>
          <w:szCs w:val="26"/>
        </w:rPr>
        <w:t>администрации Кадикасинского</w:t>
      </w:r>
      <w:r w:rsidR="00135EE6" w:rsidRPr="00135EE6">
        <w:rPr>
          <w:i/>
        </w:rPr>
        <w:t xml:space="preserve"> </w:t>
      </w:r>
      <w:r w:rsidR="00135EE6" w:rsidRPr="00135EE6">
        <w:rPr>
          <w:b/>
          <w:sz w:val="28"/>
          <w:szCs w:val="28"/>
        </w:rPr>
        <w:t>сельского поселения Моргаушского района</w:t>
      </w:r>
      <w:r w:rsidRPr="00135EE6">
        <w:rPr>
          <w:b/>
          <w:sz w:val="28"/>
          <w:szCs w:val="28"/>
        </w:rPr>
        <w:t xml:space="preserve"> </w:t>
      </w:r>
      <w:r w:rsidRPr="009C5A3F">
        <w:rPr>
          <w:b/>
          <w:sz w:val="26"/>
          <w:szCs w:val="26"/>
        </w:rPr>
        <w:t>Чувашской Республики</w:t>
      </w:r>
    </w:p>
    <w:p w:rsidR="007515A1" w:rsidRPr="005E6E10" w:rsidRDefault="007515A1" w:rsidP="008E2324">
      <w:pPr>
        <w:widowControl w:val="0"/>
        <w:autoSpaceDE w:val="0"/>
        <w:autoSpaceDN w:val="0"/>
        <w:adjustRightInd w:val="0"/>
        <w:spacing w:line="247" w:lineRule="auto"/>
        <w:rPr>
          <w:b/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Cs/>
          <w:sz w:val="26"/>
          <w:szCs w:val="26"/>
        </w:rPr>
      </w:pPr>
      <w:r w:rsidRPr="009C5A3F">
        <w:rPr>
          <w:bCs/>
          <w:sz w:val="26"/>
          <w:szCs w:val="26"/>
        </w:rPr>
        <w:t>Обоснование предельных значений расчетных показателей мини</w:t>
      </w:r>
      <w:r w:rsidRPr="009C5A3F">
        <w:rPr>
          <w:bCs/>
          <w:sz w:val="26"/>
          <w:szCs w:val="26"/>
        </w:rPr>
        <w:softHyphen/>
        <w:t xml:space="preserve">мально допустимого уровня обеспеченности населения </w:t>
      </w:r>
      <w:r w:rsidR="00126232" w:rsidRPr="00126232">
        <w:rPr>
          <w:sz w:val="26"/>
          <w:szCs w:val="26"/>
        </w:rPr>
        <w:t>администрации Кадикасинского</w:t>
      </w:r>
      <w:r w:rsidR="00126232" w:rsidRPr="00126232">
        <w:rPr>
          <w:i/>
          <w:sz w:val="26"/>
          <w:szCs w:val="26"/>
        </w:rPr>
        <w:t xml:space="preserve"> </w:t>
      </w:r>
      <w:r w:rsidR="00135EE6">
        <w:rPr>
          <w:bCs/>
          <w:sz w:val="26"/>
          <w:szCs w:val="26"/>
        </w:rPr>
        <w:t>сельского поселения Моргаушского района</w:t>
      </w:r>
      <w:r w:rsidRPr="009C5A3F">
        <w:rPr>
          <w:bCs/>
          <w:sz w:val="26"/>
          <w:szCs w:val="26"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9C5A3F">
        <w:rPr>
          <w:bCs/>
          <w:sz w:val="26"/>
          <w:szCs w:val="26"/>
        </w:rPr>
        <w:softHyphen/>
        <w:t xml:space="preserve">тов для населения </w:t>
      </w:r>
      <w:r w:rsidR="00931459" w:rsidRPr="00126232">
        <w:rPr>
          <w:sz w:val="26"/>
          <w:szCs w:val="26"/>
        </w:rPr>
        <w:t>администрации Кадикасинского</w:t>
      </w:r>
      <w:r w:rsidR="00135EE6" w:rsidRPr="00135EE6">
        <w:rPr>
          <w:bCs/>
          <w:sz w:val="26"/>
          <w:szCs w:val="26"/>
        </w:rPr>
        <w:t xml:space="preserve"> </w:t>
      </w:r>
      <w:r w:rsidR="00135EE6">
        <w:rPr>
          <w:bCs/>
          <w:sz w:val="26"/>
          <w:szCs w:val="26"/>
        </w:rPr>
        <w:t>сельского поселения Моргаушского района</w:t>
      </w:r>
      <w:r w:rsidRPr="009C5A3F">
        <w:rPr>
          <w:bCs/>
          <w:sz w:val="26"/>
          <w:szCs w:val="26"/>
        </w:rPr>
        <w:t xml:space="preserve"> Чувашской Республики, содержащихся в основной части настоящих </w:t>
      </w:r>
      <w:r>
        <w:rPr>
          <w:bCs/>
          <w:sz w:val="26"/>
          <w:szCs w:val="26"/>
        </w:rPr>
        <w:t>местных</w:t>
      </w:r>
      <w:r w:rsidRPr="009C5A3F">
        <w:rPr>
          <w:bCs/>
          <w:sz w:val="26"/>
          <w:szCs w:val="26"/>
        </w:rPr>
        <w:t xml:space="preserve"> нормативов, представлено в табл. 2.</w:t>
      </w:r>
      <w:r>
        <w:rPr>
          <w:bCs/>
          <w:sz w:val="26"/>
          <w:szCs w:val="26"/>
        </w:rPr>
        <w:t>1</w:t>
      </w:r>
      <w:r w:rsidRPr="009C5A3F">
        <w:rPr>
          <w:bCs/>
          <w:sz w:val="26"/>
          <w:szCs w:val="26"/>
        </w:rPr>
        <w:t>.</w:t>
      </w:r>
    </w:p>
    <w:p w:rsidR="007515A1" w:rsidRPr="005E6E10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26"/>
          <w:szCs w:val="26"/>
        </w:rPr>
      </w:pPr>
      <w:r w:rsidRPr="009C5A3F">
        <w:rPr>
          <w:bCs/>
          <w:sz w:val="26"/>
          <w:szCs w:val="26"/>
        </w:rPr>
        <w:t>Таблица 2.</w:t>
      </w:r>
      <w:r>
        <w:rPr>
          <w:bCs/>
          <w:sz w:val="26"/>
          <w:szCs w:val="26"/>
        </w:rPr>
        <w:t>1</w:t>
      </w:r>
    </w:p>
    <w:p w:rsidR="007515A1" w:rsidRPr="005E6E10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177"/>
        <w:gridCol w:w="2079"/>
        <w:gridCol w:w="4456"/>
      </w:tblGrid>
      <w:tr w:rsidR="007515A1" w:rsidRPr="009C5A3F" w:rsidTr="003E0553">
        <w:tc>
          <w:tcPr>
            <w:tcW w:w="310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 xml:space="preserve">№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172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</w:tc>
        <w:tc>
          <w:tcPr>
            <w:tcW w:w="1119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Предельные значения расчетных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показателей</w:t>
            </w:r>
          </w:p>
        </w:tc>
        <w:tc>
          <w:tcPr>
            <w:tcW w:w="2399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Обоснование предельных значений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расчетных показателей</w:t>
            </w:r>
          </w:p>
        </w:tc>
      </w:tr>
    </w:tbl>
    <w:p w:rsidR="007515A1" w:rsidRPr="009C5A3F" w:rsidRDefault="007515A1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/>
      </w:tblPr>
      <w:tblGrid>
        <w:gridCol w:w="518"/>
        <w:gridCol w:w="2350"/>
        <w:gridCol w:w="2023"/>
        <w:gridCol w:w="4397"/>
      </w:tblGrid>
      <w:tr w:rsidR="007515A1" w:rsidRPr="009C5A3F" w:rsidTr="00FC44F7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электро-, тепло-, газо-, водоснабжения и водоотведения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</w:t>
            </w:r>
            <w:r>
              <w:rPr>
                <w:sz w:val="22"/>
                <w:szCs w:val="22"/>
              </w:rPr>
              <w:t>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31 мая 2017 г</w:t>
            </w:r>
            <w:r>
              <w:rPr>
                <w:sz w:val="22"/>
                <w:szCs w:val="22"/>
              </w:rPr>
              <w:t xml:space="preserve">. </w:t>
            </w:r>
            <w:r w:rsidRPr="009C5A3F">
              <w:rPr>
                <w:sz w:val="22"/>
                <w:szCs w:val="22"/>
              </w:rPr>
              <w:t>№ 215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</w:t>
            </w:r>
            <w:r>
              <w:rPr>
                <w:sz w:val="22"/>
                <w:szCs w:val="22"/>
              </w:rPr>
              <w:t>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15 сентября </w:t>
            </w:r>
            <w:r>
              <w:rPr>
                <w:sz w:val="22"/>
                <w:szCs w:val="22"/>
              </w:rPr>
              <w:br/>
            </w:r>
            <w:r w:rsidRPr="009C5A3F">
              <w:rPr>
                <w:sz w:val="22"/>
                <w:szCs w:val="22"/>
              </w:rPr>
              <w:t>2006 г. № 228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требованиями </w:t>
            </w:r>
            <w:r w:rsidRPr="000A1783">
              <w:rPr>
                <w:sz w:val="22"/>
                <w:szCs w:val="22"/>
              </w:rPr>
              <w:t>СП 50.13330.2012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определенными расчетным методом (приложение № 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 xml:space="preserve">), утвержденными постановлением </w:t>
            </w:r>
            <w:r>
              <w:rPr>
                <w:sz w:val="22"/>
                <w:szCs w:val="22"/>
              </w:rPr>
              <w:t>Кабинета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4 сентября 2012 г. № 370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Места хранения личного автотранспорта населения </w:t>
            </w:r>
            <w:r w:rsidR="00135EE6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сельских поселений Чувашской Республики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42.13330.2016.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 w:rsidRPr="009C5A3F">
              <w:rPr>
                <w:sz w:val="22"/>
                <w:szCs w:val="22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</w:t>
            </w:r>
            <w:r>
              <w:rPr>
                <w:sz w:val="22"/>
                <w:szCs w:val="22"/>
              </w:rPr>
              <w:t xml:space="preserve">. составляет </w:t>
            </w:r>
            <w:r w:rsidRPr="009C5A3F">
              <w:rPr>
                <w:sz w:val="22"/>
                <w:szCs w:val="22"/>
              </w:rPr>
              <w:t>212 автомобилей на 1000 человек.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 2030 году ожидаемое количество автомобилей на 1000 человек составит 260.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260 </w:t>
            </w:r>
            <w:r w:rsidRPr="009C5A3F">
              <w:rPr>
                <w:b/>
                <w:bCs/>
                <w:color w:val="000000"/>
                <w:sz w:val="22"/>
                <w:szCs w:val="22"/>
              </w:rPr>
              <w:t>×</w:t>
            </w:r>
            <w:r w:rsidRPr="009C5A3F">
              <w:rPr>
                <w:sz w:val="22"/>
                <w:szCs w:val="22"/>
              </w:rPr>
              <w:t xml:space="preserve"> 0,25 = </w:t>
            </w:r>
            <w:r w:rsidRPr="009C5A3F">
              <w:rPr>
                <w:b/>
                <w:sz w:val="22"/>
                <w:szCs w:val="22"/>
              </w:rPr>
              <w:t>65 машино-мест</w:t>
            </w:r>
            <w:r w:rsidRPr="009C5A3F">
              <w:rPr>
                <w:sz w:val="22"/>
                <w:szCs w:val="22"/>
              </w:rPr>
              <w:t>, где: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0,25 –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районах.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contextualSpacing/>
              <w:jc w:val="both"/>
              <w:rPr>
                <w:b/>
                <w:bCs/>
              </w:rPr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  <w:r w:rsidRPr="009C5A3F">
              <w:rPr>
                <w:sz w:val="22"/>
                <w:szCs w:val="22"/>
              </w:rPr>
              <w:t>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</w:t>
            </w:r>
            <w:r w:rsidRPr="009C5A3F">
              <w:rPr>
                <w:bCs/>
                <w:sz w:val="22"/>
                <w:szCs w:val="22"/>
              </w:rPr>
              <w:t xml:space="preserve"> в соответствии с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значения, предназначенные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Расчетные показатели минимально допустимого уровня обеспеченности: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1) 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2) 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 2016.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9C5A3F">
              <w:rPr>
                <w:sz w:val="22"/>
                <w:szCs w:val="22"/>
              </w:rPr>
              <w:softHyphen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физической культуры и спорта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Стадионы, 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Обоснование: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4D77B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  <w:r>
              <w:rPr>
                <w:sz w:val="22"/>
                <w:szCs w:val="22"/>
              </w:rPr>
              <w:t>, приказа Минспорта России</w:t>
            </w:r>
            <w:r>
              <w:t xml:space="preserve">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9C5A3F">
              <w:rPr>
                <w:sz w:val="22"/>
                <w:szCs w:val="22"/>
              </w:rPr>
              <w:br/>
              <w:t>текущего состояния и перспектив разви</w:t>
            </w:r>
            <w:r w:rsidRPr="009C5A3F">
              <w:rPr>
                <w:sz w:val="22"/>
                <w:szCs w:val="22"/>
              </w:rPr>
              <w:softHyphen/>
              <w:t xml:space="preserve">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</w:t>
            </w:r>
            <w:r w:rsidRPr="009C5A3F">
              <w:rPr>
                <w:sz w:val="22"/>
                <w:szCs w:val="22"/>
              </w:rPr>
              <w:t xml:space="preserve">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</w:t>
            </w:r>
            <w:r>
              <w:rPr>
                <w:sz w:val="22"/>
                <w:szCs w:val="22"/>
              </w:rPr>
              <w:t xml:space="preserve">фраструктуры муниципального образования исходя </w:t>
            </w:r>
            <w:r w:rsidRPr="009C5A3F">
              <w:rPr>
                <w:sz w:val="22"/>
                <w:szCs w:val="22"/>
              </w:rPr>
              <w:t xml:space="preserve">из текущего состояния и перспектив развития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7515A1" w:rsidRPr="009C5A3F" w:rsidTr="004D77BC">
        <w:trPr>
          <w:trHeight w:val="4216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 xml:space="preserve">письмо Министерства образования и науки Российской Федерации от 4 мая 2016 г. </w:t>
            </w:r>
            <w:r w:rsidRPr="009C5A3F">
              <w:rPr>
                <w:bCs/>
                <w:sz w:val="22"/>
                <w:szCs w:val="22"/>
              </w:rPr>
              <w:br/>
              <w:t>№ АК-950/02).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Уровень обеспеченности дошкольными образовательными организациями: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в сельской местности: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sz w:val="22"/>
                <w:szCs w:val="22"/>
              </w:rPr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 г. № АК-950/02),</w:t>
            </w:r>
            <w:r w:rsidRPr="009C5A3F">
              <w:rPr>
                <w:b/>
                <w:sz w:val="22"/>
                <w:szCs w:val="22"/>
              </w:rPr>
              <w:t xml:space="preserve"> 45 мест на 100 человек в возрасте от 0 до 7 лет;</w:t>
            </w:r>
          </w:p>
          <w:p w:rsidR="007515A1" w:rsidRPr="004D77BC" w:rsidRDefault="00135EE6" w:rsidP="004D77BC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515A1" w:rsidRPr="009C5A3F" w:rsidTr="004D77BC">
        <w:trPr>
          <w:trHeight w:val="1880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 xml:space="preserve">зования и науки Российской Федерации от 4 мая </w:t>
            </w:r>
            <w:r w:rsidRPr="009C5A3F">
              <w:rPr>
                <w:bCs/>
                <w:sz w:val="22"/>
                <w:szCs w:val="22"/>
              </w:rPr>
              <w:br/>
              <w:t xml:space="preserve">2016 г. № АК-950/02), требованиями </w:t>
            </w:r>
            <w:r w:rsidRPr="009C5A3F">
              <w:rPr>
                <w:bCs/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1438F1" w:rsidRDefault="007515A1" w:rsidP="001438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>
              <w:rPr>
                <w:sz w:val="22"/>
                <w:szCs w:val="22"/>
              </w:rPr>
              <w:t xml:space="preserve">с учетом </w:t>
            </w:r>
            <w:r w:rsidRPr="009C5A3F">
              <w:rPr>
                <w:sz w:val="22"/>
                <w:szCs w:val="22"/>
              </w:rPr>
              <w:t>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</w:t>
            </w:r>
            <w:r>
              <w:rPr>
                <w:bCs/>
                <w:sz w:val="22"/>
                <w:szCs w:val="22"/>
              </w:rPr>
              <w:t>. № АК-950/02),</w:t>
            </w:r>
            <w:r w:rsidRPr="009C5A3F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47" w:lineRule="auto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</w:t>
            </w:r>
            <w:r>
              <w:rPr>
                <w:bCs/>
                <w:sz w:val="22"/>
                <w:szCs w:val="22"/>
              </w:rPr>
              <w:t>сийской Федерации от 4 мая 2016</w:t>
            </w:r>
            <w:r w:rsidRPr="009C5A3F">
              <w:rPr>
                <w:bCs/>
                <w:sz w:val="22"/>
                <w:szCs w:val="22"/>
              </w:rPr>
              <w:t xml:space="preserve">г. № АК-950/02) </w:t>
            </w:r>
          </w:p>
        </w:tc>
      </w:tr>
      <w:tr w:rsidR="007515A1" w:rsidRPr="009C5A3F" w:rsidTr="00FC44F7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</w:t>
            </w:r>
            <w:r>
              <w:rPr>
                <w:bCs/>
                <w:sz w:val="22"/>
                <w:szCs w:val="22"/>
              </w:rPr>
              <w:t xml:space="preserve">рации от 4 мая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культуры и искусства</w:t>
            </w:r>
          </w:p>
        </w:tc>
      </w:tr>
      <w:tr w:rsidR="007515A1" w:rsidRPr="00F3199E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F3199E">
              <w:rPr>
                <w:sz w:val="22"/>
                <w:szCs w:val="22"/>
              </w:rPr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 w:rsidR="00135EE6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 w:rsidR="00135EE6">
              <w:rPr>
                <w:sz w:val="22"/>
                <w:szCs w:val="22"/>
              </w:rPr>
              <w:t>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Помещения администрации муниципального образования Чувашской Республики (сельского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6.2.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E5F06">
              <w:rPr>
                <w:sz w:val="22"/>
                <w:szCs w:val="22"/>
              </w:rPr>
              <w:t>Муниципальные архивы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требованиями СП 44.13330.2011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C5A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требований СанПиН 2.1.2882-11.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 xml:space="preserve">Закрытые кладбища и </w:t>
            </w:r>
            <w:r w:rsidR="00135EE6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</w:tbl>
    <w:p w:rsidR="007515A1" w:rsidRPr="009C5A3F" w:rsidRDefault="007515A1" w:rsidP="008E2324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C5A3F">
        <w:br w:type="page"/>
      </w:r>
      <w:r w:rsidRPr="009C5A3F">
        <w:rPr>
          <w:rFonts w:ascii="Times New Roman" w:hAnsi="Times New Roman"/>
          <w:sz w:val="26"/>
          <w:szCs w:val="26"/>
        </w:rPr>
        <w:t xml:space="preserve">3. Правила и область применения расчетных показателей, </w:t>
      </w: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C5A3F">
        <w:rPr>
          <w:rFonts w:ascii="Times New Roman" w:hAnsi="Times New Roman"/>
          <w:sz w:val="26"/>
          <w:szCs w:val="26"/>
        </w:rPr>
        <w:t xml:space="preserve">содержащихся в основной части </w:t>
      </w:r>
      <w:r>
        <w:rPr>
          <w:rFonts w:ascii="Times New Roman" w:hAnsi="Times New Roman"/>
          <w:sz w:val="26"/>
          <w:szCs w:val="26"/>
        </w:rPr>
        <w:t>местных</w:t>
      </w:r>
      <w:r w:rsidRPr="009C5A3F">
        <w:rPr>
          <w:rFonts w:ascii="Times New Roman" w:hAnsi="Times New Roman"/>
          <w:sz w:val="26"/>
          <w:szCs w:val="26"/>
        </w:rPr>
        <w:t xml:space="preserve"> нормативов </w:t>
      </w: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9C5A3F">
        <w:rPr>
          <w:rFonts w:ascii="Times New Roman" w:hAnsi="Times New Roman"/>
          <w:sz w:val="26"/>
          <w:szCs w:val="26"/>
        </w:rPr>
        <w:t xml:space="preserve">градостроительного проектирования </w:t>
      </w:r>
      <w:r w:rsidR="00931459" w:rsidRPr="00931459">
        <w:rPr>
          <w:rFonts w:ascii="Times New Roman" w:hAnsi="Times New Roman"/>
          <w:sz w:val="26"/>
          <w:szCs w:val="26"/>
        </w:rPr>
        <w:t>администрации Кадикасинского</w:t>
      </w:r>
      <w:r w:rsidRPr="008E7C19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135EE6" w:rsidRPr="00931459">
        <w:rPr>
          <w:rFonts w:ascii="Times New Roman" w:hAnsi="Times New Roman"/>
          <w:sz w:val="26"/>
          <w:szCs w:val="26"/>
        </w:rPr>
        <w:t xml:space="preserve">сельского </w:t>
      </w:r>
      <w:r w:rsidRPr="00931459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135EE6">
        <w:rPr>
          <w:rFonts w:ascii="Times New Roman" w:hAnsi="Times New Roman"/>
          <w:sz w:val="26"/>
          <w:szCs w:val="26"/>
        </w:rPr>
        <w:t xml:space="preserve">Моргаушского района </w:t>
      </w:r>
      <w:r w:rsidRPr="009C5A3F">
        <w:rPr>
          <w:rFonts w:ascii="Times New Roman" w:hAnsi="Times New Roman"/>
          <w:sz w:val="26"/>
          <w:szCs w:val="26"/>
        </w:rPr>
        <w:t>Чувашской Республики</w:t>
      </w:r>
    </w:p>
    <w:p w:rsidR="007515A1" w:rsidRPr="009C5A3F" w:rsidRDefault="007515A1" w:rsidP="0029446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:rsidR="007515A1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</w:t>
      </w:r>
      <w:r>
        <w:rPr>
          <w:sz w:val="26"/>
          <w:szCs w:val="26"/>
        </w:rPr>
        <w:t>устанавливают совокупность расчет</w:t>
      </w:r>
      <w:r>
        <w:rPr>
          <w:sz w:val="26"/>
          <w:szCs w:val="26"/>
        </w:rPr>
        <w:softHyphen/>
        <w:t>ных показателей минимально допустимого уровня обеспеченности объек</w:t>
      </w:r>
      <w:r>
        <w:rPr>
          <w:sz w:val="26"/>
          <w:szCs w:val="26"/>
        </w:rPr>
        <w:softHyphen/>
        <w:t>тами местного значения населения муниципального образования и расчетных показателей максимально допусти</w:t>
      </w:r>
      <w:r>
        <w:rPr>
          <w:sz w:val="26"/>
          <w:szCs w:val="26"/>
        </w:rPr>
        <w:softHyphen/>
        <w:t>мого уровня территориальной доступности таких объектов для населения муниципального образования.</w:t>
      </w:r>
    </w:p>
    <w:p w:rsidR="007515A1" w:rsidRPr="00223143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установлены с уч</w:t>
      </w:r>
      <w:r>
        <w:rPr>
          <w:sz w:val="26"/>
          <w:szCs w:val="26"/>
        </w:rPr>
        <w:t>е</w:t>
      </w:r>
      <w:r w:rsidRPr="00B22553">
        <w:rPr>
          <w:sz w:val="26"/>
          <w:szCs w:val="26"/>
        </w:rPr>
        <w:t>том административно-терри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ториального устройства Чувашской Республики,</w:t>
      </w:r>
      <w:r w:rsidRPr="00B22553">
        <w:rPr>
          <w:color w:val="2D2D2D"/>
          <w:sz w:val="26"/>
          <w:szCs w:val="26"/>
          <w:shd w:val="clear" w:color="auto" w:fill="FFFFFF"/>
        </w:rPr>
        <w:t xml:space="preserve"> </w:t>
      </w:r>
      <w:r w:rsidRPr="00B22553">
        <w:rPr>
          <w:sz w:val="26"/>
          <w:szCs w:val="26"/>
        </w:rPr>
        <w:t>социально-демографи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чес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кого со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става и плотности населения муниципальных образований, природно-кли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матических условий Чувашской Республики,</w:t>
      </w:r>
      <w:r w:rsidRPr="00B22553">
        <w:rPr>
          <w:color w:val="2D2D2D"/>
          <w:sz w:val="26"/>
          <w:szCs w:val="26"/>
          <w:shd w:val="clear" w:color="auto" w:fill="FFFFFF"/>
        </w:rPr>
        <w:t xml:space="preserve"> </w:t>
      </w:r>
      <w:r w:rsidRPr="00B22553">
        <w:rPr>
          <w:sz w:val="26"/>
          <w:szCs w:val="26"/>
        </w:rPr>
        <w:t>стратегии социально-экономи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чес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кого развития Чувашской Республики</w:t>
      </w:r>
      <w:r>
        <w:rPr>
          <w:sz w:val="26"/>
          <w:szCs w:val="26"/>
        </w:rPr>
        <w:t xml:space="preserve">, </w:t>
      </w:r>
      <w:r w:rsidRPr="00794088">
        <w:rPr>
          <w:sz w:val="26"/>
          <w:szCs w:val="26"/>
        </w:rPr>
        <w:t>предложений органов исполнительной власти Чуваш</w:t>
      </w:r>
      <w:r>
        <w:rPr>
          <w:sz w:val="26"/>
          <w:szCs w:val="26"/>
        </w:rPr>
        <w:softHyphen/>
      </w:r>
      <w:r w:rsidRPr="00794088">
        <w:rPr>
          <w:sz w:val="26"/>
          <w:szCs w:val="26"/>
        </w:rPr>
        <w:t>ской Республики</w:t>
      </w:r>
      <w:r>
        <w:rPr>
          <w:sz w:val="26"/>
          <w:szCs w:val="26"/>
        </w:rPr>
        <w:t>,</w:t>
      </w:r>
      <w:r w:rsidRPr="00794088">
        <w:rPr>
          <w:sz w:val="26"/>
          <w:szCs w:val="26"/>
        </w:rPr>
        <w:t xml:space="preserve"> органов местного самоуправления</w:t>
      </w:r>
      <w:r>
        <w:rPr>
          <w:sz w:val="26"/>
          <w:szCs w:val="26"/>
        </w:rPr>
        <w:t>.</w:t>
      </w:r>
    </w:p>
    <w:p w:rsidR="007515A1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</w:t>
      </w:r>
      <w:r w:rsidRPr="00FE780E">
        <w:rPr>
          <w:spacing w:val="2"/>
          <w:sz w:val="26"/>
          <w:szCs w:val="26"/>
          <w:shd w:val="clear" w:color="auto" w:fill="FFFFFF"/>
        </w:rPr>
        <w:t>распространя</w:t>
      </w:r>
      <w:r>
        <w:rPr>
          <w:spacing w:val="2"/>
          <w:sz w:val="26"/>
          <w:szCs w:val="26"/>
          <w:shd w:val="clear" w:color="auto" w:fill="FFFFFF"/>
        </w:rPr>
        <w:t>ю</w:t>
      </w:r>
      <w:r w:rsidRPr="00FE780E">
        <w:rPr>
          <w:spacing w:val="2"/>
          <w:sz w:val="26"/>
          <w:szCs w:val="26"/>
          <w:shd w:val="clear" w:color="auto" w:fill="FFFFFF"/>
        </w:rPr>
        <w:t xml:space="preserve">тся на проектирование новых и реконструкцию существующих </w:t>
      </w:r>
      <w:r>
        <w:rPr>
          <w:spacing w:val="2"/>
          <w:sz w:val="26"/>
          <w:szCs w:val="26"/>
          <w:shd w:val="clear" w:color="auto" w:fill="FFFFFF"/>
        </w:rPr>
        <w:t xml:space="preserve">объектов </w:t>
      </w:r>
      <w:r w:rsidRPr="00FE780E">
        <w:rPr>
          <w:spacing w:val="2"/>
          <w:sz w:val="26"/>
          <w:szCs w:val="26"/>
          <w:shd w:val="clear" w:color="auto" w:fill="FFFFFF"/>
        </w:rPr>
        <w:t>муниципальн</w:t>
      </w:r>
      <w:r>
        <w:rPr>
          <w:spacing w:val="2"/>
          <w:sz w:val="26"/>
          <w:szCs w:val="26"/>
          <w:shd w:val="clear" w:color="auto" w:fill="FFFFFF"/>
        </w:rPr>
        <w:t>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образовани</w:t>
      </w:r>
      <w:r>
        <w:rPr>
          <w:spacing w:val="2"/>
          <w:sz w:val="26"/>
          <w:szCs w:val="26"/>
          <w:shd w:val="clear" w:color="auto" w:fill="FFFFFF"/>
        </w:rPr>
        <w:t>я и н</w:t>
      </w:r>
      <w:r w:rsidRPr="00FE780E">
        <w:rPr>
          <w:spacing w:val="2"/>
          <w:sz w:val="26"/>
          <w:szCs w:val="26"/>
          <w:shd w:val="clear" w:color="auto" w:fill="FFFFFF"/>
        </w:rPr>
        <w:t>аправлен</w:t>
      </w:r>
      <w:r>
        <w:rPr>
          <w:spacing w:val="2"/>
          <w:sz w:val="26"/>
          <w:szCs w:val="26"/>
          <w:shd w:val="clear" w:color="auto" w:fill="FFFFFF"/>
        </w:rPr>
        <w:t>ы</w:t>
      </w:r>
      <w:r w:rsidRPr="00FE780E">
        <w:rPr>
          <w:spacing w:val="2"/>
          <w:sz w:val="26"/>
          <w:szCs w:val="26"/>
          <w:shd w:val="clear" w:color="auto" w:fill="FFFFFF"/>
        </w:rPr>
        <w:t xml:space="preserve"> на обеспечение градостроительными средствами безо</w:t>
      </w:r>
      <w:r>
        <w:rPr>
          <w:spacing w:val="2"/>
          <w:sz w:val="26"/>
          <w:szCs w:val="26"/>
          <w:shd w:val="clear" w:color="auto" w:fill="FFFFFF"/>
        </w:rPr>
        <w:t>пасности и устойчивого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развития муниципальн</w:t>
      </w:r>
      <w:r>
        <w:rPr>
          <w:spacing w:val="2"/>
          <w:sz w:val="26"/>
          <w:szCs w:val="26"/>
          <w:shd w:val="clear" w:color="auto" w:fill="FFFFFF"/>
        </w:rPr>
        <w:t>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образовани</w:t>
      </w:r>
      <w:r>
        <w:rPr>
          <w:spacing w:val="2"/>
          <w:sz w:val="26"/>
          <w:szCs w:val="26"/>
          <w:shd w:val="clear" w:color="auto" w:fill="FFFFFF"/>
        </w:rPr>
        <w:t>я</w:t>
      </w:r>
      <w:r w:rsidRPr="00FE780E">
        <w:rPr>
          <w:spacing w:val="2"/>
          <w:sz w:val="26"/>
          <w:szCs w:val="26"/>
          <w:shd w:val="clear" w:color="auto" w:fill="FFFFFF"/>
        </w:rPr>
        <w:t>, охрану здоровья населения, а также на создание условий для реализации определенных законодательством Российской Федерации соци</w:t>
      </w:r>
      <w:r>
        <w:rPr>
          <w:spacing w:val="2"/>
          <w:sz w:val="26"/>
          <w:szCs w:val="26"/>
          <w:shd w:val="clear" w:color="auto" w:fill="FFFFFF"/>
        </w:rPr>
        <w:softHyphen/>
      </w:r>
      <w:r w:rsidRPr="00FE780E">
        <w:rPr>
          <w:spacing w:val="2"/>
          <w:sz w:val="26"/>
          <w:szCs w:val="26"/>
          <w:shd w:val="clear" w:color="auto" w:fill="FFFFFF"/>
        </w:rPr>
        <w:t>альных гарантий граждан, включая маломобильные группы нас</w:t>
      </w:r>
      <w:r>
        <w:rPr>
          <w:spacing w:val="2"/>
          <w:sz w:val="26"/>
          <w:szCs w:val="26"/>
          <w:shd w:val="clear" w:color="auto" w:fill="FFFFFF"/>
        </w:rPr>
        <w:t xml:space="preserve">еления, </w:t>
      </w:r>
      <w:r w:rsidRPr="00FE780E">
        <w:rPr>
          <w:spacing w:val="2"/>
          <w:sz w:val="26"/>
          <w:szCs w:val="26"/>
          <w:shd w:val="clear" w:color="auto" w:fill="FFFFFF"/>
        </w:rPr>
        <w:t>в части обеспечения объектами</w:t>
      </w:r>
      <w:r>
        <w:rPr>
          <w:spacing w:val="2"/>
          <w:sz w:val="26"/>
          <w:szCs w:val="26"/>
          <w:shd w:val="clear" w:color="auto" w:fill="FFFFFF"/>
        </w:rPr>
        <w:t xml:space="preserve"> местного значения </w:t>
      </w:r>
      <w:r w:rsidRPr="009740BA">
        <w:rPr>
          <w:sz w:val="26"/>
          <w:szCs w:val="26"/>
        </w:rPr>
        <w:t xml:space="preserve">в области транспорта, автомобильных дорог </w:t>
      </w:r>
      <w:r>
        <w:rPr>
          <w:sz w:val="26"/>
          <w:szCs w:val="26"/>
        </w:rPr>
        <w:t>местного значения,</w:t>
      </w:r>
      <w:r w:rsidRPr="009740BA">
        <w:rPr>
          <w:sz w:val="26"/>
          <w:szCs w:val="26"/>
        </w:rPr>
        <w:t xml:space="preserve"> образова</w:t>
      </w:r>
      <w:r>
        <w:rPr>
          <w:sz w:val="26"/>
          <w:szCs w:val="26"/>
        </w:rPr>
        <w:softHyphen/>
      </w:r>
      <w:r w:rsidRPr="009740BA">
        <w:rPr>
          <w:sz w:val="26"/>
          <w:szCs w:val="26"/>
        </w:rPr>
        <w:t>ния, здравоохранения, физической культуры и спорта и иных областях в соответст</w:t>
      </w:r>
      <w:r>
        <w:rPr>
          <w:sz w:val="26"/>
          <w:szCs w:val="26"/>
        </w:rPr>
        <w:softHyphen/>
      </w:r>
      <w:r w:rsidRPr="009740BA">
        <w:rPr>
          <w:sz w:val="26"/>
          <w:szCs w:val="26"/>
        </w:rPr>
        <w:t xml:space="preserve">вии с полномочиями </w:t>
      </w:r>
      <w:r>
        <w:rPr>
          <w:sz w:val="26"/>
          <w:szCs w:val="26"/>
        </w:rPr>
        <w:t>муниципального образования</w:t>
      </w:r>
      <w:r w:rsidRPr="00B22553">
        <w:rPr>
          <w:sz w:val="26"/>
          <w:szCs w:val="26"/>
        </w:rPr>
        <w:t>.</w:t>
      </w:r>
    </w:p>
    <w:p w:rsidR="007515A1" w:rsidRPr="004E5B99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4E5B99">
        <w:rPr>
          <w:spacing w:val="2"/>
          <w:sz w:val="26"/>
          <w:szCs w:val="26"/>
          <w:shd w:val="clear" w:color="auto" w:fill="FFFFFF"/>
        </w:rPr>
        <w:t xml:space="preserve">Требования </w:t>
      </w:r>
      <w:r>
        <w:rPr>
          <w:spacing w:val="2"/>
          <w:sz w:val="26"/>
          <w:szCs w:val="26"/>
          <w:shd w:val="clear" w:color="auto" w:fill="FFFFFF"/>
        </w:rPr>
        <w:t>местных нормативов</w:t>
      </w:r>
      <w:r w:rsidRPr="004E5B99">
        <w:rPr>
          <w:spacing w:val="2"/>
          <w:sz w:val="26"/>
          <w:szCs w:val="26"/>
          <w:shd w:val="clear" w:color="auto" w:fill="FFFFFF"/>
        </w:rPr>
        <w:t xml:space="preserve"> с момента </w:t>
      </w:r>
      <w:r>
        <w:rPr>
          <w:spacing w:val="2"/>
          <w:sz w:val="26"/>
          <w:szCs w:val="26"/>
          <w:shd w:val="clear" w:color="auto" w:fill="FFFFFF"/>
        </w:rPr>
        <w:t>вступления их в силу</w:t>
      </w:r>
      <w:r w:rsidRPr="004E5B99">
        <w:rPr>
          <w:spacing w:val="2"/>
          <w:sz w:val="26"/>
          <w:szCs w:val="26"/>
          <w:shd w:val="clear" w:color="auto" w:fill="FFFFFF"/>
        </w:rPr>
        <w:t xml:space="preserve"> предъявляются к вновь разрабатываемой </w:t>
      </w:r>
      <w:r>
        <w:rPr>
          <w:spacing w:val="2"/>
          <w:sz w:val="26"/>
          <w:szCs w:val="26"/>
          <w:shd w:val="clear" w:color="auto" w:fill="FFFFFF"/>
        </w:rPr>
        <w:t>документации территориального пла</w:t>
      </w:r>
      <w:r>
        <w:rPr>
          <w:spacing w:val="2"/>
          <w:sz w:val="26"/>
          <w:szCs w:val="26"/>
          <w:shd w:val="clear" w:color="auto" w:fill="FFFFFF"/>
        </w:rPr>
        <w:softHyphen/>
        <w:t xml:space="preserve">нирования муниципального образования, документации по планировке территории </w:t>
      </w:r>
      <w:r w:rsidRPr="004E5B99">
        <w:rPr>
          <w:spacing w:val="2"/>
          <w:sz w:val="26"/>
          <w:szCs w:val="26"/>
          <w:shd w:val="clear" w:color="auto" w:fill="FFFFFF"/>
        </w:rPr>
        <w:t>и проектной документации, а также к иным видам деятельности, приводящим к изменению сложившегося со</w:t>
      </w:r>
      <w:r>
        <w:rPr>
          <w:spacing w:val="2"/>
          <w:sz w:val="26"/>
          <w:szCs w:val="26"/>
          <w:shd w:val="clear" w:color="auto" w:fill="FFFFFF"/>
        </w:rPr>
        <w:softHyphen/>
      </w:r>
      <w:r w:rsidRPr="004E5B99">
        <w:rPr>
          <w:spacing w:val="2"/>
          <w:sz w:val="26"/>
          <w:szCs w:val="26"/>
          <w:shd w:val="clear" w:color="auto" w:fill="FFFFFF"/>
        </w:rPr>
        <w:t>стояния территории, недвижимости и среды проживания.</w:t>
      </w:r>
    </w:p>
    <w:p w:rsidR="007515A1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Местные нормативы </w:t>
      </w:r>
      <w:r w:rsidRPr="00B22553">
        <w:rPr>
          <w:sz w:val="26"/>
          <w:szCs w:val="26"/>
        </w:rPr>
        <w:t>применяются при подготовке проект</w:t>
      </w:r>
      <w:r>
        <w:rPr>
          <w:sz w:val="26"/>
          <w:szCs w:val="26"/>
        </w:rPr>
        <w:t>а</w:t>
      </w:r>
      <w:r w:rsidRPr="00B22553">
        <w:rPr>
          <w:sz w:val="26"/>
          <w:szCs w:val="26"/>
        </w:rPr>
        <w:t xml:space="preserve"> генеральн</w:t>
      </w:r>
      <w:r>
        <w:rPr>
          <w:sz w:val="26"/>
          <w:szCs w:val="26"/>
        </w:rPr>
        <w:t>ого</w:t>
      </w:r>
      <w:r w:rsidRPr="00B22553">
        <w:rPr>
          <w:sz w:val="26"/>
          <w:szCs w:val="26"/>
        </w:rPr>
        <w:t xml:space="preserve"> план</w:t>
      </w:r>
      <w:r>
        <w:rPr>
          <w:sz w:val="26"/>
          <w:szCs w:val="26"/>
        </w:rPr>
        <w:t xml:space="preserve">а </w:t>
      </w:r>
      <w:r w:rsidRPr="00B22553">
        <w:rPr>
          <w:sz w:val="26"/>
          <w:szCs w:val="26"/>
        </w:rPr>
        <w:t>поселени</w:t>
      </w:r>
      <w:r>
        <w:rPr>
          <w:sz w:val="26"/>
          <w:szCs w:val="26"/>
        </w:rPr>
        <w:t>я,</w:t>
      </w:r>
      <w:r w:rsidRPr="00B22553">
        <w:rPr>
          <w:sz w:val="26"/>
          <w:szCs w:val="26"/>
        </w:rPr>
        <w:t xml:space="preserve"> документации по планировке терри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 xml:space="preserve">торий в части размещения объектов </w:t>
      </w:r>
      <w:r>
        <w:rPr>
          <w:sz w:val="26"/>
          <w:szCs w:val="26"/>
        </w:rPr>
        <w:t>местного</w:t>
      </w:r>
      <w:r w:rsidRPr="00B22553">
        <w:rPr>
          <w:sz w:val="26"/>
          <w:szCs w:val="26"/>
        </w:rPr>
        <w:t xml:space="preserve"> значения.</w:t>
      </w:r>
    </w:p>
    <w:p w:rsidR="007515A1" w:rsidRPr="009C5A3F" w:rsidRDefault="007515A1" w:rsidP="0029446A">
      <w:pPr>
        <w:rPr>
          <w:sz w:val="26"/>
        </w:rPr>
      </w:pPr>
    </w:p>
    <w:p w:rsidR="007515A1" w:rsidRPr="009C5A3F" w:rsidRDefault="007515A1" w:rsidP="0029446A">
      <w:pPr>
        <w:jc w:val="center"/>
        <w:rPr>
          <w:sz w:val="26"/>
        </w:rPr>
      </w:pPr>
      <w:r w:rsidRPr="009C5A3F">
        <w:rPr>
          <w:sz w:val="26"/>
        </w:rPr>
        <w:t>_____________</w:t>
      </w:r>
    </w:p>
    <w:p w:rsidR="007515A1" w:rsidRDefault="007515A1" w:rsidP="0029446A">
      <w:pPr>
        <w:pStyle w:val="6"/>
        <w:spacing w:before="0" w:after="0"/>
        <w:jc w:val="center"/>
      </w:pPr>
    </w:p>
    <w:sectPr w:rsidR="007515A1" w:rsidSect="003E0553">
      <w:headerReference w:type="even" r:id="rId9"/>
      <w:headerReference w:type="default" r:id="rId10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914" w:rsidRDefault="004E7914" w:rsidP="006C3996">
      <w:r>
        <w:separator/>
      </w:r>
    </w:p>
  </w:endnote>
  <w:endnote w:type="continuationSeparator" w:id="1">
    <w:p w:rsidR="004E7914" w:rsidRDefault="004E7914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914" w:rsidRDefault="004E7914" w:rsidP="006C3996">
      <w:r>
        <w:separator/>
      </w:r>
    </w:p>
  </w:footnote>
  <w:footnote w:type="continuationSeparator" w:id="1">
    <w:p w:rsidR="004E7914" w:rsidRDefault="004E7914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32" w:rsidRDefault="00127F19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2623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26232" w:rsidRDefault="001262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32" w:rsidRDefault="00127F19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2623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7E42A7">
      <w:rPr>
        <w:rStyle w:val="afc"/>
        <w:noProof/>
      </w:rPr>
      <w:t>2</w:t>
    </w:r>
    <w:r>
      <w:rPr>
        <w:rStyle w:val="afc"/>
      </w:rPr>
      <w:fldChar w:fldCharType="end"/>
    </w:r>
  </w:p>
  <w:p w:rsidR="00126232" w:rsidRDefault="0012623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2324"/>
    <w:rsid w:val="00001C23"/>
    <w:rsid w:val="000050F8"/>
    <w:rsid w:val="000172F6"/>
    <w:rsid w:val="00027E13"/>
    <w:rsid w:val="0005362B"/>
    <w:rsid w:val="00061174"/>
    <w:rsid w:val="000954E8"/>
    <w:rsid w:val="000A1783"/>
    <w:rsid w:val="000F1189"/>
    <w:rsid w:val="00100E8E"/>
    <w:rsid w:val="00121433"/>
    <w:rsid w:val="00121A67"/>
    <w:rsid w:val="001232C3"/>
    <w:rsid w:val="0012354E"/>
    <w:rsid w:val="00126232"/>
    <w:rsid w:val="00127F19"/>
    <w:rsid w:val="00135EE6"/>
    <w:rsid w:val="001438F1"/>
    <w:rsid w:val="00185104"/>
    <w:rsid w:val="00187482"/>
    <w:rsid w:val="001A04DE"/>
    <w:rsid w:val="001D3237"/>
    <w:rsid w:val="001E4110"/>
    <w:rsid w:val="00223143"/>
    <w:rsid w:val="002530A2"/>
    <w:rsid w:val="00255C30"/>
    <w:rsid w:val="0029446A"/>
    <w:rsid w:val="002A1B75"/>
    <w:rsid w:val="002E5FCA"/>
    <w:rsid w:val="00317BCC"/>
    <w:rsid w:val="00326082"/>
    <w:rsid w:val="0034552C"/>
    <w:rsid w:val="00345626"/>
    <w:rsid w:val="003578FD"/>
    <w:rsid w:val="003909B5"/>
    <w:rsid w:val="00392DA5"/>
    <w:rsid w:val="003B3EA2"/>
    <w:rsid w:val="003C4622"/>
    <w:rsid w:val="003E0553"/>
    <w:rsid w:val="00400424"/>
    <w:rsid w:val="00414DFE"/>
    <w:rsid w:val="00420337"/>
    <w:rsid w:val="004363A0"/>
    <w:rsid w:val="0045251B"/>
    <w:rsid w:val="00464561"/>
    <w:rsid w:val="00476EBD"/>
    <w:rsid w:val="00481949"/>
    <w:rsid w:val="004838DD"/>
    <w:rsid w:val="004C47F7"/>
    <w:rsid w:val="004D77BC"/>
    <w:rsid w:val="004E5B99"/>
    <w:rsid w:val="004E7914"/>
    <w:rsid w:val="00503F28"/>
    <w:rsid w:val="0051719B"/>
    <w:rsid w:val="005204A5"/>
    <w:rsid w:val="00543156"/>
    <w:rsid w:val="0056210D"/>
    <w:rsid w:val="005819E8"/>
    <w:rsid w:val="005A0C26"/>
    <w:rsid w:val="005C062F"/>
    <w:rsid w:val="005E23DC"/>
    <w:rsid w:val="005E6E10"/>
    <w:rsid w:val="005F0626"/>
    <w:rsid w:val="006148EF"/>
    <w:rsid w:val="006479C4"/>
    <w:rsid w:val="00684970"/>
    <w:rsid w:val="006A2D35"/>
    <w:rsid w:val="006C1530"/>
    <w:rsid w:val="006C3996"/>
    <w:rsid w:val="00726467"/>
    <w:rsid w:val="00737EEB"/>
    <w:rsid w:val="00745369"/>
    <w:rsid w:val="007515A1"/>
    <w:rsid w:val="00754EC4"/>
    <w:rsid w:val="00794088"/>
    <w:rsid w:val="007A56AD"/>
    <w:rsid w:val="007E42A7"/>
    <w:rsid w:val="00832395"/>
    <w:rsid w:val="00837B92"/>
    <w:rsid w:val="00843719"/>
    <w:rsid w:val="00855070"/>
    <w:rsid w:val="00870D12"/>
    <w:rsid w:val="0087647F"/>
    <w:rsid w:val="00877AEB"/>
    <w:rsid w:val="00885DEF"/>
    <w:rsid w:val="008908B8"/>
    <w:rsid w:val="008A33BC"/>
    <w:rsid w:val="008B2EF4"/>
    <w:rsid w:val="008E2324"/>
    <w:rsid w:val="008E7C19"/>
    <w:rsid w:val="0090173B"/>
    <w:rsid w:val="00931459"/>
    <w:rsid w:val="00934B35"/>
    <w:rsid w:val="0094131C"/>
    <w:rsid w:val="0094285A"/>
    <w:rsid w:val="00942E96"/>
    <w:rsid w:val="009740BA"/>
    <w:rsid w:val="00985C6E"/>
    <w:rsid w:val="009A6350"/>
    <w:rsid w:val="009B2850"/>
    <w:rsid w:val="009B2EE8"/>
    <w:rsid w:val="009C09EE"/>
    <w:rsid w:val="009C3297"/>
    <w:rsid w:val="009C5A3F"/>
    <w:rsid w:val="009F564C"/>
    <w:rsid w:val="00A05984"/>
    <w:rsid w:val="00A24EA4"/>
    <w:rsid w:val="00A35264"/>
    <w:rsid w:val="00AA71E6"/>
    <w:rsid w:val="00AB062F"/>
    <w:rsid w:val="00AD7069"/>
    <w:rsid w:val="00AF6292"/>
    <w:rsid w:val="00B00B65"/>
    <w:rsid w:val="00B20E02"/>
    <w:rsid w:val="00B21DB1"/>
    <w:rsid w:val="00B22553"/>
    <w:rsid w:val="00B478A6"/>
    <w:rsid w:val="00B574D6"/>
    <w:rsid w:val="00B6706A"/>
    <w:rsid w:val="00B73E68"/>
    <w:rsid w:val="00B76DE4"/>
    <w:rsid w:val="00B8036D"/>
    <w:rsid w:val="00BA182B"/>
    <w:rsid w:val="00BA7D7C"/>
    <w:rsid w:val="00BB575D"/>
    <w:rsid w:val="00BF38E8"/>
    <w:rsid w:val="00BF593C"/>
    <w:rsid w:val="00BF6476"/>
    <w:rsid w:val="00C0094C"/>
    <w:rsid w:val="00C13208"/>
    <w:rsid w:val="00C2312F"/>
    <w:rsid w:val="00C26967"/>
    <w:rsid w:val="00C31454"/>
    <w:rsid w:val="00C37529"/>
    <w:rsid w:val="00C37E99"/>
    <w:rsid w:val="00CA4489"/>
    <w:rsid w:val="00CB52C8"/>
    <w:rsid w:val="00CC02B1"/>
    <w:rsid w:val="00CC3584"/>
    <w:rsid w:val="00CD7494"/>
    <w:rsid w:val="00CE622E"/>
    <w:rsid w:val="00CE644D"/>
    <w:rsid w:val="00CF537D"/>
    <w:rsid w:val="00D062EF"/>
    <w:rsid w:val="00D361F8"/>
    <w:rsid w:val="00D369E6"/>
    <w:rsid w:val="00D55F7E"/>
    <w:rsid w:val="00D63607"/>
    <w:rsid w:val="00D92B95"/>
    <w:rsid w:val="00DE6B69"/>
    <w:rsid w:val="00E04C6B"/>
    <w:rsid w:val="00E17757"/>
    <w:rsid w:val="00E83AEE"/>
    <w:rsid w:val="00EB61B3"/>
    <w:rsid w:val="00ED4A9F"/>
    <w:rsid w:val="00EE4FAC"/>
    <w:rsid w:val="00EE5F06"/>
    <w:rsid w:val="00EF4437"/>
    <w:rsid w:val="00F1473D"/>
    <w:rsid w:val="00F20886"/>
    <w:rsid w:val="00F3199E"/>
    <w:rsid w:val="00F50F4B"/>
    <w:rsid w:val="00FC44F7"/>
    <w:rsid w:val="00FE7132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eastAsia="Times New Roman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rFonts w:eastAsia="Times New Roman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rFonts w:eastAsia="Times New Roman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rFonts w:eastAsia="Times New Roman"/>
      <w:b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аголовок статьи"/>
    <w:basedOn w:val="a"/>
    <w:next w:val="a"/>
    <w:rsid w:val="000050F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b">
    <w:name w:val="Словарная статья"/>
    <w:basedOn w:val="a"/>
    <w:next w:val="a"/>
    <w:rsid w:val="000050F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3052A-F9C1-4050-B711-28A95A5E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8666</Words>
  <Characters>49400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87.</dc:creator>
  <cp:lastModifiedBy>User</cp:lastModifiedBy>
  <cp:revision>6</cp:revision>
  <dcterms:created xsi:type="dcterms:W3CDTF">2018-03-30T08:31:00Z</dcterms:created>
  <dcterms:modified xsi:type="dcterms:W3CDTF">2018-03-30T08:53:00Z</dcterms:modified>
</cp:coreProperties>
</file>