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0D" w:rsidRDefault="00FE4D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align>top</wp:align>
            </wp:positionV>
            <wp:extent cx="6120765" cy="12560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E58" w:rsidRDefault="004A6CB0" w:rsidP="004A6CB0">
      <w:pPr>
        <w:rPr>
          <w:b/>
        </w:rPr>
      </w:pPr>
      <w:r>
        <w:rPr>
          <w:b/>
        </w:rPr>
        <w:t>12</w:t>
      </w:r>
      <w:r w:rsidR="00FE4D0D" w:rsidRPr="00FE4D0D">
        <w:rPr>
          <w:b/>
        </w:rPr>
        <w:t>.01.2024                                                                                                                                                 №</w:t>
      </w:r>
      <w:r>
        <w:rPr>
          <w:b/>
        </w:rPr>
        <w:t xml:space="preserve">1 </w:t>
      </w:r>
    </w:p>
    <w:tbl>
      <w:tblPr>
        <w:tblW w:w="14633" w:type="dxa"/>
        <w:tblInd w:w="-1276" w:type="dxa"/>
        <w:tblLook w:val="01E0" w:firstRow="1" w:lastRow="1" w:firstColumn="1" w:lastColumn="1" w:noHBand="0" w:noVBand="0"/>
      </w:tblPr>
      <w:tblGrid>
        <w:gridCol w:w="12265"/>
        <w:gridCol w:w="502"/>
        <w:gridCol w:w="1866"/>
      </w:tblGrid>
      <w:tr w:rsidR="004A6CB0" w:rsidRPr="004A6CB0" w:rsidTr="007B593B">
        <w:tc>
          <w:tcPr>
            <w:tcW w:w="12265" w:type="dxa"/>
          </w:tcPr>
          <w:tbl>
            <w:tblPr>
              <w:tblW w:w="10345" w:type="dxa"/>
              <w:jc w:val="center"/>
              <w:tblLook w:val="01E0" w:firstRow="1" w:lastRow="1" w:firstColumn="1" w:lastColumn="1" w:noHBand="0" w:noVBand="0"/>
            </w:tblPr>
            <w:tblGrid>
              <w:gridCol w:w="4156"/>
              <w:gridCol w:w="1559"/>
              <w:gridCol w:w="4630"/>
            </w:tblGrid>
            <w:tr w:rsidR="004A6CB0" w:rsidRPr="004A6CB0" w:rsidTr="007B593B">
              <w:trPr>
                <w:jc w:val="center"/>
              </w:trPr>
              <w:tc>
                <w:tcPr>
                  <w:tcW w:w="4156" w:type="dxa"/>
                </w:tcPr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          </w:t>
                  </w:r>
                  <w:proofErr w:type="spellStart"/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Ч¸ваш</w:t>
                  </w:r>
                  <w:proofErr w:type="spellEnd"/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 Республики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 xml:space="preserve">         </w:t>
                  </w:r>
                  <w:proofErr w:type="spellStart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Елч</w:t>
                  </w:r>
                  <w:r w:rsidRPr="004A6CB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ĕ</w:t>
                  </w:r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муниципалл</w:t>
                  </w:r>
                  <w:proofErr w:type="spellEnd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¸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округ.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A6CB0" w:rsidRPr="004A6CB0" w:rsidRDefault="004A6CB0" w:rsidP="004A6CB0">
                  <w:pPr>
                    <w:spacing w:after="0" w:line="240" w:lineRule="auto"/>
                    <w:contextualSpacing/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</w:t>
                  </w:r>
                  <w:proofErr w:type="spellStart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Елч</w:t>
                  </w:r>
                  <w:r w:rsidRPr="004A6CB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ĕ</w:t>
                  </w:r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муниципалл</w:t>
                  </w:r>
                  <w:proofErr w:type="spellEnd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¸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proofErr w:type="spellStart"/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округ</w:t>
                  </w:r>
                  <w:r w:rsidRPr="004A6CB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ru-RU"/>
                    </w:rPr>
                    <w:t>ĕ</w:t>
                  </w:r>
                  <w:r w:rsidRPr="004A6CB0">
                    <w:rPr>
                      <w:rFonts w:ascii="Arial Cyr Chuv" w:eastAsia="Times New Roman" w:hAnsi="Arial Cyr Chuv" w:cs="Arial Cyr Chuv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администраций.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ЙЫШ¨НУ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 xml:space="preserve">2024 </w:t>
                  </w:r>
                  <w:proofErr w:type="spellStart"/>
                  <w:proofErr w:type="gramStart"/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>январ.н</w:t>
                  </w:r>
                  <w:proofErr w:type="spellEnd"/>
                  <w:proofErr w:type="gramEnd"/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 xml:space="preserve"> 12 - </w:t>
                  </w:r>
                  <w:proofErr w:type="spellStart"/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4A6CB0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ĕ</w:t>
                  </w:r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 xml:space="preserve">. №11  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6CB0"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  <w:t>Елч</w:t>
                  </w:r>
                  <w:r w:rsidRPr="004A6CB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ĕ</w:t>
                  </w:r>
                  <w:r w:rsidRPr="004A6CB0"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spellEnd"/>
                  <w:r w:rsidRPr="004A6CB0"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  <w:t xml:space="preserve"> ял.</w:t>
                  </w:r>
                </w:p>
              </w:tc>
              <w:tc>
                <w:tcPr>
                  <w:tcW w:w="1559" w:type="dxa"/>
                </w:tcPr>
                <w:p w:rsidR="004A6CB0" w:rsidRPr="004A6CB0" w:rsidRDefault="004A6CB0" w:rsidP="004A6CB0">
                  <w:pPr>
                    <w:tabs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E7C921" wp14:editId="3D1BCA29">
                        <wp:extent cx="712470" cy="923290"/>
                        <wp:effectExtent l="0" t="0" r="0" b="0"/>
                        <wp:docPr id="4" name="Рисунок 4" descr="Описание: flag y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lag y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923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30" w:type="dxa"/>
                </w:tcPr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  <w:proofErr w:type="gramEnd"/>
                </w:p>
                <w:p w:rsidR="004A6CB0" w:rsidRPr="004A6CB0" w:rsidRDefault="004A6CB0" w:rsidP="004A6CB0">
                  <w:pPr>
                    <w:tabs>
                      <w:tab w:val="left" w:pos="317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  <w:t>Яльчикский                                                                         муниципальный округ</w:t>
                  </w:r>
                </w:p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4A6CB0" w:rsidRPr="004A6CB0" w:rsidRDefault="004A6CB0" w:rsidP="004A6CB0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Яльчикского </w:t>
                  </w:r>
                </w:p>
                <w:p w:rsidR="004A6CB0" w:rsidRPr="004A6CB0" w:rsidRDefault="004A6CB0" w:rsidP="004A6CB0">
                  <w:pPr>
                    <w:tabs>
                      <w:tab w:val="left" w:pos="175"/>
                      <w:tab w:val="left" w:pos="241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4A6CB0" w:rsidRPr="004A6CB0" w:rsidRDefault="004A6CB0" w:rsidP="004A6CB0">
                  <w:pPr>
                    <w:keepNext/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outlineLvl w:val="0"/>
                    <w:rPr>
                      <w:rFonts w:ascii="Arial Cyr Chuv" w:eastAsia="Times New Roman" w:hAnsi="Arial Cyr Chuv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b/>
                      <w:sz w:val="24"/>
                      <w:szCs w:val="24"/>
                      <w:lang w:eastAsia="ru-RU"/>
                    </w:rPr>
                    <w:t xml:space="preserve">ПОСТАНОВЛЕНИЕ  </w:t>
                  </w:r>
                </w:p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</w:p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contextualSpacing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 xml:space="preserve">«12» </w:t>
                  </w:r>
                  <w:proofErr w:type="gramStart"/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>января  2024</w:t>
                  </w:r>
                  <w:proofErr w:type="gramEnd"/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  <w:r w:rsidRPr="004A6CB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4A6CB0"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  <w:t xml:space="preserve">№11 </w:t>
                  </w:r>
                </w:p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A6CB0" w:rsidRPr="004A6CB0" w:rsidRDefault="004A6CB0" w:rsidP="004A6CB0">
                  <w:pPr>
                    <w:tabs>
                      <w:tab w:val="left" w:pos="241"/>
                      <w:tab w:val="left" w:pos="896"/>
                    </w:tabs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</w:pPr>
                  <w:r w:rsidRPr="004A6CB0">
                    <w:rPr>
                      <w:rFonts w:ascii="Arial Cyr Chuv" w:eastAsia="Times New Roman" w:hAnsi="Arial Cyr Chuv" w:cs="Times New Roman"/>
                      <w:sz w:val="20"/>
                      <w:szCs w:val="20"/>
                      <w:lang w:eastAsia="ru-RU"/>
                    </w:rPr>
                    <w:t>село Яльчики</w:t>
                  </w:r>
                </w:p>
              </w:tc>
            </w:tr>
          </w:tbl>
          <w:p w:rsidR="004A6CB0" w:rsidRPr="004A6CB0" w:rsidRDefault="004A6CB0" w:rsidP="004A6CB0">
            <w:pPr>
              <w:tabs>
                <w:tab w:val="left" w:pos="896"/>
              </w:tabs>
              <w:spacing w:after="0" w:line="120" w:lineRule="atLeast"/>
              <w:ind w:lef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4A6CB0" w:rsidRPr="004A6CB0" w:rsidRDefault="004A6CB0" w:rsidP="004A6CB0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4A6CB0" w:rsidRPr="004A6CB0" w:rsidRDefault="004A6CB0" w:rsidP="004A6CB0">
            <w:pPr>
              <w:tabs>
                <w:tab w:val="left" w:pos="241"/>
                <w:tab w:val="left" w:pos="896"/>
              </w:tabs>
              <w:spacing w:after="0" w:line="0" w:lineRule="atLeast"/>
              <w:ind w:right="478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spacing w:after="0" w:line="240" w:lineRule="auto"/>
        <w:ind w:right="4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CB0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премиальных выплатах руководителям образовательных учреждений Яльчикского муниципального округа Чувашской Республики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Кабинета </w:t>
      </w:r>
      <w:bookmarkEnd w:id="0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Министров Чувашской Республики от 13 сентября 2013 года № 377 «Об  утверждении  примерного  положения  об оплате  труда работников  государственных  учреждений  Чувашской  Республики,  занятых  в  сфере  образования  и  науки», постановлением администрации  Яльчикского муниципального округа  Чувашской   Республики от 09 февраля 2023 года № 81 «Об утверждении Положения об оплате труда работников муниципальных учреждений Яльчикского муниципального округа Чувашской Республики, занятых в сфере образования», администрация Яльчикского муниципального округа  Чувашской   Республики  </w:t>
      </w:r>
      <w:r w:rsidRPr="004A6CB0">
        <w:rPr>
          <w:rFonts w:ascii="Times New Roman" w:eastAsia="Times New Roman" w:hAnsi="Times New Roman" w:cs="Times New Roman"/>
          <w:spacing w:val="86"/>
          <w:sz w:val="26"/>
          <w:szCs w:val="26"/>
          <w:lang w:eastAsia="ru-RU"/>
        </w:rPr>
        <w:t>постановляет: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Pr="004A6CB0">
        <w:rPr>
          <w:rFonts w:ascii="Times New Roman" w:eastAsia="Times New Roman" w:hAnsi="Times New Roman" w:cs="Times New Roman"/>
          <w:sz w:val="26"/>
          <w:szCs w:val="26"/>
        </w:rPr>
        <w:t>Положение о премиальных выплатах руководителям образовательных учреждений Яльчикского муниципального округа Чувашской Республики, согласно приложение №1 к настоящему постановлению.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CB0">
        <w:rPr>
          <w:rFonts w:ascii="Times New Roman" w:eastAsia="Times New Roman" w:hAnsi="Times New Roman" w:cs="Times New Roman"/>
          <w:sz w:val="26"/>
          <w:szCs w:val="26"/>
        </w:rPr>
        <w:t xml:space="preserve">2. Утвердить Состав комиссии для распределения премиального </w:t>
      </w:r>
      <w:proofErr w:type="gramStart"/>
      <w:r w:rsidRPr="004A6CB0">
        <w:rPr>
          <w:rFonts w:ascii="Times New Roman" w:eastAsia="Times New Roman" w:hAnsi="Times New Roman" w:cs="Times New Roman"/>
          <w:sz w:val="26"/>
          <w:szCs w:val="26"/>
        </w:rPr>
        <w:t>фонда  руководителей</w:t>
      </w:r>
      <w:proofErr w:type="gramEnd"/>
      <w:r w:rsidRPr="004A6CB0">
        <w:rPr>
          <w:rFonts w:ascii="Times New Roman" w:eastAsia="Times New Roman" w:hAnsi="Times New Roman" w:cs="Times New Roman"/>
          <w:sz w:val="26"/>
          <w:szCs w:val="26"/>
        </w:rPr>
        <w:t xml:space="preserve">  образовательных учреждений Яльчикского муниципального округа Чувашской Республики, согласно приложение № 2 к настоящему постановлению.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выполнением настоящего постановления возложить на начальника отдела образования и молодёжной </w:t>
      </w:r>
      <w:proofErr w:type="gramStart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 администрации</w:t>
      </w:r>
      <w:proofErr w:type="gramEnd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муниципального округа Чувашской Республики.</w:t>
      </w:r>
    </w:p>
    <w:p w:rsidR="004A6CB0" w:rsidRPr="004A6CB0" w:rsidRDefault="004A6CB0" w:rsidP="004A6C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 Настоящее постановление вступает в силу после его официального опубликования.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Яльчикского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        Л.В. Левый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Яльчикского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«12» января </w:t>
      </w:r>
      <w:proofErr w:type="gramStart"/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 года</w:t>
      </w:r>
      <w:proofErr w:type="gramEnd"/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№11</w:t>
      </w: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премиальных выплатах руководителям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образовательных учреждений Яльчикского муниципального округа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sub_1001"/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I. Общие положения</w:t>
      </w:r>
    </w:p>
    <w:bookmarkEnd w:id="1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 премиальных выплатах руководителям образовательных учреждений Яльчикского муниципального округа Чувашской Республики (далее - Положение) предусматривает порядок и условия премирования руководителей образовательных учреждений Яльчикского  муниципального округа Чувашской Республики (далее - Руководители) в целях материальной заинтересованности Руководителей в повышении качества образовательных услуг и эффективности деятельности образовательных учреждений Яльчикского муниципального округа Чувашской Республики.</w:t>
      </w:r>
    </w:p>
    <w:bookmarkEnd w:id="2"/>
    <w:p w:rsidR="004A6CB0" w:rsidRPr="004A6CB0" w:rsidRDefault="004A6CB0" w:rsidP="004A6CB0">
      <w:pPr>
        <w:keepNext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A6CB0" w:rsidRPr="004A6CB0" w:rsidRDefault="004A6CB0" w:rsidP="004A6CB0">
      <w:pPr>
        <w:keepNext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Виды премиальных выплат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образовательных учреждений </w:t>
      </w:r>
      <w:proofErr w:type="gramStart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 муниципального</w:t>
      </w:r>
      <w:proofErr w:type="gramEnd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Чувашской Республики  устанавливаются следующие виды премиальных выплат: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премия по итогам работы за квартал за выполнение показателей результативности деятельности учреждений образования и работы его Руководителя;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единовременное поощрение;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ежемесячное поощрение.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keepNext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sub_1002"/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Ш. Источники премирования</w:t>
      </w:r>
    </w:p>
    <w:bookmarkEnd w:id="3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21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3.1. Финансирование расходов на премиальные выплаты Руководителям осуществляется в пределах средств фонда оплаты труда образовательных учреждений Яльчикского муниципального округа Чувашской Республики, предусмотренного на текущий финансовый год.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23"/>
      <w:bookmarkEnd w:id="4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Премиальные выплаты Руководителям производятся на основании приказа отдела образования и молодежной политики администрации Яльчикского муниципального округа Чувашской Республики.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5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keepNext/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" w:name="sub_1003"/>
      <w:r w:rsidRPr="004A6CB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IV</w:t>
      </w:r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Показатели премирования</w:t>
      </w:r>
    </w:p>
    <w:bookmarkEnd w:id="6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31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Премиальные выплаты Руководителям производятся с учетом оценки эффективности деятельности образовательного учреждения и его Руководителя один раз в квартал.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32"/>
      <w:bookmarkEnd w:id="7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Для определения конкретного размера премиальных выплат Руководителю соответствующая комиссия отдела образования и молодежной политики администрации Яльчикского муниципального округа Чувашской Республики (далее - Комиссия) осуществляет оценку эффективности деятельности учреждения и его Руководителя на основе фактического выполнения критериев и показателей оценки эффективности деятельности образовательного учреждения и его Руководителя, указанных в приложении к настоящему Положению.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33"/>
      <w:bookmarkEnd w:id="8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Для проведения оценки эффективности деятельности образовательного учреждения и его Руководителя и определения конкретного размера премиальной выплаты по итогам работы учреждения за квартал Руководитель не позднее 15 числа месяца, следующего за отчетным периодом, представляет в отдел образования и молодежной политики  администрации Яльчикского  муниципального округа Чувашской Республики отчет о выполнении критериев и показателей эффективности деятельности образовательного учреждения и его Руководителя.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34"/>
      <w:bookmarkEnd w:id="9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Комиссия на основе данных о выполнении критериев и показателей эффективности деятельности образовательного учреждения и его Руководителя, указанных в приложении к настоящему Положению, определяет степень выполнения критериев и показателей за квартал, которая оценивается определенной суммой баллов.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35"/>
      <w:bookmarkEnd w:id="10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Максимальный размер премиальной выплаты Руководителю по результатам выполнения показателей эффективности работы учреждения и его Руководителя за квартал равен 100% от размера должностного оклада.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36"/>
      <w:bookmarkEnd w:id="11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Для установления премиальной выплаты в максимальном размере сумма набранных баллов должна быть равна от 40 до 44 баллов.</w:t>
      </w:r>
    </w:p>
    <w:bookmarkEnd w:id="12"/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начислении Комиссией более низкой суммы баллов выплата Руководителю снижается в пропорциях, </w:t>
      </w:r>
      <w:proofErr w:type="gramStart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 пунктом</w:t>
      </w:r>
      <w:proofErr w:type="gramEnd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4.7. настоящего Положения.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37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Степень выполнения критериев и показателей за квартал и размер премии руководителю учреждения определяется на основе расчета суммы баллов по следующей схеме: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990"/>
      </w:tblGrid>
      <w:tr w:rsidR="004A6CB0" w:rsidRPr="004A6CB0" w:rsidTr="007B593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Сумма баллов, установленных руководителю образовательного учреждения за квартал текущего </w:t>
            </w: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финансового года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Размер премии руководителя образовательного учреждения (в %)</w:t>
            </w:r>
          </w:p>
        </w:tc>
      </w:tr>
      <w:tr w:rsidR="004A6CB0" w:rsidRPr="004A6CB0" w:rsidTr="007B593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40-44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100% оклада</w:t>
            </w:r>
          </w:p>
        </w:tc>
      </w:tr>
      <w:tr w:rsidR="004A6CB0" w:rsidRPr="004A6CB0" w:rsidTr="007B593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34-39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75% оклада</w:t>
            </w:r>
          </w:p>
        </w:tc>
      </w:tr>
      <w:tr w:rsidR="004A6CB0" w:rsidRPr="004A6CB0" w:rsidTr="007B593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30-33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60% оклада</w:t>
            </w:r>
          </w:p>
        </w:tc>
      </w:tr>
      <w:tr w:rsidR="004A6CB0" w:rsidRPr="004A6CB0" w:rsidTr="007B593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26-29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50% оклада</w:t>
            </w:r>
          </w:p>
        </w:tc>
      </w:tr>
      <w:tr w:rsidR="004A6CB0" w:rsidRPr="004A6CB0" w:rsidTr="007B593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менее 26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не премируется</w:t>
            </w:r>
          </w:p>
        </w:tc>
      </w:tr>
    </w:tbl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38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За высокие результаты деятельности учреждения, участие в мероприятиях федерального, регионального уровня, премирование отдельных Руководителей, помимо выплаты им ежеквартальной премии в размере 100% оклада, может производиться единовременное, ежемесячное поощрение в течение календарного года.</w:t>
      </w:r>
    </w:p>
    <w:bookmarkEnd w:id="14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keepNext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5" w:name="sub_1004"/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V. Перечень нарушений в работе, при которых Руководитель не может быть премирован</w:t>
      </w:r>
    </w:p>
    <w:bookmarkEnd w:id="15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41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Руководители муниципальных образовательных учреждений Яльчикского муниципального округа Чувашской Республики могут быть лишены премиальных выплат. Лишение премиальных выплат производится за тот отчетный период, в котором имело место допущение упущения в работе. Если упущение в работе выявлено после осуществления премиальных выплат, не производится начисление и выплата премиальных в том отчетном периоде, в котором обнаружено упущение.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42"/>
      <w:bookmarkEnd w:id="16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Премиальные выплаты не производятся в случаях:</w:t>
      </w:r>
    </w:p>
    <w:bookmarkEnd w:id="17"/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невыполнения муниципального задания менее 95%;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нарушения трудовой дисциплины и правил внутреннего трудового распорядка;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нарушения правил техники безопасности и норм охраны труда;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наличия обоснованных письменных жалоб;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случая детского травматизма во время пребывания в образовательном учреждении;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наличия фактов нарушения финансово-хозяйственной дисциплины, а также нанесения руководимой организации своими действиями (бездействием) материального ущерба;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необоснованного отказа от участия в общественно значимом мероприятии;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несоблюдения сроков исполнения находящихся на контроле документов, предоставление информации, отчетов и других материалов по представлению в вышестоящие органы;</w:t>
      </w:r>
    </w:p>
    <w:p w:rsidR="004A6CB0" w:rsidRPr="004A6CB0" w:rsidRDefault="004A6CB0" w:rsidP="004A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иных случаях, предусмотренных законодательством Российской Федерации, а также нормативными правовыми актами Яльчикского муниципального округа Чувашской Республики.</w:t>
      </w: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bookmarkStart w:id="18" w:name="sub_1100"/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Приложение</w:t>
      </w:r>
      <w:r w:rsidRPr="004A6CB0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br/>
        <w:t>к П</w:t>
      </w: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оложению </w:t>
      </w:r>
      <w:r w:rsidRPr="004A6CB0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о премиальных выплатах руководителям образовательных учреждений Яльчикского муниципального округа</w:t>
      </w:r>
      <w:r w:rsidRPr="004A6CB0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br/>
        <w:t>Чувашской Республики</w:t>
      </w:r>
    </w:p>
    <w:bookmarkEnd w:id="18"/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keepNext/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720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и показатели</w:t>
      </w:r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оценки эффективности деятельности образовательного учреждения и его Руководителя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4380"/>
        <w:gridCol w:w="1322"/>
      </w:tblGrid>
      <w:tr w:rsidR="004A6CB0" w:rsidRPr="004A6CB0" w:rsidTr="007B593B"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Критерии оценки показателя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Количество баллов (максимально возможное)</w:t>
            </w:r>
          </w:p>
        </w:tc>
      </w:tr>
      <w:tr w:rsidR="004A6CB0" w:rsidRPr="004A6CB0" w:rsidTr="007B593B">
        <w:tc>
          <w:tcPr>
            <w:tcW w:w="32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Эффективность обеспечения условий, направленных на здоровьесбережение и безопасность участников образовательных отношений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Отсутствие травматизма среди обучающихся (воспитанников) и работников.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2. Наличие программы развития здоровьесберегающих технологий, пропаганды здорового образа жизни.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3. Проведение практических мероприятий, формирующих способность обучающихся (воспитанников) и педагогов к действиям в экстремальных ситуациях.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Эффективность использования современных образовательных технологий в образовательных отношениях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Распространение педагогического опыта образовательного учреждения в профессиональном сообществе через проведение семинаров, конференций, организованных образовательной организацией.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2. Наличие достижений (награды, </w:t>
            </w: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гранты) у педагогического коллектива (индивидуальные и/или коллективные) по внедрению в практику современных образовательных технологий.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3. Наличие электронного документооборота с отделом образования с использованием сети "Интернет".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Наличие действующей программы развития.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2. Наличие публичного отчета о деятельности образовательного учреждения за год, включая информацию о расходовании внебюджетных средств в сети "Интернет".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3. Оформление трудовых отношений с работниками учреждения на основании эффективных контрактов.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4. Выполнение квоты по приему на работу инвалидов (в соответствии с законодательством Российской Федерации).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5. Размещение информации об учреждении в информационно-телекоммуникационной сети "Интернет" на официальном сайте по размещению информации о государственных (муниципальных) учреждениях </w:t>
            </w:r>
            <w:hyperlink r:id="rId7" w:history="1">
              <w:r w:rsidRPr="004A6CB0">
                <w:rPr>
                  <w:rFonts w:ascii="Times New Roman CYR" w:eastAsia="Times New Roman" w:hAnsi="Times New Roman CYR" w:cs="Times New Roman"/>
                  <w:color w:val="106BBE"/>
                  <w:sz w:val="26"/>
                  <w:szCs w:val="26"/>
                  <w:lang w:eastAsia="ru-RU"/>
                </w:rPr>
                <w:t>www.bus.gov.ru</w:t>
              </w:r>
            </w:hyperlink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в соответствии со </w:t>
            </w:r>
            <w:hyperlink r:id="rId8" w:history="1">
              <w:r w:rsidRPr="004A6CB0">
                <w:rPr>
                  <w:rFonts w:ascii="Times New Roman CYR" w:eastAsia="Times New Roman" w:hAnsi="Times New Roman CYR" w:cs="Times New Roman"/>
                  <w:color w:val="106BBE"/>
                  <w:sz w:val="26"/>
                  <w:szCs w:val="26"/>
                  <w:lang w:eastAsia="ru-RU"/>
                </w:rPr>
                <w:t>ст. 32</w:t>
              </w:r>
            </w:hyperlink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Федерального закона от 12.01.1996 г. N 7-ФЗ "О некоммерческих организациях".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6.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(в рамках предела фонда оплаты труда).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Эффективность инновационной (научной, методической, организационной) деятельности образовательного </w:t>
            </w: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учреждения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1. Организация и проведение на базе образовательного учреждения семинаров, совещаний, конференций и т.п.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2. Наличие и продуктивность реализации образовательной </w:t>
            </w: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программы и программы развития образовательного учреждения.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2</w:t>
            </w:r>
          </w:p>
        </w:tc>
      </w:tr>
      <w:tr w:rsidR="004A6CB0" w:rsidRPr="004A6CB0" w:rsidTr="007B593B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Отсутствие негативных проявлений.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2. Организация работы с семьями (наличие программ работы с семьями, находящимися в СОП).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3. Организация работы с учащимися, состоящими на учете ВШУ, КДН и ЗП.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Уровень исполнительской дисциплины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Отсутствие дисциплинарных взысканий у руководителя образовательного учреждения, своевременное предоставление запрашиваемой отделом образования и социального развития администрации Яльчикского муниципального округа информации.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Эффективность имущественной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Выполнение необходимых объемов текущего и капитального ремонта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Эффективность финансово-хозяйственной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Выполнение плана финансово-хозяйственной деятельности.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2. Выполнение муниципального задания.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  <w:tr w:rsidR="004A6CB0" w:rsidRPr="004A6CB0" w:rsidTr="007B593B">
        <w:tc>
          <w:tcPr>
            <w:tcW w:w="32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3. Соблюдение предельного уровня соотношения среднемесячной заработной платы руководителя учреждения и его заместителей, формируемой за счет всех источников финансового обеспечения и рассчитываемый за календарный год, к среднемесячной заработной плате работников учреждения (без учета заработной платы руководителя учреждения и его заместителей).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B0" w:rsidRPr="004A6CB0" w:rsidRDefault="004A6CB0" w:rsidP="004A6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4A6CB0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</w:tr>
    </w:tbl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widowControl w:val="0"/>
        <w:tabs>
          <w:tab w:val="left" w:pos="5400"/>
        </w:tabs>
        <w:snapToGri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CB0" w:rsidRPr="004A6CB0" w:rsidRDefault="004A6CB0" w:rsidP="004A6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постановлением</w:t>
      </w:r>
      <w:proofErr w:type="gramEnd"/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Яльчикского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 «12» января 2024 года №11</w:t>
      </w:r>
      <w:r w:rsidRPr="004A6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6CB0" w:rsidRPr="004A6CB0" w:rsidRDefault="004A6CB0" w:rsidP="004A6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B0" w:rsidRPr="004A6CB0" w:rsidRDefault="004A6CB0" w:rsidP="004A6CB0">
      <w:pPr>
        <w:spacing w:after="0" w:line="240" w:lineRule="auto"/>
        <w:ind w:left="567"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6CB0">
        <w:rPr>
          <w:rFonts w:ascii="Times New Roman" w:eastAsia="Calibri" w:hAnsi="Times New Roman" w:cs="Times New Roman"/>
          <w:b/>
          <w:sz w:val="26"/>
          <w:szCs w:val="26"/>
        </w:rPr>
        <w:t xml:space="preserve">Состав комиссии для распределения премиального </w:t>
      </w:r>
      <w:proofErr w:type="gramStart"/>
      <w:r w:rsidRPr="004A6CB0">
        <w:rPr>
          <w:rFonts w:ascii="Times New Roman" w:eastAsia="Calibri" w:hAnsi="Times New Roman" w:cs="Times New Roman"/>
          <w:b/>
          <w:sz w:val="26"/>
          <w:szCs w:val="26"/>
        </w:rPr>
        <w:t>фонда  руководителей</w:t>
      </w:r>
      <w:proofErr w:type="gramEnd"/>
      <w:r w:rsidRPr="004A6CB0">
        <w:rPr>
          <w:rFonts w:ascii="Times New Roman" w:eastAsia="Calibri" w:hAnsi="Times New Roman" w:cs="Times New Roman"/>
          <w:b/>
          <w:sz w:val="26"/>
          <w:szCs w:val="26"/>
        </w:rPr>
        <w:t xml:space="preserve">  образовательных учреждений Яльчикского муниципального округа </w:t>
      </w:r>
    </w:p>
    <w:p w:rsidR="004A6CB0" w:rsidRPr="004A6CB0" w:rsidRDefault="004A6CB0" w:rsidP="004A6CB0">
      <w:pPr>
        <w:spacing w:after="0" w:line="240" w:lineRule="auto"/>
        <w:ind w:left="567"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6CB0">
        <w:rPr>
          <w:rFonts w:ascii="Times New Roman" w:eastAsia="Calibri" w:hAnsi="Times New Roman" w:cs="Times New Roman"/>
          <w:b/>
          <w:sz w:val="26"/>
          <w:szCs w:val="26"/>
        </w:rPr>
        <w:t>Чувашской Республики</w:t>
      </w:r>
    </w:p>
    <w:p w:rsidR="004A6CB0" w:rsidRPr="004A6CB0" w:rsidRDefault="004A6CB0" w:rsidP="004A6CB0">
      <w:pPr>
        <w:spacing w:after="0" w:line="240" w:lineRule="auto"/>
        <w:ind w:left="567"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6CB0" w:rsidRPr="004A6CB0" w:rsidRDefault="004A6CB0" w:rsidP="004A6CB0">
      <w:pPr>
        <w:spacing w:after="0" w:line="240" w:lineRule="auto"/>
        <w:ind w:left="567"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 В.А. – заместитель главы администрации Яльчикского муниципального округа - начальник отдела образования и молодежной политики администрации Яльчикского муниципального округа Чувашской Республики, председатель комиссии; </w:t>
      </w:r>
    </w:p>
    <w:p w:rsidR="004A6CB0" w:rsidRPr="004A6CB0" w:rsidRDefault="004A6CB0" w:rsidP="004A6CB0">
      <w:pPr>
        <w:spacing w:after="0" w:line="240" w:lineRule="auto"/>
        <w:ind w:left="567"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Никифорова Е.И.– заместитель начальника отдела образования и молодежной политики администрации Яльчикского муниципального округа Чувашской Республики, секретарь комиссии;</w:t>
      </w:r>
    </w:p>
    <w:p w:rsidR="004A6CB0" w:rsidRPr="004A6CB0" w:rsidRDefault="004A6CB0" w:rsidP="004A6CB0">
      <w:pPr>
        <w:spacing w:after="0" w:line="240" w:lineRule="auto"/>
        <w:ind w:left="567"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Ефимова Л.В. – директор информационно-методического центра отдела образования и молодежной политики администрации Яльчикского муниципального округа Чувашской Республики, член комиссии;</w:t>
      </w:r>
    </w:p>
    <w:p w:rsidR="004A6CB0" w:rsidRPr="004A6CB0" w:rsidRDefault="004A6CB0" w:rsidP="004A6CB0">
      <w:pPr>
        <w:spacing w:after="0" w:line="240" w:lineRule="auto"/>
        <w:ind w:left="567"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Лупан Н.В. - методист информационно-методического центра отдела образования и молодежной политики администрации Яльчикского муниципального округа Чувашской Республики, член комиссии;</w:t>
      </w:r>
    </w:p>
    <w:p w:rsidR="004A6CB0" w:rsidRPr="004A6CB0" w:rsidRDefault="004A6CB0" w:rsidP="004A6CB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 С.В. -  председатель</w:t>
      </w:r>
      <w:r w:rsidRPr="004A6CB0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Pr="004A6C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Яльчикской районной организации профсоюза работников народного образования и науки РФ</w:t>
      </w: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старший методист информационно-методического центра отдела образования и молодежной политики администрации Яльчикского муниципального округа Чувашской Республики, член комиссии;</w:t>
      </w:r>
    </w:p>
    <w:p w:rsidR="004A6CB0" w:rsidRPr="004A6CB0" w:rsidRDefault="004A6CB0" w:rsidP="004A6CB0">
      <w:pPr>
        <w:spacing w:after="0" w:line="240" w:lineRule="auto"/>
        <w:ind w:left="567" w:right="142"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Петрова И.П. — и.о. начальника - главный бухгалтер МКУ «Центр финансового и ресурсного обеспечения Яльчикского муниципального округа Чувашской Республики</w:t>
      </w:r>
      <w:r w:rsidRPr="004A6CB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», </w:t>
      </w:r>
      <w:r w:rsidRPr="004A6C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 комиссии</w:t>
      </w:r>
      <w:r w:rsidRPr="004A6CB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(по согласованию);</w:t>
      </w:r>
    </w:p>
    <w:p w:rsidR="004A6CB0" w:rsidRPr="004A6CB0" w:rsidRDefault="004A6CB0" w:rsidP="004A6CB0">
      <w:pPr>
        <w:spacing w:after="0" w:line="240" w:lineRule="auto"/>
        <w:ind w:left="567" w:right="142" w:firstLine="708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A6CB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spellStart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Патшина</w:t>
      </w:r>
      <w:proofErr w:type="spellEnd"/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 – главный экономист МКУ «Центр финансового и ресурсного обеспечения Яльчикского муниципального округа Чувашской Республики</w:t>
      </w:r>
      <w:r w:rsidRPr="004A6CB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»,</w:t>
      </w:r>
      <w:r w:rsidRPr="004A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комиссии</w:t>
      </w:r>
      <w:r w:rsidRPr="004A6CB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(по согласованию).</w:t>
      </w:r>
    </w:p>
    <w:p w:rsidR="004A6CB0" w:rsidRPr="004A6CB0" w:rsidRDefault="004A6CB0" w:rsidP="004A6CB0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CB0" w:rsidRPr="004A6CB0" w:rsidRDefault="004A6CB0" w:rsidP="004A6C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E58" w:rsidRDefault="00201E58" w:rsidP="00FE4D0D">
      <w:pPr>
        <w:rPr>
          <w:b/>
        </w:rPr>
      </w:pPr>
    </w:p>
    <w:p w:rsidR="00201E58" w:rsidRDefault="00201E58" w:rsidP="00FE4D0D">
      <w:pPr>
        <w:rPr>
          <w:b/>
        </w:rPr>
      </w:pPr>
    </w:p>
    <w:p w:rsidR="00201E58" w:rsidRDefault="00201E58" w:rsidP="00FE4D0D">
      <w:pPr>
        <w:rPr>
          <w:b/>
        </w:rPr>
      </w:pPr>
    </w:p>
    <w:p w:rsidR="00201E58" w:rsidRDefault="00201E58" w:rsidP="00FE4D0D">
      <w:pPr>
        <w:rPr>
          <w:b/>
        </w:rPr>
      </w:pPr>
    </w:p>
    <w:p w:rsidR="00201E58" w:rsidRPr="00201E58" w:rsidRDefault="00201E58" w:rsidP="0020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Периодическое печатное издание “Вестник Яльчикского муниципального </w:t>
      </w:r>
      <w:proofErr w:type="gramStart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>округа  Чувашской</w:t>
      </w:r>
      <w:proofErr w:type="gramEnd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Республики”</w:t>
      </w:r>
    </w:p>
    <w:p w:rsidR="00201E58" w:rsidRPr="00201E58" w:rsidRDefault="00201E58" w:rsidP="0020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отпечатан </w:t>
      </w:r>
      <w:proofErr w:type="gramStart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>в  Администрации</w:t>
      </w:r>
      <w:proofErr w:type="gramEnd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Яльчикского муниципального округа Чувашской Республики</w:t>
      </w:r>
    </w:p>
    <w:p w:rsidR="00201E58" w:rsidRPr="00201E58" w:rsidRDefault="00201E58" w:rsidP="0020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</w:t>
      </w:r>
      <w:proofErr w:type="spellStart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>с.Яльчики</w:t>
      </w:r>
      <w:proofErr w:type="spellEnd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>ул.Иванова</w:t>
      </w:r>
      <w:proofErr w:type="spellEnd"/>
      <w:r w:rsidRPr="00201E58">
        <w:rPr>
          <w:rFonts w:ascii="Times New Roman" w:eastAsia="Times New Roman" w:hAnsi="Times New Roman" w:cs="Times New Roman"/>
          <w:sz w:val="16"/>
          <w:szCs w:val="16"/>
          <w:lang w:eastAsia="ru-RU"/>
        </w:rPr>
        <w:t>, д.16 Тираж _100_ экз</w:t>
      </w:r>
    </w:p>
    <w:p w:rsidR="00201E58" w:rsidRPr="00FE4D0D" w:rsidRDefault="00201E58" w:rsidP="00FE4D0D">
      <w:pPr>
        <w:rPr>
          <w:b/>
        </w:rPr>
      </w:pPr>
    </w:p>
    <w:sectPr w:rsidR="00201E58" w:rsidRPr="00FE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21B"/>
    <w:multiLevelType w:val="multilevel"/>
    <w:tmpl w:val="EF901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0D"/>
    <w:rsid w:val="00201E58"/>
    <w:rsid w:val="002F0014"/>
    <w:rsid w:val="003134F3"/>
    <w:rsid w:val="004A6CB0"/>
    <w:rsid w:val="007645BF"/>
    <w:rsid w:val="00873E7F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486D"/>
  <w15:chartTrackingRefBased/>
  <w15:docId w15:val="{4103A512-74DF-462E-87F0-22DE2A54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873E7F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a4">
    <w:name w:val="Normal (Web)"/>
    <w:basedOn w:val="a"/>
    <w:uiPriority w:val="99"/>
    <w:unhideWhenUsed/>
    <w:rsid w:val="0087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5879/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520999/1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Оксана Игнатьева</cp:lastModifiedBy>
  <cp:revision>4</cp:revision>
  <dcterms:created xsi:type="dcterms:W3CDTF">2024-02-01T07:40:00Z</dcterms:created>
  <dcterms:modified xsi:type="dcterms:W3CDTF">2024-02-01T13:30:00Z</dcterms:modified>
</cp:coreProperties>
</file>