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D87937">
        <w:trPr>
          <w:trHeight w:val="1559"/>
        </w:trPr>
        <w:tc>
          <w:tcPr>
            <w:tcW w:w="3799" w:type="dxa"/>
          </w:tcPr>
          <w:p w:rsidR="00D87937" w:rsidRDefault="00D47435">
            <w:pPr>
              <w:keepNext/>
              <w:widowControl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4"/>
                <w:szCs w:val="24"/>
              </w:rPr>
            </w:pPr>
            <w:r>
              <w:rPr>
                <w:rFonts w:eastAsia="Times New Roman"/>
                <w:b/>
                <w:spacing w:val="40"/>
                <w:sz w:val="24"/>
                <w:szCs w:val="24"/>
              </w:rPr>
              <w:t>Чувашская</w:t>
            </w:r>
            <w:r>
              <w:rPr>
                <w:rFonts w:ascii="Baltica Chv" w:eastAsia="Times New Roman" w:hAnsi="Baltica Chv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4"/>
                <w:szCs w:val="24"/>
              </w:rPr>
              <w:t>Республика</w:t>
            </w:r>
          </w:p>
          <w:p w:rsidR="00D87937" w:rsidRDefault="00D87937">
            <w:pPr>
              <w:widowControl/>
              <w:rPr>
                <w:rFonts w:eastAsia="Times New Roman"/>
                <w:sz w:val="8"/>
                <w:szCs w:val="24"/>
              </w:rPr>
            </w:pPr>
          </w:p>
          <w:p w:rsidR="00D87937" w:rsidRDefault="00D47435">
            <w:pPr>
              <w:keepNext/>
              <w:widowControl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4"/>
                <w:szCs w:val="24"/>
              </w:rPr>
            </w:pPr>
            <w:r>
              <w:rPr>
                <w:rFonts w:eastAsia="Times New Roman"/>
                <w:b/>
                <w:spacing w:val="40"/>
                <w:sz w:val="24"/>
                <w:szCs w:val="24"/>
              </w:rPr>
              <w:t>Чебоксарское</w:t>
            </w:r>
            <w:r>
              <w:rPr>
                <w:rFonts w:ascii="Baltica Chv" w:eastAsia="Times New Roman" w:hAnsi="Baltica Chv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4"/>
                <w:szCs w:val="24"/>
              </w:rPr>
              <w:t>городское</w:t>
            </w:r>
          </w:p>
          <w:p w:rsidR="00D87937" w:rsidRDefault="00D47435">
            <w:pPr>
              <w:keepNext/>
              <w:widowControl/>
              <w:ind w:left="-108" w:right="-102"/>
              <w:jc w:val="center"/>
              <w:outlineLvl w:val="2"/>
              <w:rPr>
                <w:rFonts w:ascii="Baltica Chv" w:eastAsia="Times New Roman" w:hAnsi="Baltica Chv"/>
                <w:sz w:val="24"/>
                <w:szCs w:val="24"/>
              </w:rPr>
            </w:pPr>
            <w:r>
              <w:rPr>
                <w:rFonts w:eastAsia="Times New Roman"/>
                <w:b/>
                <w:spacing w:val="40"/>
                <w:sz w:val="24"/>
                <w:szCs w:val="24"/>
              </w:rPr>
              <w:t>Собрание</w:t>
            </w:r>
            <w:r>
              <w:rPr>
                <w:rFonts w:ascii="Baltica Chv" w:eastAsia="Times New Roman" w:hAnsi="Baltica Chv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4"/>
                <w:szCs w:val="24"/>
              </w:rPr>
              <w:t>депутатов</w:t>
            </w:r>
          </w:p>
          <w:p w:rsidR="00D87937" w:rsidRDefault="00D87937">
            <w:pPr>
              <w:widowControl/>
              <w:ind w:left="-112" w:right="-102"/>
              <w:jc w:val="center"/>
              <w:rPr>
                <w:rFonts w:ascii="Baltica Chv" w:eastAsia="Times New Roman" w:hAnsi="Baltica Chv"/>
                <w:b/>
                <w:sz w:val="24"/>
                <w:szCs w:val="24"/>
              </w:rPr>
            </w:pPr>
          </w:p>
          <w:p w:rsidR="00D87937" w:rsidRDefault="00D47435">
            <w:pPr>
              <w:keepNext/>
              <w:widowControl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 w:val="24"/>
                <w:szCs w:val="24"/>
              </w:rPr>
            </w:pPr>
            <w:r>
              <w:rPr>
                <w:rFonts w:eastAsia="Times New Roman"/>
                <w:b/>
                <w:caps/>
                <w:spacing w:val="40"/>
                <w:sz w:val="24"/>
                <w:szCs w:val="24"/>
              </w:rPr>
              <w:t>РЕШЕНИЕ</w:t>
            </w:r>
          </w:p>
          <w:p w:rsidR="00D87937" w:rsidRDefault="00D87937">
            <w:pPr>
              <w:keepNext/>
              <w:widowControl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 w:val="24"/>
                <w:szCs w:val="24"/>
              </w:rPr>
            </w:pPr>
          </w:p>
        </w:tc>
        <w:tc>
          <w:tcPr>
            <w:tcW w:w="1588" w:type="dxa"/>
            <w:hideMark/>
          </w:tcPr>
          <w:p w:rsidR="00D87937" w:rsidRDefault="00D47435">
            <w:pPr>
              <w:widowControl/>
              <w:ind w:right="-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695325"/>
                  <wp:effectExtent l="0" t="0" r="9525" b="9525"/>
                  <wp:docPr id="3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D87937" w:rsidRDefault="00D47435">
            <w:pPr>
              <w:keepNext/>
              <w:widowControl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pacing w:val="40"/>
                <w:sz w:val="24"/>
                <w:szCs w:val="24"/>
              </w:rPr>
              <w:t>Чǎваш</w:t>
            </w:r>
            <w:proofErr w:type="spellEnd"/>
            <w:r>
              <w:rPr>
                <w:rFonts w:ascii="Baltica Chv" w:eastAsia="Times New Roman" w:hAnsi="Baltica Chv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4"/>
                <w:szCs w:val="24"/>
              </w:rPr>
              <w:t>Республики</w:t>
            </w:r>
          </w:p>
          <w:p w:rsidR="00D87937" w:rsidRDefault="00D87937">
            <w:pPr>
              <w:widowControl/>
              <w:rPr>
                <w:rFonts w:ascii="Baltica Chv" w:eastAsia="Times New Roman" w:hAnsi="Baltica Chv"/>
                <w:b/>
                <w:spacing w:val="40"/>
                <w:sz w:val="8"/>
                <w:szCs w:val="24"/>
              </w:rPr>
            </w:pPr>
          </w:p>
          <w:p w:rsidR="00D87937" w:rsidRDefault="00D47435">
            <w:pPr>
              <w:keepNext/>
              <w:widowControl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pacing w:val="40"/>
                <w:sz w:val="24"/>
                <w:szCs w:val="24"/>
              </w:rPr>
              <w:t>Шупашкар</w:t>
            </w:r>
            <w:proofErr w:type="spellEnd"/>
            <w:r>
              <w:rPr>
                <w:rFonts w:ascii="Baltica Chv" w:eastAsia="Times New Roman" w:hAnsi="Baltica Chv"/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pacing w:val="40"/>
                <w:sz w:val="24"/>
                <w:szCs w:val="24"/>
              </w:rPr>
              <w:t>хулин</w:t>
            </w:r>
            <w:proofErr w:type="spellEnd"/>
          </w:p>
          <w:p w:rsidR="00D87937" w:rsidRDefault="00D47435">
            <w:pPr>
              <w:keepNext/>
              <w:widowControl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pacing w:val="40"/>
                <w:sz w:val="24"/>
                <w:szCs w:val="24"/>
              </w:rPr>
              <w:t>депутатсен</w:t>
            </w:r>
            <w:proofErr w:type="spellEnd"/>
            <w:r>
              <w:rPr>
                <w:rFonts w:ascii="Baltica Chv" w:eastAsia="Times New Roman" w:hAnsi="Baltica Chv"/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pacing w:val="40"/>
                <w:sz w:val="24"/>
                <w:szCs w:val="24"/>
              </w:rPr>
              <w:t>Пухăвĕ</w:t>
            </w:r>
            <w:proofErr w:type="spellEnd"/>
          </w:p>
          <w:p w:rsidR="00D87937" w:rsidRDefault="00D87937">
            <w:pPr>
              <w:widowControl/>
              <w:jc w:val="center"/>
              <w:rPr>
                <w:rFonts w:ascii="Baltica Chv" w:eastAsia="Times New Roman" w:hAnsi="Baltica Chv"/>
                <w:b/>
                <w:spacing w:val="40"/>
                <w:sz w:val="24"/>
                <w:szCs w:val="24"/>
              </w:rPr>
            </w:pPr>
          </w:p>
          <w:p w:rsidR="00D87937" w:rsidRDefault="00D47435">
            <w:pPr>
              <w:keepNext/>
              <w:widowControl/>
              <w:ind w:left="-108" w:right="-102"/>
              <w:jc w:val="center"/>
              <w:outlineLvl w:val="2"/>
              <w:rPr>
                <w:rFonts w:eastAsia="Times New Roman"/>
                <w:b/>
                <w:spacing w:val="40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ЙЫШĂНУ</w:t>
            </w:r>
          </w:p>
        </w:tc>
      </w:tr>
    </w:tbl>
    <w:p w:rsidR="00D87937" w:rsidRDefault="00562645"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 марта 2024 года</w:t>
      </w:r>
      <w:r w:rsidR="00D47435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1528</w:t>
      </w:r>
    </w:p>
    <w:p w:rsidR="00D87937" w:rsidRDefault="00D87937"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</w:p>
    <w:p w:rsidR="00D87937" w:rsidRDefault="00D47435">
      <w:pPr>
        <w:spacing w:after="120"/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муниципальной службе муниципального образования города Чебоксары – столицы Чувашской Республики, утвержденное решением Чебоксарского городского Собрания депутатов от 17 апреля 2008 года № 964 </w:t>
      </w:r>
    </w:p>
    <w:p w:rsidR="00D87937" w:rsidRDefault="00D87937">
      <w:pPr>
        <w:jc w:val="both"/>
        <w:rPr>
          <w:sz w:val="28"/>
          <w:szCs w:val="28"/>
        </w:rPr>
      </w:pPr>
    </w:p>
    <w:p w:rsidR="00D87937" w:rsidRDefault="00D47435">
      <w:pPr>
        <w:pStyle w:val="ad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Федерального закона от 12 декабря 2023 года № 594–ФЗ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решения Чебоксарского городского Собрания депутатов от 15 августа 2023 года № 1327 «О внесении изменений в структуру исполнительно-распорядительного органа города Чебоксары – администрации города Чебоксары, утвержденную решением Чебоксарского городского Собрания депутатов от 25 декабря 2012 года № 855», руководствуясь Уставом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 40, </w:t>
      </w:r>
    </w:p>
    <w:p w:rsidR="00D87937" w:rsidRDefault="00D47435">
      <w:pPr>
        <w:pStyle w:val="ad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 w:rsidR="00D87937" w:rsidRDefault="00D47435">
      <w:pPr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D87937" w:rsidRDefault="00D87937">
      <w:pPr>
        <w:spacing w:after="120"/>
        <w:ind w:firstLine="709"/>
        <w:jc w:val="center"/>
        <w:rPr>
          <w:sz w:val="8"/>
          <w:szCs w:val="8"/>
        </w:rPr>
      </w:pPr>
    </w:p>
    <w:p w:rsidR="00D87937" w:rsidRDefault="00D4743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Внести в Положение о муниципальной службе муниципального образования города Чебоксары – столицы Чувашской Республики, утвержденное  решением Чебоксарского городского Собрания депутатов от  17 апреля 2008 года № 964 (в редакции решений Чебоксарского городского Собрания депутатов от 8 сентября 2011 года № 349, от 14 июня 2012 года № 642, от 17 сентября 2015 года № 2155, от 27 октября 2015 года № 53, от                 </w:t>
      </w:r>
      <w:r>
        <w:rPr>
          <w:sz w:val="28"/>
        </w:rPr>
        <w:lastRenderedPageBreak/>
        <w:t xml:space="preserve">22 сентября 2016 года № 452, от 26 сентября 2017 года № 890, от 30 октября 2018 года № 1434, от 3 марта 2020 года </w:t>
      </w:r>
      <w:hyperlink r:id="rId9" w:history="1">
        <w:r>
          <w:rPr>
            <w:sz w:val="28"/>
          </w:rPr>
          <w:t>№ 2040</w:t>
        </w:r>
      </w:hyperlink>
      <w:r>
        <w:rPr>
          <w:sz w:val="28"/>
        </w:rPr>
        <w:t xml:space="preserve">, от 25 марта 2021 года </w:t>
      </w:r>
      <w:hyperlink r:id="rId10" w:history="1">
        <w:r>
          <w:rPr>
            <w:sz w:val="28"/>
          </w:rPr>
          <w:t>№ 171</w:t>
        </w:r>
      </w:hyperlink>
      <w:r>
        <w:rPr>
          <w:sz w:val="28"/>
        </w:rPr>
        <w:t xml:space="preserve">, от 8 июня 2021 года № 326, от 17 мая 2022 года № 746, от 25 октября 2022 года № 955, от 17 января 2023 года № 1045, от 26 октября 2023 года № 1411, от                  19 декабря 2023 года № 1466), следующие изменения: </w:t>
      </w:r>
    </w:p>
    <w:p w:rsidR="00D87937" w:rsidRDefault="00D4743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 В разделе II «Правовое положение муниципального служащего»:</w:t>
      </w:r>
    </w:p>
    <w:p w:rsidR="00D87937" w:rsidRDefault="00D4743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1.1.1. Пункт 2.2 дополнить подпунктом 12 следующего содержания:</w:t>
      </w:r>
    </w:p>
    <w:p w:rsidR="00D87937" w:rsidRDefault="00D4743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«12) 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 № 25–ФЗ «О муниципальной службе в Российской Федерации» (далее – анкета), за исключением сведений, изменение которых произошло по решению представителя нанимателя (работодателя);».</w:t>
      </w:r>
    </w:p>
    <w:p w:rsidR="00D87937" w:rsidRDefault="00D4743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1.1.2. Подпункт 8 пункта 2.4 изложить в следующей редакции:</w:t>
      </w:r>
    </w:p>
    <w:p w:rsidR="00D87937" w:rsidRDefault="00D4743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«8) 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:rsidR="00D87937" w:rsidRDefault="00D4743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 Дополнить Положение разделом II.4 «Представление анкеты, сообщение об изменении сведений, содержащихся в анкете, и проверка таких сведений» следующего содержания:</w:t>
      </w:r>
    </w:p>
    <w:p w:rsidR="00D87937" w:rsidRDefault="00D47435">
      <w:pPr>
        <w:widowControl/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«II.4. Представление анкеты, сообщение об изменении сведений, содержащихся в анкете, и проверка таких сведений</w:t>
      </w:r>
    </w:p>
    <w:p w:rsidR="00D87937" w:rsidRDefault="00D87937">
      <w:pPr>
        <w:widowControl/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D87937" w:rsidRDefault="00D47435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Гражданин при поступлении на муниципальную службу представляет анкету по форме, установленной Президентом Российской Федерации.</w:t>
      </w:r>
    </w:p>
    <w:p w:rsidR="00D87937" w:rsidRDefault="00D47435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 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D87937" w:rsidRDefault="00D47435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систем.».</w:t>
      </w:r>
    </w:p>
    <w:p w:rsidR="00D87937" w:rsidRDefault="00D4743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1.3. Приложение № 1 «Реестр должностей муниципальной службы муниципального образования города Чебоксары» изложить в редакции приложения к настоящему решению.</w:t>
      </w:r>
    </w:p>
    <w:p w:rsidR="00D87937" w:rsidRDefault="00D474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опубликования, за исключением пунктов 1.1 и 1.2, которые вступают в силу с 12 марта 2024 года, но не ранее его официального опубликования.</w:t>
      </w:r>
    </w:p>
    <w:p w:rsidR="00D87937" w:rsidRDefault="00D474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</w:t>
      </w:r>
      <w:proofErr w:type="spellStart"/>
      <w:r>
        <w:rPr>
          <w:sz w:val="28"/>
          <w:szCs w:val="28"/>
        </w:rPr>
        <w:t>Евсюкова</w:t>
      </w:r>
      <w:proofErr w:type="spellEnd"/>
      <w:r>
        <w:rPr>
          <w:sz w:val="28"/>
          <w:szCs w:val="28"/>
        </w:rPr>
        <w:t>).</w:t>
      </w:r>
    </w:p>
    <w:p w:rsidR="00D87937" w:rsidRDefault="00D87937">
      <w:pPr>
        <w:ind w:firstLine="709"/>
        <w:jc w:val="both"/>
        <w:rPr>
          <w:sz w:val="28"/>
          <w:szCs w:val="28"/>
        </w:rPr>
      </w:pPr>
    </w:p>
    <w:p w:rsidR="00D87937" w:rsidRDefault="00D87937">
      <w:pPr>
        <w:pStyle w:val="31"/>
        <w:spacing w:after="0"/>
        <w:ind w:firstLine="709"/>
        <w:jc w:val="both"/>
        <w:rPr>
          <w:sz w:val="28"/>
          <w:szCs w:val="28"/>
        </w:rPr>
      </w:pPr>
    </w:p>
    <w:tbl>
      <w:tblPr>
        <w:tblStyle w:val="af0"/>
        <w:tblW w:w="10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5184"/>
        <w:gridCol w:w="965"/>
      </w:tblGrid>
      <w:tr w:rsidR="00D87937" w:rsidTr="0022492D">
        <w:tc>
          <w:tcPr>
            <w:tcW w:w="4314" w:type="dxa"/>
          </w:tcPr>
          <w:p w:rsidR="00D87937" w:rsidRDefault="00D47435">
            <w:pPr>
              <w:autoSpaceDE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184" w:type="dxa"/>
          </w:tcPr>
          <w:p w:rsidR="00D87937" w:rsidRDefault="0022492D">
            <w:pPr>
              <w:autoSpaceDE w:val="0"/>
              <w:ind w:left="823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</w:t>
            </w:r>
            <w:r w:rsidR="00D4743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 w:rsidR="00D87937" w:rsidRDefault="00D87937">
            <w:pPr>
              <w:pStyle w:val="ad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D87937" w:rsidRDefault="00D8793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D87937" w:rsidRDefault="00D87937">
            <w:pPr>
              <w:autoSpaceDE w:val="0"/>
              <w:contextualSpacing/>
              <w:jc w:val="both"/>
              <w:rPr>
                <w:rStyle w:val="af2"/>
                <w:b w:val="0"/>
                <w:bCs/>
                <w:sz w:val="28"/>
                <w:szCs w:val="28"/>
                <w:lang w:eastAsia="en-US"/>
              </w:rPr>
            </w:pPr>
          </w:p>
        </w:tc>
      </w:tr>
      <w:tr w:rsidR="00D87937" w:rsidTr="0022492D">
        <w:tc>
          <w:tcPr>
            <w:tcW w:w="4314" w:type="dxa"/>
          </w:tcPr>
          <w:p w:rsidR="00D87937" w:rsidRDefault="00D47435">
            <w:pPr>
              <w:autoSpaceDE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_______________Е.Н.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Кадышев</w:t>
            </w:r>
            <w:proofErr w:type="spellEnd"/>
          </w:p>
        </w:tc>
        <w:tc>
          <w:tcPr>
            <w:tcW w:w="5184" w:type="dxa"/>
            <w:hideMark/>
          </w:tcPr>
          <w:p w:rsidR="00D87937" w:rsidRDefault="0022492D">
            <w:pPr>
              <w:pStyle w:val="ad"/>
              <w:ind w:left="1390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</w:t>
            </w:r>
            <w:r w:rsidR="00D4743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65" w:type="dxa"/>
          </w:tcPr>
          <w:p w:rsidR="00D87937" w:rsidRDefault="00D87937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</w:tbl>
    <w:p w:rsidR="00D87937" w:rsidRDefault="0022492D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7937" w:rsidRDefault="00D47435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7937" w:rsidRDefault="00562645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hyperlink r:id="rId11" w:history="1">
        <w:r w:rsidR="00D47435">
          <w:rPr>
            <w:sz w:val="28"/>
            <w:szCs w:val="28"/>
          </w:rPr>
          <w:t xml:space="preserve">Приложение </w:t>
        </w:r>
      </w:hyperlink>
    </w:p>
    <w:p w:rsidR="00D87937" w:rsidRDefault="00D47435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Чебоксарского городского </w:t>
      </w:r>
      <w:r w:rsidR="00562645">
        <w:rPr>
          <w:sz w:val="28"/>
          <w:szCs w:val="28"/>
        </w:rPr>
        <w:t>Собрания депутатов от «5</w:t>
      </w:r>
      <w:r>
        <w:rPr>
          <w:sz w:val="28"/>
          <w:szCs w:val="28"/>
        </w:rPr>
        <w:t>»</w:t>
      </w:r>
      <w:r w:rsidR="00562645">
        <w:rPr>
          <w:sz w:val="28"/>
          <w:szCs w:val="28"/>
        </w:rPr>
        <w:t xml:space="preserve"> марта 2024 года </w:t>
      </w:r>
      <w:r>
        <w:rPr>
          <w:sz w:val="28"/>
          <w:szCs w:val="28"/>
        </w:rPr>
        <w:t>№</w:t>
      </w:r>
      <w:r w:rsidR="00562645">
        <w:rPr>
          <w:sz w:val="28"/>
          <w:szCs w:val="28"/>
        </w:rPr>
        <w:t xml:space="preserve"> 1528</w:t>
      </w:r>
      <w:bookmarkStart w:id="0" w:name="_GoBack"/>
      <w:bookmarkEnd w:id="0"/>
    </w:p>
    <w:p w:rsidR="00562645" w:rsidRDefault="00562645">
      <w:pPr>
        <w:autoSpaceDE w:val="0"/>
        <w:autoSpaceDN w:val="0"/>
        <w:adjustRightInd w:val="0"/>
        <w:ind w:left="5387"/>
        <w:jc w:val="both"/>
      </w:pPr>
    </w:p>
    <w:p w:rsidR="00D87937" w:rsidRDefault="00D87937">
      <w:pPr>
        <w:autoSpaceDE w:val="0"/>
        <w:autoSpaceDN w:val="0"/>
        <w:adjustRightInd w:val="0"/>
        <w:ind w:left="5387"/>
        <w:jc w:val="both"/>
      </w:pPr>
    </w:p>
    <w:p w:rsidR="00D87937" w:rsidRDefault="00562645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hyperlink r:id="rId12" w:history="1">
        <w:r w:rsidR="00D47435">
          <w:rPr>
            <w:sz w:val="28"/>
            <w:szCs w:val="28"/>
          </w:rPr>
          <w:t>Приложение № 1</w:t>
        </w:r>
      </w:hyperlink>
    </w:p>
    <w:p w:rsidR="00D87937" w:rsidRDefault="00D47435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муниципальной службе муниципального образования города Чебоксары – столицы Чувашской Республики</w:t>
      </w:r>
    </w:p>
    <w:p w:rsidR="00D87937" w:rsidRDefault="00D879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937" w:rsidRDefault="00D879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937" w:rsidRDefault="00D474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D87937" w:rsidRDefault="00D474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ДОЛЖНОСТЕЙ МУНИЦИПАЛЬНОЙ СЛУЖБЫ МУНИЦИПАЛЬНОГО ОБРАЗОВАНИЯ</w:t>
      </w:r>
    </w:p>
    <w:p w:rsidR="00D87937" w:rsidRDefault="00D474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ЧЕБОКСАРЫ </w:t>
      </w:r>
      <w:hyperlink w:anchor="Par118" w:history="1">
        <w:r>
          <w:rPr>
            <w:color w:val="0000FF"/>
            <w:sz w:val="28"/>
            <w:szCs w:val="28"/>
          </w:rPr>
          <w:t>&lt;*&gt;</w:t>
        </w:r>
      </w:hyperlink>
    </w:p>
    <w:p w:rsidR="00D87937" w:rsidRDefault="00D879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473"/>
      </w:tblGrid>
      <w:tr w:rsidR="00D87937">
        <w:trPr>
          <w:trHeight w:val="54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(код)</w:t>
            </w:r>
            <w:r>
              <w:t xml:space="preserve"> </w:t>
            </w:r>
            <w:hyperlink w:anchor="Par118" w:history="1">
              <w:r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I. Перечень должностей в исполнительно-распорядительных </w:t>
            </w:r>
          </w:p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органах местного самоуправления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Должности руководителей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группа должностей</w:t>
            </w:r>
          </w:p>
        </w:tc>
      </w:tr>
      <w:tr w:rsidR="00D87937"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города 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1-1-1-03</w:t>
            </w:r>
          </w:p>
        </w:tc>
      </w:tr>
      <w:tr w:rsidR="00D87937"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управы 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1-1-1-04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группа должностей</w:t>
            </w:r>
          </w:p>
        </w:tc>
      </w:tr>
      <w:tr w:rsidR="00D87937"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1-1-2-01</w:t>
            </w:r>
          </w:p>
        </w:tc>
      </w:tr>
      <w:tr w:rsidR="00D87937"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управы городского округа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1-1-2-04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группа должностей</w:t>
            </w:r>
          </w:p>
        </w:tc>
      </w:tr>
      <w:tr w:rsidR="00D87937"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1-1-3-01</w:t>
            </w:r>
          </w:p>
        </w:tc>
      </w:tr>
      <w:tr w:rsidR="00D87937"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Квартальный уполномоченный 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1-1-3-02.1</w:t>
            </w:r>
          </w:p>
        </w:tc>
      </w:tr>
      <w:tr w:rsidR="00D87937"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1-1-3-03</w:t>
            </w:r>
          </w:p>
        </w:tc>
      </w:tr>
      <w:tr w:rsidR="00D87937"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1-1-3-04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Должности специалистов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группа должностей</w:t>
            </w:r>
          </w:p>
        </w:tc>
      </w:tr>
      <w:tr w:rsidR="00D87937"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Советник главы администрации города по работе с молодежью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1-2-3-01</w:t>
            </w:r>
          </w:p>
        </w:tc>
      </w:tr>
      <w:tr w:rsidR="00D87937"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1-2-3-02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должностей</w:t>
            </w:r>
          </w:p>
        </w:tc>
      </w:tr>
      <w:tr w:rsidR="00D87937"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1-2-4-01</w:t>
            </w:r>
          </w:p>
        </w:tc>
      </w:tr>
      <w:tr w:rsidR="00D87937"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Пресс-секретарь главы администрации города 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1-2-4-02</w:t>
            </w:r>
          </w:p>
        </w:tc>
      </w:tr>
      <w:tr w:rsidR="00D87937"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1-2-4-03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 должностей</w:t>
            </w:r>
          </w:p>
        </w:tc>
      </w:tr>
      <w:tr w:rsidR="00D87937"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1-2-5-01</w:t>
            </w:r>
          </w:p>
        </w:tc>
      </w:tr>
      <w:tr w:rsidR="00D87937"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1-2-5-02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II. Перечень должностей в Аппарате </w:t>
            </w:r>
          </w:p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Чебоксарского городского Собрания депутатов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Должности руководителей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группа должностей</w:t>
            </w:r>
          </w:p>
        </w:tc>
      </w:tr>
      <w:tr w:rsidR="00D8793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Чебоксарского городского Собрания депутатов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2-1-2-01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группа должностей</w:t>
            </w:r>
          </w:p>
        </w:tc>
      </w:tr>
      <w:tr w:rsidR="00D8793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2-1-3-01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Должности специалистов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должностей</w:t>
            </w:r>
          </w:p>
        </w:tc>
      </w:tr>
      <w:tr w:rsidR="00D87937"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2-2-4-01</w:t>
            </w:r>
          </w:p>
        </w:tc>
      </w:tr>
      <w:tr w:rsidR="00D87937"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2-2-4-02</w:t>
            </w:r>
          </w:p>
        </w:tc>
      </w:tr>
      <w:tr w:rsidR="00D8793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 должностей</w:t>
            </w:r>
          </w:p>
        </w:tc>
      </w:tr>
      <w:tr w:rsidR="00D87937"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2-2-5-01</w:t>
            </w:r>
          </w:p>
        </w:tc>
      </w:tr>
      <w:tr w:rsidR="00D87937"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37" w:rsidRDefault="00D47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2-2-5-02</w:t>
            </w:r>
          </w:p>
        </w:tc>
      </w:tr>
    </w:tbl>
    <w:p w:rsidR="00D87937" w:rsidRDefault="00D474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D87937" w:rsidRDefault="00D8793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18"/>
      <w:bookmarkEnd w:id="1"/>
    </w:p>
    <w:p w:rsidR="00D87937" w:rsidRDefault="00D47435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>&lt;*&gt; Допускается двойное наименование должности муниципальной службы в том случае, если заместитель руководителя является руководителем иного структурного подразделения либо лицо, замещающее эту должность, является главным бухгалтером или его заместителем.</w:t>
      </w:r>
    </w:p>
    <w:p w:rsidR="00D87937" w:rsidRDefault="00D47435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2"/>
          <w:szCs w:val="28"/>
          <w:lang w:eastAsia="en-US"/>
        </w:rPr>
        <w:t xml:space="preserve">&lt;**&gt; Регистрационный номер (код) согласно Закону Чувашской Республики от 5 октября 2007 года № 62 «О муниципальной службе в Чувашской Республике». </w:t>
      </w:r>
    </w:p>
    <w:sectPr w:rsidR="00D87937" w:rsidSect="00D47435">
      <w:headerReference w:type="default" r:id="rId13"/>
      <w:headerReference w:type="first" r:id="rId14"/>
      <w:pgSz w:w="11906" w:h="16838"/>
      <w:pgMar w:top="678" w:right="851" w:bottom="709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37" w:rsidRDefault="00D47435">
      <w:r>
        <w:separator/>
      </w:r>
    </w:p>
  </w:endnote>
  <w:endnote w:type="continuationSeparator" w:id="0">
    <w:p w:rsidR="00D87937" w:rsidRDefault="00D4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37" w:rsidRDefault="00D47435">
      <w:r>
        <w:separator/>
      </w:r>
    </w:p>
  </w:footnote>
  <w:footnote w:type="continuationSeparator" w:id="0">
    <w:p w:rsidR="00D87937" w:rsidRDefault="00D47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645664"/>
      <w:docPartObj>
        <w:docPartGallery w:val="Page Numbers (Top of Page)"/>
        <w:docPartUnique/>
      </w:docPartObj>
    </w:sdtPr>
    <w:sdtEndPr/>
    <w:sdtContent>
      <w:p w:rsidR="00D47435" w:rsidRDefault="00D474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645">
          <w:rPr>
            <w:noProof/>
          </w:rPr>
          <w:t>4</w:t>
        </w:r>
        <w:r>
          <w:fldChar w:fldCharType="end"/>
        </w:r>
      </w:p>
    </w:sdtContent>
  </w:sdt>
  <w:p w:rsidR="00D87937" w:rsidRDefault="00D8793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37" w:rsidRDefault="00D8793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37"/>
    <w:rsid w:val="0022492D"/>
    <w:rsid w:val="00562645"/>
    <w:rsid w:val="00D47435"/>
    <w:rsid w:val="00D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F88D3-13AB-4BF2-9B15-3FBDD8EE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">
    <w:name w:val="blk"/>
    <w:basedOn w:val="a0"/>
  </w:style>
  <w:style w:type="character" w:customStyle="1" w:styleId="af2">
    <w:name w:val="Цветовое выделение"/>
    <w:uiPriority w:val="99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8524AAC7155904EEC0F1F08D0FA4D504BA3AE767F4A5B429D32F9D01DED855A84BAED9CCBBCA30E449E95596BC5FEDDE40BDCE6A97B636D6A2DDx3u9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8524AAC7155904EEC0F1F08D0FA4D504BA3AE767F4A5B429D32F9D01DED855A84BAED9CCBBCA30E449E95596BC5FEDDE40BDCE6A97B636D6A2DDx3u9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4CC4126AFD8A9C44FDBF6EA87A2A4E33B83495F64E4340DA01EABC7BDB04B141B24907133B7D4199C37F763191259A2B2A38D7B61A7B5080381DC549R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CC4126AFD8A9C44FDBF6EA87A2A4E33B83495F64F4746D50DEABC7BDB04B141B24907133B7D4199C37F763191259A2B2A38D7B61A7B5080381DC549R4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97C9-4B96-4CA7-B907-EE3915C9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Харитонов Е.В.</cp:lastModifiedBy>
  <cp:revision>9</cp:revision>
  <cp:lastPrinted>2024-02-29T14:24:00Z</cp:lastPrinted>
  <dcterms:created xsi:type="dcterms:W3CDTF">2024-01-17T12:01:00Z</dcterms:created>
  <dcterms:modified xsi:type="dcterms:W3CDTF">2024-03-14T06:45:00Z</dcterms:modified>
</cp:coreProperties>
</file>