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fontTable.xml" ContentType="application/vnd.openxmlformats-officedocument.wordprocessingml.fontTable+xml"/>
  <Override PartName="/word/media/image2.wmf" ContentType="image/x-wmf"/>
  <Override PartName="/word/media/image1.wmf" ContentType="image/x-wmf"/>
  <Override PartName="/word/media/image3.wmf" ContentType="image/x-wmf"/>
  <Override PartName="/word/media/image4.wmf" ContentType="image/x-wmf"/>
  <Override PartName="/word/media/image6.png" ContentType="image/png"/>
  <Override PartName="/word/media/image5.png" ContentType="image/png"/>
  <Override PartName="/word/styles.xml" ContentType="application/vnd.openxmlformats-officedocument.wordprocessingml.styles+xml"/>
  <Override PartName="/word/embeddings/oleObject2.sldx" ContentType="application/vnd.openxmlformats-officedocument.presentationml.slide"/>
  <Override PartName="/word/embeddings/_____Microsoft_Excel5.xlsx" ContentType="application/vnd.openxmlformats-officedocument.spreadsheetml.sheet"/>
  <Override PartName="/word/embeddings/oleObject1.sldx" ContentType="application/vnd.openxmlformats-officedocument.presentationml.slide"/>
  <Override PartName="/word/embeddings/oleObject4.sldx" ContentType="application/vnd.openxmlformats-officedocument.presentationml.slide"/>
  <Override PartName="/word/embeddings/oleObject3.sldx" ContentType="application/vnd.openxmlformats-officedocument.presentationml.slide"/>
  <Override PartName="/word/theme/theme1.xml" ContentType="application/vnd.openxmlformats-officedocument.theme+xml"/>
  <Override PartName="/word/settings.xml" ContentType="application/vnd.openxmlformats-officedocument.wordprocessingml.settings+xml"/>
  <Override PartName="/word/document.xml" ContentType="application/vnd.openxmlformats-officedocument.wordprocessingml.document.main+xml"/>
  <Override PartName="/word/charts/_rels/chart1.xml.rels" ContentType="application/vnd.openxmlformats-package.relationships+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567"/>
        <w:jc w:val="center"/>
        <w:rPr>
          <w:b/>
          <w:sz w:val="24"/>
          <w:szCs w:val="24"/>
        </w:rPr>
      </w:pPr>
      <w:r>
        <w:rPr>
          <w:b/>
          <w:sz w:val="24"/>
          <w:szCs w:val="24"/>
        </w:rPr>
        <w:t xml:space="preserve">Отчет по подведению итогов работы </w:t>
      </w:r>
    </w:p>
    <w:p>
      <w:pPr>
        <w:pStyle w:val="Normal"/>
        <w:ind w:firstLine="567"/>
        <w:jc w:val="center"/>
        <w:rPr>
          <w:b/>
          <w:sz w:val="24"/>
          <w:szCs w:val="24"/>
        </w:rPr>
      </w:pPr>
      <w:r>
        <w:rPr>
          <w:b/>
          <w:sz w:val="24"/>
          <w:szCs w:val="24"/>
        </w:rPr>
        <w:t>Государственной службы Чувашской Республики по делам юстиции за 2024 год</w:t>
      </w:r>
    </w:p>
    <w:p>
      <w:pPr>
        <w:pStyle w:val="Normal"/>
        <w:spacing w:lineRule="auto" w:line="276"/>
        <w:jc w:val="both"/>
        <w:rPr>
          <w:b/>
          <w:sz w:val="24"/>
          <w:szCs w:val="24"/>
        </w:rPr>
      </w:pPr>
      <w:r>
        <w:rPr>
          <w:b/>
          <w:sz w:val="24"/>
          <w:szCs w:val="24"/>
        </w:rPr>
      </w:r>
    </w:p>
    <w:p>
      <w:pPr>
        <w:pStyle w:val="Normal"/>
        <w:spacing w:lineRule="auto" w:line="276"/>
        <w:ind w:firstLine="567"/>
        <w:jc w:val="center"/>
        <w:rPr>
          <w:sz w:val="24"/>
          <w:szCs w:val="24"/>
        </w:rPr>
      </w:pPr>
      <w:r>
        <w:rPr>
          <w:b/>
          <w:sz w:val="24"/>
          <w:szCs w:val="24"/>
        </w:rPr>
        <w:t>Бесплатная юридическая помощь</w:t>
      </w:r>
    </w:p>
    <w:p>
      <w:pPr>
        <w:pStyle w:val="Normal"/>
        <w:ind w:firstLine="709"/>
        <w:jc w:val="both"/>
        <w:rPr>
          <w:sz w:val="24"/>
          <w:szCs w:val="24"/>
        </w:rPr>
      </w:pPr>
      <w:r>
        <w:rPr>
          <w:sz w:val="24"/>
          <w:szCs w:val="24"/>
        </w:rPr>
        <w:t xml:space="preserve">С 2012 года Государственной службой Чувашской Республики по делам юстиции (далее – Госслужба) осуществляются полномочия по организации оказания гражданам бесплатной юридической помощи (далее также – БЮП). </w:t>
      </w:r>
      <w:r>
        <w:rPr>
          <w:color w:val="000000"/>
          <w:sz w:val="24"/>
          <w:szCs w:val="24"/>
        </w:rPr>
        <w:t xml:space="preserve">С начала реализации Закона Чувашской Республики «О бесплатной юридической помощи в Чувашской Республике» такую помощь получили более </w:t>
      </w:r>
      <w:r>
        <w:rPr>
          <w:color w:val="000000"/>
          <w:sz w:val="24"/>
          <w:szCs w:val="24"/>
          <w:shd w:fill="FFFFFF" w:val="clear"/>
        </w:rPr>
        <w:t>600</w:t>
      </w:r>
      <w:r>
        <w:rPr>
          <w:b/>
          <w:color w:val="000000"/>
          <w:sz w:val="24"/>
          <w:szCs w:val="24"/>
          <w:shd w:fill="FFFFFF" w:val="clear"/>
        </w:rPr>
        <w:t xml:space="preserve"> </w:t>
      </w:r>
      <w:r>
        <w:rPr>
          <w:color w:val="000000"/>
          <w:sz w:val="24"/>
          <w:szCs w:val="24"/>
          <w:shd w:fill="FFFFFF" w:val="clear"/>
        </w:rPr>
        <w:t>тыс.</w:t>
      </w:r>
      <w:r>
        <w:rPr>
          <w:color w:val="000000"/>
          <w:sz w:val="24"/>
          <w:szCs w:val="24"/>
        </w:rPr>
        <w:t xml:space="preserve"> граждан, в 2024 году более 45 тыс. граждан.</w:t>
      </w:r>
      <w:r>
        <w:rPr>
          <w:sz w:val="24"/>
          <w:szCs w:val="24"/>
        </w:rPr>
        <w:t xml:space="preserve"> </w:t>
      </w:r>
    </w:p>
    <w:p>
      <w:pPr>
        <w:pStyle w:val="Normal"/>
        <w:ind w:firstLine="709"/>
        <w:jc w:val="both"/>
        <w:rPr>
          <w:sz w:val="24"/>
          <w:szCs w:val="24"/>
        </w:rPr>
      </w:pPr>
      <w:r>
        <w:rPr>
          <w:color w:val="000000"/>
          <w:sz w:val="24"/>
          <w:szCs w:val="24"/>
        </w:rPr>
        <w:t>Чувашия стала одним из первых регионов, где приняли закон о бесплатной юридической помощи, и где в 2022 году на законодательном уровне закрепили право участников специальной военной операции и членов их семей на бесплатную юридическую помощь.  89 участникам СВО и членам их семей адвокатами в 2024 году   оказана БЮП по 144 случаям, за оказание такой помощи из республиканского бюджета выплачено 136,6 тыс.руб. Граждане обращались по следующим вопросам: предоставление мер социальной поддержки, оказание гражданам государственной социальной помощи, предоставление субсидий на оплату жилого помещения и коммунальных услуг и т.д.</w:t>
      </w:r>
    </w:p>
    <w:p>
      <w:pPr>
        <w:pStyle w:val="Normal"/>
        <w:ind w:firstLine="709"/>
        <w:jc w:val="both"/>
        <w:rPr>
          <w:sz w:val="24"/>
          <w:szCs w:val="24"/>
        </w:rPr>
      </w:pPr>
      <w:r>
        <w:rPr>
          <w:color w:val="000000"/>
          <w:sz w:val="24"/>
          <w:szCs w:val="24"/>
        </w:rPr>
        <w:t xml:space="preserve">В настоящее время право на получение БЮП также имеют многодетные семьи, инвалиды 1 и 2 групп, дети-инвалиды, дети-сироты, малоимущие граждане, дети войны, ветераны ВОВ, боевых действий, участники СВО и члены их семей и т.д. Каждый год проводится анализ по расширению категории граждан, по перечню вопросов по которым эти граждане имеют право на получение БЮП. На сегодняшний день 58 категорий граждан могут получить бесплатную юридическую помощь.  Всего такое право в республике имеют более 236 тысяч человек.  </w:t>
      </w:r>
    </w:p>
    <w:p>
      <w:pPr>
        <w:pStyle w:val="Normal"/>
        <w:ind w:firstLine="709"/>
        <w:jc w:val="both"/>
        <w:rPr>
          <w:color w:val="000000"/>
          <w:sz w:val="24"/>
          <w:szCs w:val="24"/>
        </w:rPr>
      </w:pPr>
      <w:r>
        <w:rPr>
          <w:color w:val="000000"/>
          <w:sz w:val="24"/>
          <w:szCs w:val="24"/>
          <w:shd w:fill="FFFFFF" w:val="clear"/>
        </w:rPr>
        <w:t xml:space="preserve">Самой многочисленной категорией граждан, получивших БЮП, являются инвалиды </w:t>
      </w:r>
      <w:r>
        <w:rPr>
          <w:color w:val="000000"/>
          <w:sz w:val="24"/>
          <w:szCs w:val="24"/>
          <w:shd w:fill="FFFFFF" w:val="clear"/>
          <w:lang w:val="en-US"/>
        </w:rPr>
        <w:t>I</w:t>
      </w:r>
      <w:r>
        <w:rPr>
          <w:color w:val="000000"/>
          <w:sz w:val="24"/>
          <w:szCs w:val="24"/>
          <w:shd w:fill="FFFFFF" w:val="clear"/>
        </w:rPr>
        <w:t xml:space="preserve"> и </w:t>
      </w:r>
      <w:r>
        <w:rPr>
          <w:color w:val="000000"/>
          <w:sz w:val="24"/>
          <w:szCs w:val="24"/>
          <w:shd w:fill="FFFFFF" w:val="clear"/>
          <w:lang w:val="en-US"/>
        </w:rPr>
        <w:t>II</w:t>
      </w:r>
      <w:r>
        <w:rPr>
          <w:color w:val="000000"/>
          <w:sz w:val="24"/>
          <w:szCs w:val="24"/>
          <w:shd w:fill="FFFFFF" w:val="clear"/>
        </w:rPr>
        <w:t xml:space="preserve"> группы, представители детей инвалидов, детей сирот, малоимущие граждане, многодетные семьи и др. </w:t>
      </w:r>
      <w:r>
        <w:rPr>
          <w:color w:val="000000"/>
          <w:sz w:val="24"/>
          <w:szCs w:val="24"/>
        </w:rPr>
        <w:t>Основные вопросы, интересующие граждан - жилищные, пенсионные, вопросы ЖКХ, взыскания алиментов, предоставления мер социальной поддержки.</w:t>
      </w:r>
    </w:p>
    <w:p>
      <w:pPr>
        <w:pStyle w:val="Normal"/>
        <w:ind w:hanging="142"/>
        <w:jc w:val="both"/>
        <w:rPr>
          <w:sz w:val="24"/>
          <w:szCs w:val="24"/>
        </w:rPr>
      </w:pPr>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80pt;height:270pt;mso-wrap-distance-right:0pt" filled="f" o:ole="">
            <v:imagedata r:id="rId3" o:title=""/>
          </v:shape>
          <o:OLEObject Type="Embed" ProgID="PowerPoint.Slide.12" ShapeID="ole_rId2" DrawAspect="Content" ObjectID="_1076097241" r:id="rId2"/>
        </w:object>
      </w:r>
      <w:r>
        <w:rPr>
          <w:color w:val="000000"/>
          <w:sz w:val="24"/>
          <w:szCs w:val="24"/>
        </w:rPr>
        <w:tab/>
        <w:t xml:space="preserve">За получением БЮП граждане могут обращаться в исполнительные органы Чувашской Республики и подведомственные им организации; нотариусам, которые </w:t>
      </w:r>
      <w:r>
        <w:rPr>
          <w:bCs/>
          <w:color w:val="000000"/>
          <w:sz w:val="24"/>
          <w:szCs w:val="24"/>
        </w:rPr>
        <w:t>исходя из своих полномочий оказывают бесплатные консультации по вопросам совершения нотариальных действий;</w:t>
      </w:r>
      <w:r>
        <w:rPr>
          <w:sz w:val="24"/>
          <w:szCs w:val="24"/>
        </w:rPr>
        <w:t xml:space="preserve"> </w:t>
      </w:r>
      <w:r>
        <w:rPr>
          <w:bCs/>
          <w:color w:val="000000"/>
          <w:sz w:val="24"/>
          <w:szCs w:val="24"/>
        </w:rPr>
        <w:t xml:space="preserve">КУ «Центр предоставления мер социальной поддержки» и его отделы социальной защиты в муниципальных округах и городах; </w:t>
      </w:r>
      <w:r>
        <w:rPr>
          <w:color w:val="000000"/>
          <w:sz w:val="24"/>
          <w:szCs w:val="24"/>
        </w:rPr>
        <w:t>адвокатам.</w:t>
      </w:r>
    </w:p>
    <w:p>
      <w:pPr>
        <w:pStyle w:val="Normal"/>
        <w:ind w:firstLine="709"/>
        <w:jc w:val="both"/>
        <w:rPr>
          <w:sz w:val="24"/>
          <w:szCs w:val="24"/>
        </w:rPr>
      </w:pPr>
      <w:r>
        <w:rPr>
          <w:color w:val="000000"/>
          <w:sz w:val="24"/>
          <w:szCs w:val="24"/>
        </w:rPr>
        <w:t>Бесплатная юридическая помощь также оказывается в рамках негосударственной системы бесплатной юридической помощи:</w:t>
      </w:r>
      <w:r>
        <w:rPr>
          <w:sz w:val="24"/>
          <w:szCs w:val="24"/>
        </w:rPr>
        <w:t xml:space="preserve"> </w:t>
      </w:r>
      <w:r>
        <w:rPr>
          <w:color w:val="000000"/>
          <w:sz w:val="24"/>
          <w:szCs w:val="24"/>
        </w:rPr>
        <w:t>3 юридическими клиниками, 5 негосударственными центрами.</w:t>
      </w:r>
    </w:p>
    <w:p>
      <w:pPr>
        <w:pStyle w:val="Normal"/>
        <w:ind w:firstLine="709"/>
        <w:jc w:val="both"/>
        <w:rPr>
          <w:sz w:val="24"/>
          <w:szCs w:val="24"/>
        </w:rPr>
      </w:pPr>
      <w:r>
        <w:rPr>
          <w:color w:val="000000"/>
          <w:sz w:val="24"/>
          <w:szCs w:val="24"/>
        </w:rPr>
        <w:t xml:space="preserve">За получением БЮП можно обратиться в социально ориентированные некоммерческие организации - исполнители общественно полезных услуг, оказывающие содействие в предоставлении бесплатной юридической помощи в Чувашской Республике (СОНКО). За оказание содействия в предоставлении БЮП в 2024 г. из республиканского бюджета Чувашской Республики СОНКО </w:t>
      </w:r>
      <w:r>
        <w:rPr>
          <w:sz w:val="24"/>
          <w:szCs w:val="24"/>
        </w:rPr>
        <w:t>выделено 406,7  тыс. руб.</w:t>
      </w:r>
    </w:p>
    <w:p>
      <w:pPr>
        <w:pStyle w:val="Normal"/>
        <w:ind w:firstLine="709"/>
        <w:jc w:val="both"/>
        <w:rPr>
          <w:sz w:val="24"/>
          <w:szCs w:val="24"/>
        </w:rPr>
      </w:pPr>
      <w:r>
        <w:rPr>
          <w:color w:val="000000"/>
          <w:sz w:val="24"/>
          <w:szCs w:val="24"/>
        </w:rPr>
        <w:t>Сегодня 113 адвокатов задействованы в деятельности государственной системы бесплатной юридической помощи. Оплата труда адвокатов осуществляется за счет средств республиканского бюджета, с начала реализации закона о БЮП им из бюджета оплачено более 9 млн. руб., в 2024 году — 682, 4 тыс. руб.  В 2024 году адвокаты оказали бесплатную юридическую помощь 226 гражданам по более 400 случаям .</w:t>
      </w:r>
    </w:p>
    <w:p>
      <w:pPr>
        <w:pStyle w:val="12"/>
        <w:spacing w:lineRule="auto" w:line="240" w:before="0" w:after="0"/>
        <w:ind w:firstLine="709"/>
        <w:jc w:val="both"/>
        <w:rPr>
          <w:sz w:val="24"/>
          <w:szCs w:val="24"/>
        </w:rPr>
      </w:pPr>
      <w:r>
        <w:rPr>
          <w:sz w:val="24"/>
          <w:szCs w:val="24"/>
        </w:rPr>
        <w:t xml:space="preserve">Если заявитель не относится к категории граждан, имеющим право на получение БЮП, либо его вопрос не относится к случаям, по которым оказывается БЮП, то такая помощь может быть оказана в экстренных случаях гражданам, оказавшимся в трудной жизненной ситуации. </w:t>
      </w:r>
      <w:r>
        <w:rPr>
          <w:rStyle w:val="1"/>
          <w:b w:val="false"/>
          <w:sz w:val="24"/>
          <w:szCs w:val="24"/>
        </w:rPr>
        <w:t>В 2024 г. такую помощь получили более 40 граждан.</w:t>
      </w:r>
    </w:p>
    <w:p>
      <w:pPr>
        <w:pStyle w:val="Normal"/>
        <w:rPr>
          <w:sz w:val="24"/>
          <w:szCs w:val="24"/>
        </w:rPr>
      </w:pPr>
      <w:r>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80pt;height:270pt;mso-wrap-distance-right:0pt" filled="f" o:ole="">
            <v:imagedata r:id="rId5" o:title=""/>
          </v:shape>
          <o:OLEObject Type="Embed" ProgID="PowerPoint.Slide.12" ShapeID="ole_rId4" DrawAspect="Content" ObjectID="_1663871923" r:id="rId4"/>
        </w:object>
      </w:r>
    </w:p>
    <w:p>
      <w:pPr>
        <w:pStyle w:val="Normal"/>
        <w:ind w:firstLine="567"/>
        <w:jc w:val="center"/>
        <w:rPr>
          <w:sz w:val="24"/>
          <w:szCs w:val="24"/>
        </w:rPr>
      </w:pPr>
      <w:r>
        <w:rPr>
          <w:b/>
          <w:bCs/>
          <w:sz w:val="24"/>
          <w:szCs w:val="24"/>
        </w:rPr>
        <w:t>Обеспечение деятельности координационных и совещательных органов</w:t>
      </w:r>
    </w:p>
    <w:p>
      <w:pPr>
        <w:pStyle w:val="Style22"/>
        <w:spacing w:before="0" w:after="0"/>
        <w:ind w:firstLine="907"/>
        <w:jc w:val="both"/>
        <w:rPr/>
      </w:pPr>
      <w:r>
        <w:rPr/>
        <w:t xml:space="preserve">На Госслужбу возложено организационное обеспечение деятельности координационных и совещательных органов, созданных решениями Главы Чувашской Республики и Кабинета Министров Чувашской Республики: Комиссии по вопросам помилования при Главе Чувашской Республики; Координационного совещания при Главе Чувашской Республики по обеспечению правопорядка в Чувашской Республике (далее — Координационное совещание); Комиссии по профилактике правонарушений в Чувашской Республике (далее также – Комиссия), координирующего органа (штаба) народных дружин Чувашской Республики. </w:t>
      </w:r>
    </w:p>
    <w:p>
      <w:pPr>
        <w:pStyle w:val="Style22"/>
        <w:spacing w:before="0" w:after="0"/>
        <w:ind w:firstLine="709"/>
        <w:jc w:val="both"/>
        <w:rPr/>
      </w:pPr>
      <w:r>
        <w:rPr/>
        <w:t>Вопросы реализации комплексных мероприятий, направленных на создание условий, способствующих повышению эффективности профилактических мероприятий и противодействию преступности, совершенствованию взаимодействия органов государственной власти Чувашской Республики, правоохранительных, контролирующих органов, органов местного самоуправления в Чувашской Республике, широкому привлечению к этой работе негосударственных структур, общественных объединений и граждан, укреплению законности и правопорядка, оздоровлению криминогенной ситуации в Чувашской Республике являются предметом рассмотрения Координационного совещания и Комиссии, а также ведомственных совещаний по конкретным вопросам профилактики правонарушений. В 2024 г. проведено 6 заседаний Координационного совещания, заседаний  Комиссии - 2.</w:t>
      </w:r>
    </w:p>
    <w:p>
      <w:pPr>
        <w:pStyle w:val="Style22"/>
        <w:spacing w:before="0" w:after="0"/>
        <w:ind w:firstLine="709"/>
        <w:jc w:val="both"/>
        <w:rPr/>
      </w:pPr>
      <w:r>
        <w:rPr/>
        <w:t>Во всех городских и муниципальных округах республики созданы комиссии по профилактике правонарушений, в территориальных отделах администрации муниципального образования – советы профилактики правонарушений. Заседания комиссий по профилактике правонарушений проводятся не реже одного раза в квартал, с 2024 года - не реже двух раз в год.</w:t>
      </w:r>
    </w:p>
    <w:p>
      <w:pPr>
        <w:pStyle w:val="Style22"/>
        <w:spacing w:before="0" w:after="0"/>
        <w:ind w:firstLine="709"/>
        <w:jc w:val="both"/>
        <w:rPr/>
      </w:pPr>
      <w:r>
        <w:rPr/>
        <w:t>С 2020 года функции по организационно-техническому обеспечению координирующего органа (штаба) народных дружин Чувашской Республики переданы Госслужбе. В 2024 г. проведено 2 заседания указанного координирующего органа. Ежегодно проводится республиканский конкурс «Лучший народный дружинник», который проводится Госслужбой совместно с МВД по Чувашской Республике. В 2024 г. участвовали 16 дружинников, признанных лучшими в своем муниципальном образовании.</w:t>
      </w:r>
    </w:p>
    <w:p>
      <w:pPr>
        <w:pStyle w:val="Style22"/>
        <w:spacing w:before="0" w:after="0"/>
        <w:jc w:val="both"/>
        <w:rPr/>
      </w:pPr>
      <w:r>
        <w:rPr/>
        <w:object>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80pt;height:270pt;mso-wrap-distance-right:0pt" filled="f" o:ole="">
            <v:imagedata r:id="rId7" o:title=""/>
          </v:shape>
          <o:OLEObject Type="Embed" ProgID="PowerPoint.Slide.12" ShapeID="ole_rId6" DrawAspect="Content" ObjectID="_776989588" r:id="rId6"/>
        </w:object>
      </w:r>
    </w:p>
    <w:p>
      <w:pPr>
        <w:pStyle w:val="Style22"/>
        <w:spacing w:before="0" w:after="0"/>
        <w:ind w:firstLine="709"/>
        <w:jc w:val="both"/>
        <w:rPr/>
      </w:pPr>
      <w:r>
        <w:rPr/>
      </w:r>
    </w:p>
    <w:p>
      <w:pPr>
        <w:pStyle w:val="Style22"/>
        <w:spacing w:before="0" w:after="0"/>
        <w:ind w:firstLine="709"/>
        <w:jc w:val="both"/>
        <w:rPr/>
      </w:pPr>
      <w:r>
        <w:rPr/>
        <w:t>В республике создано 29 административных комиссий для рассмотрения дел об административных правонарушениях, предусмотренных Законом Чувашской Республики «Об административных правонарушениях в Чувашской Республике». Так, на обеспечение деятельности административных комиссий из республиканского бюджета Чувашской Республики до 2022 г. ежегодно выделялось 215,8 тыс. рублей, то с 2022 года уже 1 459,2 тыс. рублей, в 2024 году  выделено соответственно 1 459,2 тыс. рублей.</w:t>
      </w:r>
    </w:p>
    <w:p>
      <w:pPr>
        <w:pStyle w:val="Style22"/>
        <w:spacing w:before="0" w:after="0"/>
        <w:ind w:firstLine="709"/>
        <w:jc w:val="both"/>
        <w:rPr/>
      </w:pPr>
      <w:r>
        <w:rPr>
          <w:rStyle w:val="11"/>
        </w:rPr>
        <w:t>В 2022 г. совместно с органами местного самоуправления проведена работа по составлению новых общего и запасного списков кандидатов в</w:t>
      </w:r>
      <w:r>
        <w:rPr>
          <w:rStyle w:val="11"/>
          <w:b/>
          <w:bCs/>
        </w:rPr>
        <w:t xml:space="preserve"> </w:t>
      </w:r>
      <w:r>
        <w:rPr>
          <w:rStyle w:val="11"/>
          <w:bCs/>
        </w:rPr>
        <w:t>присяжные заседатели для Верховного Суда Чувашской Республики (численность присяжных для которого составляет 46900 человек), в</w:t>
      </w:r>
      <w:r>
        <w:rPr>
          <w:rStyle w:val="11"/>
        </w:rPr>
        <w:t xml:space="preserve"> 2023 г. - по составлению новых общего и запасного списков кандидатов </w:t>
      </w:r>
      <w:r>
        <w:rPr>
          <w:rStyle w:val="11"/>
          <w:bCs/>
        </w:rPr>
        <w:t>в присяжные заседатели для Центрального окружного военного суда и Казанского гарнизонного военного суда</w:t>
      </w:r>
      <w:r>
        <w:rPr>
          <w:rStyle w:val="11"/>
        </w:rPr>
        <w:t xml:space="preserve"> (численность присяжных для которых составляет 5000 человек). Работа по актуализации списков кандидатов в</w:t>
      </w:r>
      <w:r>
        <w:rPr>
          <w:rStyle w:val="11"/>
          <w:b/>
          <w:bCs/>
        </w:rPr>
        <w:t xml:space="preserve"> </w:t>
      </w:r>
      <w:r>
        <w:rPr>
          <w:rStyle w:val="11"/>
          <w:bCs/>
        </w:rPr>
        <w:t xml:space="preserve">присяжные заседатели </w:t>
      </w:r>
      <w:r>
        <w:rPr>
          <w:rStyle w:val="11"/>
        </w:rPr>
        <w:t xml:space="preserve">проводится ежегодно. </w:t>
      </w:r>
    </w:p>
    <w:p>
      <w:pPr>
        <w:pStyle w:val="Style22"/>
        <w:spacing w:before="0" w:after="0"/>
        <w:ind w:firstLine="454"/>
        <w:jc w:val="both"/>
        <w:rPr/>
      </w:pPr>
      <w:r>
        <w:rPr>
          <w:rStyle w:val="11"/>
        </w:rPr>
        <w:t xml:space="preserve">В 2024 году проведено 12 заседаний </w:t>
      </w:r>
      <w:r>
        <w:rPr>
          <w:rStyle w:val="11"/>
          <w:bCs/>
        </w:rPr>
        <w:t>Комиссии по вопросам помилования при Главе Чувашской Республики</w:t>
      </w:r>
      <w:r>
        <w:rPr>
          <w:rStyle w:val="11"/>
        </w:rPr>
        <w:t>, где рассмотрено 64 ходатайства о помиловании.</w:t>
      </w:r>
    </w:p>
    <w:p>
      <w:pPr>
        <w:pStyle w:val="Normal"/>
        <w:ind w:firstLine="567"/>
        <w:rPr>
          <w:sz w:val="24"/>
          <w:szCs w:val="24"/>
        </w:rPr>
      </w:pPr>
      <w:r>
        <w:rPr>
          <w:sz w:val="24"/>
          <w:szCs w:val="24"/>
        </w:rPr>
      </w:r>
    </w:p>
    <w:p>
      <w:pPr>
        <w:pStyle w:val="Normal"/>
        <w:jc w:val="center"/>
        <w:rPr>
          <w:sz w:val="24"/>
          <w:szCs w:val="24"/>
        </w:rPr>
      </w:pPr>
      <w:r>
        <w:rPr>
          <w:b/>
          <w:sz w:val="24"/>
          <w:szCs w:val="24"/>
        </w:rPr>
        <w:t>Ведение регистра муниципальных нормативных правовых актов</w:t>
      </w:r>
    </w:p>
    <w:p>
      <w:pPr>
        <w:pStyle w:val="Normal"/>
        <w:jc w:val="center"/>
        <w:rPr>
          <w:sz w:val="24"/>
          <w:szCs w:val="24"/>
        </w:rPr>
      </w:pPr>
      <w:r>
        <w:rPr>
          <w:b/>
          <w:sz w:val="24"/>
          <w:szCs w:val="24"/>
        </w:rPr>
        <w:t xml:space="preserve">Чувашской Республики </w:t>
      </w:r>
    </w:p>
    <w:p>
      <w:pPr>
        <w:pStyle w:val="Normal"/>
        <w:ind w:firstLine="567"/>
        <w:jc w:val="both"/>
        <w:rPr>
          <w:sz w:val="24"/>
          <w:szCs w:val="24"/>
        </w:rPr>
      </w:pPr>
      <w:r>
        <w:rPr>
          <w:sz w:val="24"/>
          <w:szCs w:val="24"/>
        </w:rPr>
        <w:t>Госслужбой также продолжается работа по организации и ведению регистра муниципальных нормативных правовых актов Чувашской Республики (далее также – Регистр), осуществляемая в соответствии с Законом Чувашской Республики от 17 декабря 2008 г. № 67 «О порядке организации и ведения регистра муниципальных нормативных правовых актов Чувашской Республики».</w:t>
      </w:r>
    </w:p>
    <w:p>
      <w:pPr>
        <w:pStyle w:val="Normal"/>
        <w:widowControl w:val="false"/>
        <w:ind w:firstLine="709"/>
        <w:jc w:val="both"/>
        <w:rPr>
          <w:sz w:val="24"/>
          <w:szCs w:val="24"/>
        </w:rPr>
      </w:pPr>
      <w:r>
        <w:rPr>
          <w:rFonts w:eastAsia="Tahoma"/>
          <w:color w:val="000000" w:themeColor="text1"/>
          <w:sz w:val="24"/>
          <w:szCs w:val="24"/>
          <w:lang w:bidi="ru-RU"/>
        </w:rPr>
        <w:t>В регистр включено 186 588 муниципальных нормативных правовых актов (далее – актов) (за 11 месяцев 2024 г.– 5 143), также 38 610 дополнительных сведений (за 11 месяцев 2024 г.–  1 092).</w:t>
      </w:r>
    </w:p>
    <w:p>
      <w:pPr>
        <w:pStyle w:val="Normal"/>
        <w:widowControl w:val="false"/>
        <w:ind w:firstLine="709"/>
        <w:jc w:val="both"/>
        <w:rPr>
          <w:sz w:val="24"/>
          <w:szCs w:val="24"/>
        </w:rPr>
      </w:pPr>
      <w:r>
        <w:rPr>
          <w:rFonts w:eastAsia="Tahoma"/>
          <w:color w:val="000000" w:themeColor="text1"/>
          <w:sz w:val="24"/>
          <w:szCs w:val="24"/>
          <w:lang w:bidi="ru-RU"/>
        </w:rPr>
        <w:t>Актуализировано  125 418 муниципальных нормативных правовых актов (за 11 месяцев 2024 г.– 17 447).</w:t>
      </w:r>
    </w:p>
    <w:p>
      <w:pPr>
        <w:pStyle w:val="Normal"/>
        <w:widowControl w:val="false"/>
        <w:ind w:firstLine="709"/>
        <w:jc w:val="both"/>
        <w:rPr>
          <w:sz w:val="24"/>
          <w:szCs w:val="24"/>
        </w:rPr>
      </w:pPr>
      <w:r>
        <w:rPr>
          <w:color w:val="000000" w:themeColor="text1"/>
          <w:sz w:val="24"/>
          <w:szCs w:val="24"/>
        </w:rPr>
        <w:t xml:space="preserve">В целях оказания методической помощи органам местного самоуправления проведена правовая экспертиза 27 561 муниципального нормативного правового акта </w:t>
      </w:r>
      <w:r>
        <w:rPr>
          <w:rFonts w:eastAsia="Tahoma"/>
          <w:color w:val="000000" w:themeColor="text1"/>
          <w:sz w:val="24"/>
          <w:szCs w:val="24"/>
          <w:lang w:bidi="ru-RU"/>
        </w:rPr>
        <w:t>(за 11 месяцев 2024 г.–  1032)</w:t>
      </w:r>
      <w:r>
        <w:rPr>
          <w:color w:val="000000" w:themeColor="text1"/>
          <w:sz w:val="24"/>
          <w:szCs w:val="24"/>
        </w:rPr>
        <w:t xml:space="preserve">, по результатам которой выявлено: </w:t>
      </w:r>
    </w:p>
    <w:p>
      <w:pPr>
        <w:pStyle w:val="Normal"/>
        <w:widowControl w:val="false"/>
        <w:ind w:firstLine="709"/>
        <w:jc w:val="both"/>
        <w:rPr>
          <w:sz w:val="24"/>
          <w:szCs w:val="24"/>
        </w:rPr>
      </w:pPr>
      <w:r>
        <w:rPr>
          <w:color w:val="000000" w:themeColor="text1"/>
          <w:sz w:val="24"/>
          <w:szCs w:val="24"/>
        </w:rPr>
        <w:t xml:space="preserve">5 433 муниципальный нормативный правовой акт, не соответствующий действующему законодательству </w:t>
      </w:r>
      <w:r>
        <w:rPr>
          <w:rFonts w:eastAsia="Tahoma"/>
          <w:color w:val="000000" w:themeColor="text1"/>
          <w:sz w:val="24"/>
          <w:szCs w:val="24"/>
          <w:lang w:bidi="ru-RU"/>
        </w:rPr>
        <w:t>(за 11 месяцев 2024 г.–  54);</w:t>
      </w:r>
    </w:p>
    <w:p>
      <w:pPr>
        <w:pStyle w:val="Normal"/>
        <w:ind w:firstLine="709"/>
        <w:jc w:val="both"/>
        <w:rPr>
          <w:sz w:val="24"/>
          <w:szCs w:val="24"/>
        </w:rPr>
      </w:pPr>
      <w:r>
        <w:rPr>
          <w:color w:val="000000" w:themeColor="text1"/>
          <w:sz w:val="24"/>
          <w:szCs w:val="24"/>
        </w:rPr>
        <w:t xml:space="preserve">19 711 муниципальных нормативных правовых акта, соответствующих действующему законодательству </w:t>
      </w:r>
      <w:r>
        <w:rPr>
          <w:rFonts w:eastAsia="Tahoma"/>
          <w:color w:val="000000" w:themeColor="text1"/>
          <w:sz w:val="24"/>
          <w:szCs w:val="24"/>
          <w:lang w:bidi="ru-RU"/>
        </w:rPr>
        <w:t>(за 11 месяцев 2024 г.– 688);</w:t>
      </w:r>
    </w:p>
    <w:p>
      <w:pPr>
        <w:pStyle w:val="Normal"/>
        <w:ind w:firstLine="709"/>
        <w:jc w:val="both"/>
        <w:rPr>
          <w:sz w:val="24"/>
          <w:szCs w:val="24"/>
        </w:rPr>
      </w:pPr>
      <w:r>
        <w:rPr>
          <w:color w:val="000000" w:themeColor="text1"/>
          <w:sz w:val="24"/>
          <w:szCs w:val="24"/>
        </w:rPr>
        <w:t>2417 муниципальных нормативных правовых актов, принятых с нарушением правил юридической техники (</w:t>
      </w:r>
      <w:r>
        <w:rPr>
          <w:rFonts w:eastAsia="Tahoma"/>
          <w:color w:val="000000" w:themeColor="text1"/>
          <w:sz w:val="24"/>
          <w:szCs w:val="24"/>
          <w:lang w:bidi="ru-RU"/>
        </w:rPr>
        <w:t>за 11 месяцев 2024 г.–  290).</w:t>
      </w:r>
    </w:p>
    <w:p>
      <w:pPr>
        <w:pStyle w:val="Normal"/>
        <w:widowControl w:val="false"/>
        <w:ind w:firstLine="709"/>
        <w:jc w:val="both"/>
        <w:rPr>
          <w:sz w:val="24"/>
          <w:szCs w:val="24"/>
        </w:rPr>
      </w:pPr>
      <w:r>
        <w:rPr>
          <w:sz w:val="24"/>
          <w:szCs w:val="24"/>
        </w:rPr>
        <w:t xml:space="preserve">В рамках оказания методической помощи органам местного самоуправления проведено </w:t>
      </w:r>
      <w:r>
        <w:rPr>
          <w:color w:val="000000" w:themeColor="text1"/>
          <w:sz w:val="24"/>
          <w:szCs w:val="24"/>
        </w:rPr>
        <w:t>9</w:t>
      </w:r>
      <w:bookmarkStart w:id="0" w:name="_GoBack_Копия_1"/>
      <w:bookmarkEnd w:id="0"/>
      <w:r>
        <w:rPr>
          <w:color w:val="000000" w:themeColor="text1"/>
          <w:sz w:val="24"/>
          <w:szCs w:val="24"/>
        </w:rPr>
        <w:t xml:space="preserve"> выездных </w:t>
      </w:r>
      <w:r>
        <w:rPr>
          <w:sz w:val="24"/>
          <w:szCs w:val="24"/>
        </w:rPr>
        <w:t>семинаров-совещаний со специалистами сельских поселений, ответственных за разработку и представление муниципальных нормативных правовых актов для включения в регистр муниципальных нормативных правовых актов Чувашской Республики.</w:t>
      </w:r>
    </w:p>
    <w:p>
      <w:pPr>
        <w:pStyle w:val="Normal"/>
        <w:tabs>
          <w:tab w:val="clear" w:pos="708"/>
          <w:tab w:val="left" w:pos="2282" w:leader="none"/>
        </w:tabs>
        <w:ind w:firstLine="709"/>
        <w:jc w:val="both"/>
        <w:rPr>
          <w:sz w:val="24"/>
          <w:szCs w:val="24"/>
        </w:rPr>
      </w:pPr>
      <w:r>
        <w:rPr>
          <w:sz w:val="24"/>
          <w:szCs w:val="24"/>
        </w:rPr>
        <w:t>Так же в целях оказания методической помощи органам местного самоуправления проводятся следующие мониторинги деятельности органов местного самоуправления:</w:t>
      </w:r>
    </w:p>
    <w:p>
      <w:pPr>
        <w:pStyle w:val="Normal"/>
        <w:tabs>
          <w:tab w:val="clear" w:pos="708"/>
          <w:tab w:val="left" w:pos="2282" w:leader="none"/>
        </w:tabs>
        <w:ind w:firstLine="709"/>
        <w:jc w:val="both"/>
        <w:rPr>
          <w:sz w:val="24"/>
          <w:szCs w:val="24"/>
        </w:rPr>
      </w:pPr>
      <w:r>
        <w:rPr>
          <w:sz w:val="24"/>
          <w:szCs w:val="24"/>
        </w:rPr>
        <w:t>- анализ деятельности органов местного самоуправления по представлению муниципальных нормативных правовых актов для включения в регистр муниципальных нормативных правовых актов Чувашской Республики (ежеквартально);</w:t>
      </w:r>
    </w:p>
    <w:p>
      <w:pPr>
        <w:pStyle w:val="Normal"/>
        <w:tabs>
          <w:tab w:val="clear" w:pos="708"/>
          <w:tab w:val="left" w:pos="2282" w:leader="none"/>
        </w:tabs>
        <w:ind w:firstLine="709"/>
        <w:jc w:val="both"/>
        <w:rPr>
          <w:sz w:val="24"/>
          <w:szCs w:val="24"/>
        </w:rPr>
      </w:pPr>
      <w:r>
        <w:rPr>
          <w:sz w:val="24"/>
          <w:szCs w:val="24"/>
        </w:rPr>
        <w:t>- анализ типичных нарушений действующего законодательства и правил юридической техники, допускаемых органами местного самоуправления при принятии муниципальных нормативных правовых актов (по полугодиям);</w:t>
      </w:r>
    </w:p>
    <w:p>
      <w:pPr>
        <w:pStyle w:val="Normal"/>
        <w:tabs>
          <w:tab w:val="clear" w:pos="708"/>
          <w:tab w:val="left" w:pos="2282" w:leader="none"/>
        </w:tabs>
        <w:ind w:firstLine="709"/>
        <w:jc w:val="both"/>
        <w:rPr>
          <w:sz w:val="24"/>
          <w:szCs w:val="24"/>
        </w:rPr>
      </w:pPr>
      <w:r>
        <w:rPr>
          <w:sz w:val="24"/>
          <w:szCs w:val="24"/>
        </w:rPr>
        <w:t>- анализ деятельности органов местного самоуправления по приведению муниципальных нормативных правовых актов в соответствие с действующим законодательством по результатам правовой экспертизы (по полугодиям).</w:t>
      </w:r>
    </w:p>
    <w:p>
      <w:pPr>
        <w:pStyle w:val="Normal"/>
        <w:ind w:firstLine="709"/>
        <w:jc w:val="both"/>
        <w:rPr>
          <w:rFonts w:eastAsia="" w:eastAsiaTheme="minorEastAsia"/>
          <w:b/>
          <w:i/>
          <w:i/>
          <w:sz w:val="24"/>
          <w:szCs w:val="24"/>
        </w:rPr>
      </w:pPr>
      <w:r>
        <w:rPr>
          <w:rFonts w:eastAsia="" w:eastAsiaTheme="minorEastAsia"/>
          <w:b/>
          <w:i/>
          <w:sz w:val="24"/>
          <w:szCs w:val="24"/>
        </w:rPr>
      </w:r>
    </w:p>
    <w:p>
      <w:pPr>
        <w:pStyle w:val="Normal"/>
        <w:ind w:firstLine="709"/>
        <w:jc w:val="center"/>
        <w:rPr>
          <w:sz w:val="24"/>
          <w:szCs w:val="24"/>
        </w:rPr>
      </w:pPr>
      <w:r>
        <w:rPr>
          <w:rStyle w:val="11"/>
          <w:b/>
          <w:sz w:val="24"/>
          <w:szCs w:val="24"/>
        </w:rPr>
        <w:t>Государственная регистрация нормативных правовых актов исполнительных органов Чувашской Республики</w:t>
      </w:r>
    </w:p>
    <w:p>
      <w:pPr>
        <w:pStyle w:val="Normal"/>
        <w:shd w:val="clear" w:color="auto" w:fill="FFFFFF"/>
        <w:ind w:firstLine="709"/>
        <w:jc w:val="both"/>
        <w:rPr>
          <w:sz w:val="24"/>
          <w:szCs w:val="24"/>
        </w:rPr>
      </w:pPr>
      <w:r>
        <w:rPr>
          <w:sz w:val="24"/>
          <w:szCs w:val="24"/>
        </w:rPr>
        <w:t xml:space="preserve">В 2024 году </w:t>
      </w:r>
      <w:r>
        <w:rPr>
          <w:i/>
          <w:sz w:val="24"/>
          <w:szCs w:val="24"/>
        </w:rPr>
        <w:t>(за 11 месяцев)</w:t>
      </w:r>
      <w:r>
        <w:rPr>
          <w:sz w:val="24"/>
          <w:szCs w:val="24"/>
        </w:rPr>
        <w:t xml:space="preserve"> исполнительными органами Чувашской Республики для государственной регистрации было представлено 770 правовых актов </w:t>
      </w:r>
      <w:r>
        <w:rPr>
          <w:i/>
          <w:sz w:val="24"/>
          <w:szCs w:val="24"/>
        </w:rPr>
        <w:t>(в 2023 г. - 758)</w:t>
      </w:r>
      <w:r>
        <w:rPr>
          <w:sz w:val="24"/>
          <w:szCs w:val="24"/>
        </w:rPr>
        <w:t>.</w:t>
      </w:r>
    </w:p>
    <w:p>
      <w:pPr>
        <w:pStyle w:val="Normal"/>
        <w:shd w:val="clear" w:color="auto" w:fill="FFFFFF"/>
        <w:ind w:firstLine="709"/>
        <w:jc w:val="both"/>
        <w:rPr>
          <w:sz w:val="24"/>
          <w:szCs w:val="24"/>
        </w:rPr>
      </w:pPr>
      <w:r>
        <w:rPr>
          <w:sz w:val="24"/>
          <w:szCs w:val="24"/>
        </w:rPr>
        <w:t xml:space="preserve">За указанный период </w:t>
      </w:r>
      <w:r>
        <w:rPr>
          <w:i/>
          <w:sz w:val="24"/>
          <w:szCs w:val="24"/>
        </w:rPr>
        <w:t>(с учетом поступивших нормативных правовых актов исполнительных органов Чувашской Республики в конце 2023 года)</w:t>
      </w:r>
      <w:r>
        <w:rPr>
          <w:sz w:val="24"/>
          <w:szCs w:val="24"/>
        </w:rPr>
        <w:t xml:space="preserve"> зарегистрировано 749 нормативных правовых актов исполнительных органов Чувашской Республики </w:t>
      </w:r>
      <w:r>
        <w:rPr>
          <w:i/>
          <w:sz w:val="24"/>
          <w:szCs w:val="24"/>
        </w:rPr>
        <w:t>(в 2023 г. - 739)</w:t>
      </w:r>
      <w:r>
        <w:rPr>
          <w:sz w:val="24"/>
          <w:szCs w:val="24"/>
        </w:rPr>
        <w:t>.</w:t>
      </w:r>
    </w:p>
    <w:p>
      <w:pPr>
        <w:pStyle w:val="Normal"/>
        <w:shd w:val="clear" w:color="auto" w:fill="FFFFFF"/>
        <w:ind w:firstLine="709"/>
        <w:jc w:val="both"/>
        <w:rPr>
          <w:sz w:val="24"/>
          <w:szCs w:val="24"/>
        </w:rPr>
      </w:pPr>
      <w:r>
        <w:rPr>
          <w:sz w:val="24"/>
          <w:szCs w:val="24"/>
        </w:rPr>
        <w:t>По состоянию на 1 декабря 2024 г. Реестр государственной регистрации нормативных правовых актов исполнительных органов Чувашской Республики содержит сведения о 9786 прошедших государственную регистрацию ведомственных актах.</w:t>
      </w:r>
    </w:p>
    <w:p>
      <w:pPr>
        <w:pStyle w:val="Normal"/>
        <w:shd w:val="clear" w:color="auto" w:fill="FFFFFF"/>
        <w:ind w:firstLine="709"/>
        <w:jc w:val="both"/>
        <w:rPr>
          <w:sz w:val="24"/>
          <w:szCs w:val="24"/>
        </w:rPr>
      </w:pPr>
      <w:r>
        <w:rPr>
          <w:sz w:val="24"/>
          <w:szCs w:val="24"/>
        </w:rPr>
        <w:t xml:space="preserve">Кроме этого, в 2024 г. </w:t>
      </w:r>
      <w:r>
        <w:rPr>
          <w:i/>
          <w:sz w:val="24"/>
          <w:szCs w:val="24"/>
        </w:rPr>
        <w:t xml:space="preserve">(за 11 месяцев) </w:t>
      </w:r>
      <w:r>
        <w:rPr>
          <w:sz w:val="24"/>
          <w:szCs w:val="24"/>
        </w:rPr>
        <w:t>по результатам рассмотрения представленных на государственную регистрацию документов:</w:t>
      </w:r>
    </w:p>
    <w:p>
      <w:pPr>
        <w:pStyle w:val="Normal"/>
        <w:shd w:val="clear" w:color="auto" w:fill="FFFFFF"/>
        <w:ind w:firstLine="709"/>
        <w:jc w:val="both"/>
        <w:rPr>
          <w:sz w:val="24"/>
          <w:szCs w:val="24"/>
        </w:rPr>
      </w:pPr>
      <w:r>
        <w:rPr>
          <w:sz w:val="24"/>
          <w:szCs w:val="24"/>
        </w:rPr>
        <w:t xml:space="preserve">отказано в государственной регистрации 13 актов </w:t>
      </w:r>
      <w:r>
        <w:rPr>
          <w:i/>
          <w:sz w:val="24"/>
          <w:szCs w:val="24"/>
        </w:rPr>
        <w:t>(в 2023 г. - 18)</w:t>
      </w:r>
      <w:r>
        <w:rPr>
          <w:sz w:val="24"/>
          <w:szCs w:val="24"/>
        </w:rPr>
        <w:t xml:space="preserve">; </w:t>
      </w:r>
    </w:p>
    <w:p>
      <w:pPr>
        <w:pStyle w:val="Normal"/>
        <w:shd w:val="clear" w:color="auto" w:fill="FFFFFF"/>
        <w:ind w:firstLine="709"/>
        <w:jc w:val="both"/>
        <w:rPr>
          <w:sz w:val="24"/>
          <w:szCs w:val="24"/>
        </w:rPr>
      </w:pPr>
      <w:r>
        <w:rPr>
          <w:sz w:val="24"/>
          <w:szCs w:val="24"/>
        </w:rPr>
        <w:t xml:space="preserve">возвращено без государственной регистрации - 16 актов </w:t>
      </w:r>
      <w:r>
        <w:rPr>
          <w:i/>
          <w:sz w:val="24"/>
          <w:szCs w:val="24"/>
        </w:rPr>
        <w:t>(в 2023 г. - 9)</w:t>
      </w:r>
      <w:r>
        <w:rPr>
          <w:sz w:val="24"/>
          <w:szCs w:val="24"/>
        </w:rPr>
        <w:t>;</w:t>
      </w:r>
    </w:p>
    <w:p>
      <w:pPr>
        <w:pStyle w:val="Normal"/>
        <w:shd w:val="clear" w:color="auto" w:fill="FFFFFF"/>
        <w:ind w:firstLine="709"/>
        <w:jc w:val="both"/>
        <w:rPr>
          <w:sz w:val="24"/>
          <w:szCs w:val="24"/>
        </w:rPr>
      </w:pPr>
      <w:r>
        <w:rPr>
          <w:sz w:val="24"/>
          <w:szCs w:val="24"/>
        </w:rPr>
        <w:t xml:space="preserve">проведена антикоррупционная экспертиза 762 актов </w:t>
      </w:r>
      <w:r>
        <w:rPr>
          <w:i/>
          <w:sz w:val="24"/>
          <w:szCs w:val="24"/>
        </w:rPr>
        <w:t>(в 2023 г. - 757)</w:t>
      </w:r>
      <w:r>
        <w:rPr>
          <w:sz w:val="24"/>
          <w:szCs w:val="24"/>
        </w:rPr>
        <w:t>, коррупциогенные факторы выявлены в 4 актах.</w:t>
      </w:r>
    </w:p>
    <w:p>
      <w:pPr>
        <w:pStyle w:val="Normal"/>
        <w:shd w:val="clear" w:color="auto" w:fill="FFFFFF"/>
        <w:ind w:firstLine="709"/>
        <w:jc w:val="both"/>
        <w:rPr>
          <w:sz w:val="24"/>
          <w:szCs w:val="24"/>
        </w:rPr>
      </w:pPr>
      <w:r>
        <w:rPr>
          <w:sz w:val="24"/>
          <w:szCs w:val="24"/>
        </w:rPr>
        <w:t>Во исполнение Указа Президента Чувашской Республики от 28 июля 2003 г. № 77 «О государственной регистрации нормативных правовых актов исполнительных органов Чувашской Республики» Госслужбой Чувашии по делам юстиции были проведены проверки выполнения в Министерстве культуры, по делам национальностей и архивного дела Чувашской Республики, Министерстве сельского хозяйства Чувашской Республики, Государственном комитете Чувашской Республики по делам гражданской обороны и чрезвычайным ситуациям и Министерстве промышленности и энергетики Чувашской Республики работ по отбору нормативных правовых актов, подлежащих государственной регистрации, по результатам которых в указанные органы направлены соответствующие заключения.</w:t>
      </w:r>
    </w:p>
    <w:p>
      <w:pPr>
        <w:pStyle w:val="Normal"/>
        <w:shd w:val="clear" w:color="auto" w:fill="FFFFFF"/>
        <w:ind w:firstLine="709"/>
        <w:rPr>
          <w:b/>
          <w:bCs/>
          <w:sz w:val="24"/>
          <w:szCs w:val="24"/>
        </w:rPr>
      </w:pPr>
      <w:r>
        <w:rPr>
          <w:b/>
          <w:bCs/>
          <w:sz w:val="24"/>
          <w:szCs w:val="24"/>
        </w:rPr>
      </w:r>
    </w:p>
    <w:p>
      <w:pPr>
        <w:pStyle w:val="Normal"/>
        <w:shd w:val="clear" w:color="auto" w:fill="FFFFFF"/>
        <w:rPr>
          <w:b/>
          <w:bCs/>
          <w:sz w:val="24"/>
          <w:szCs w:val="24"/>
        </w:rPr>
      </w:pPr>
      <w:bookmarkStart w:id="1" w:name="_GoBack"/>
      <w:r>
        <w:rPr/>
        <w:object>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80pt;height:270pt;mso-wrap-distance-right:0pt" filled="f" o:ole="">
            <v:imagedata r:id="rId9" o:title=""/>
          </v:shape>
          <o:OLEObject Type="Embed" ProgID="PowerPoint.Slide.12" ShapeID="ole_rId8" DrawAspect="Content" ObjectID="_1797719698" r:id="rId8"/>
        </w:object>
      </w:r>
      <w:bookmarkEnd w:id="1"/>
    </w:p>
    <w:p>
      <w:pPr>
        <w:pStyle w:val="Normal"/>
        <w:shd w:val="clear" w:color="auto" w:fill="FFFFFF"/>
        <w:ind w:firstLine="709"/>
        <w:rPr>
          <w:sz w:val="24"/>
          <w:szCs w:val="24"/>
        </w:rPr>
      </w:pPr>
      <w:r>
        <w:rPr>
          <w:bCs/>
          <w:sz w:val="24"/>
          <w:szCs w:val="24"/>
        </w:rPr>
        <w:t>Задачи на 2025 год:</w:t>
      </w:r>
    </w:p>
    <w:p>
      <w:pPr>
        <w:pStyle w:val="Normal"/>
        <w:shd w:val="clear" w:color="auto" w:fill="FFFFFF"/>
        <w:ind w:firstLine="709"/>
        <w:jc w:val="both"/>
        <w:rPr>
          <w:sz w:val="24"/>
          <w:szCs w:val="24"/>
        </w:rPr>
      </w:pPr>
      <w:r>
        <w:rPr>
          <w:sz w:val="24"/>
          <w:szCs w:val="24"/>
        </w:rPr>
        <w:t>- продолжение работы по правовому обеспечению деятельности Госслужбы Чувашии по делам юстиции;</w:t>
      </w:r>
    </w:p>
    <w:p>
      <w:pPr>
        <w:pStyle w:val="Normal"/>
        <w:shd w:val="clear" w:color="auto" w:fill="FFFFFF"/>
        <w:ind w:firstLine="709"/>
        <w:jc w:val="both"/>
        <w:rPr>
          <w:sz w:val="24"/>
          <w:szCs w:val="24"/>
        </w:rPr>
      </w:pPr>
      <w:r>
        <w:rPr>
          <w:sz w:val="24"/>
          <w:szCs w:val="24"/>
        </w:rPr>
        <w:t>- обеспечение соответствия представленных на государственную регистрацию ведомственных нормативных правовых актов законодательству Российской Федерации и законодательству Чувашской Республики;</w:t>
      </w:r>
    </w:p>
    <w:p>
      <w:pPr>
        <w:pStyle w:val="Normal"/>
        <w:shd w:val="clear" w:color="auto" w:fill="FFFFFF"/>
        <w:ind w:firstLine="709"/>
        <w:jc w:val="both"/>
        <w:rPr>
          <w:sz w:val="24"/>
          <w:szCs w:val="24"/>
        </w:rPr>
      </w:pPr>
      <w:r>
        <w:rPr>
          <w:sz w:val="24"/>
          <w:szCs w:val="24"/>
        </w:rPr>
        <w:t>- обеспечение своевременности государственной регистрации ведомственных нормативных актов, представленных на государственную регистрацию в соответствии с Указом Президента Чувашской Республики от 28 июля 2003 г. № 77;</w:t>
      </w:r>
    </w:p>
    <w:p>
      <w:pPr>
        <w:pStyle w:val="Normal"/>
        <w:shd w:val="clear" w:color="auto" w:fill="FFFFFF"/>
        <w:ind w:firstLine="709"/>
        <w:jc w:val="both"/>
        <w:rPr>
          <w:sz w:val="24"/>
          <w:szCs w:val="24"/>
        </w:rPr>
      </w:pPr>
      <w:r>
        <w:rPr>
          <w:sz w:val="24"/>
          <w:szCs w:val="24"/>
        </w:rPr>
        <w:t>- направление в установленном порядке электронных образов зарегистрированных ведомственных актов для размещения (опубликования) на «Официальном интернет-портале правовой информации» и размещение (опубликование) в сетевом ресурсе «право21.рф»;</w:t>
      </w:r>
    </w:p>
    <w:p>
      <w:pPr>
        <w:pStyle w:val="Normal"/>
        <w:shd w:val="clear" w:color="auto" w:fill="FFFFFF"/>
        <w:ind w:firstLine="709"/>
        <w:jc w:val="both"/>
        <w:rPr>
          <w:sz w:val="24"/>
          <w:szCs w:val="24"/>
        </w:rPr>
      </w:pPr>
      <w:r>
        <w:rPr>
          <w:sz w:val="24"/>
          <w:szCs w:val="24"/>
        </w:rPr>
        <w:t>- проведение методических семинаров (консультаций) по возникающим проблемным вопросам с юридическими службами (юристами) исполнительных органов Чувашской Республики;</w:t>
      </w:r>
    </w:p>
    <w:p>
      <w:pPr>
        <w:pStyle w:val="Normal"/>
        <w:shd w:val="clear" w:color="auto" w:fill="FFFFFF"/>
        <w:ind w:firstLine="709"/>
        <w:jc w:val="both"/>
        <w:rPr>
          <w:sz w:val="24"/>
          <w:szCs w:val="24"/>
        </w:rPr>
      </w:pPr>
      <w:r>
        <w:rPr>
          <w:sz w:val="24"/>
          <w:szCs w:val="24"/>
        </w:rPr>
        <w:t>- продолжение работы по проведению выездных проверок исполнительных органов Чувашской Республики по соблюдению требований об обязательном представлении ведомственных нормативных актов на государственную регистрацию.</w:t>
      </w:r>
    </w:p>
    <w:p>
      <w:pPr>
        <w:pStyle w:val="Normal"/>
        <w:jc w:val="center"/>
        <w:rPr>
          <w:sz w:val="24"/>
          <w:szCs w:val="24"/>
        </w:rPr>
      </w:pPr>
      <w:r>
        <w:rPr>
          <w:b/>
          <w:bCs/>
          <w:sz w:val="24"/>
          <w:szCs w:val="24"/>
        </w:rPr>
        <w:t>Организационное обеспечение деятельности мировых судей Чувашской Республики</w:t>
      </w:r>
    </w:p>
    <w:p>
      <w:pPr>
        <w:pStyle w:val="Normal"/>
        <w:ind w:firstLine="567"/>
        <w:jc w:val="both"/>
        <w:rPr>
          <w:sz w:val="24"/>
          <w:szCs w:val="24"/>
        </w:rPr>
      </w:pPr>
      <w:r>
        <w:rPr>
          <w:sz w:val="24"/>
          <w:szCs w:val="24"/>
        </w:rPr>
      </w:r>
    </w:p>
    <w:p>
      <w:pPr>
        <w:pStyle w:val="Normal"/>
        <w:ind w:firstLine="567"/>
        <w:jc w:val="both"/>
        <w:rPr>
          <w:sz w:val="24"/>
          <w:szCs w:val="24"/>
        </w:rPr>
      </w:pPr>
      <w:r>
        <w:rPr>
          <w:sz w:val="24"/>
          <w:szCs w:val="24"/>
        </w:rPr>
        <w:t xml:space="preserve">В Чувашской Республике образовано и действует 68 судебных участков мировых судей, расположенных в каждом муниципальном и городском округе республики. Занимаемая площадь помещений составляет 11 202,29 кв.м. (41 здание), в т.ч. находящиеся в безвозмездном пользовании (52%), на праве оперативного управления (43%),  в аренде (5%). </w:t>
      </w:r>
    </w:p>
    <w:p>
      <w:pPr>
        <w:pStyle w:val="Normal"/>
        <w:ind w:firstLine="567"/>
        <w:jc w:val="both"/>
        <w:rPr>
          <w:sz w:val="24"/>
          <w:szCs w:val="24"/>
        </w:rPr>
      </w:pPr>
      <w:r>
        <w:rPr>
          <w:sz w:val="24"/>
          <w:szCs w:val="24"/>
        </w:rPr>
        <w:t>Численность аппарата мировых судей составляет 201 ед.</w:t>
      </w:r>
    </w:p>
    <w:p>
      <w:pPr>
        <w:pStyle w:val="Normal"/>
        <w:ind w:firstLine="567"/>
        <w:jc w:val="both"/>
        <w:rPr>
          <w:sz w:val="24"/>
          <w:szCs w:val="24"/>
        </w:rPr>
      </w:pPr>
      <w:r>
        <w:rPr>
          <w:sz w:val="24"/>
          <w:szCs w:val="24"/>
        </w:rPr>
        <w:t xml:space="preserve">Финансовое и материально-техническое обеспечение деятельности мировых судей осуществляется за счет средств республиканского бюджета Чувашской Республики, за 2020 - 2024 годы выделено 955, 6 млн. рублей </w:t>
      </w:r>
    </w:p>
    <w:p>
      <w:pPr>
        <w:pStyle w:val="Normal"/>
        <w:ind w:firstLine="567"/>
        <w:jc w:val="both"/>
        <w:rPr>
          <w:sz w:val="24"/>
          <w:szCs w:val="24"/>
        </w:rPr>
      </w:pPr>
      <w:r>
        <w:rPr>
          <w:sz w:val="24"/>
          <w:szCs w:val="24"/>
        </w:rPr>
        <w:t>В 2024 году - 250,9 млн. рублей: фонд оплаты работников аппарата мировых судей – 151,7 млн. рублей, материально-техническое обеспечение – 99,1 млн. рублей, рост составил  93% к аналогичному показателю 2020 года.</w:t>
      </w:r>
    </w:p>
    <w:p>
      <w:pPr>
        <w:pStyle w:val="Normal"/>
        <w:ind w:firstLine="567"/>
        <w:jc w:val="both"/>
        <w:rPr>
          <w:sz w:val="24"/>
          <w:szCs w:val="24"/>
        </w:rPr>
      </w:pPr>
      <w:r>
        <w:rPr>
          <w:sz w:val="24"/>
          <w:szCs w:val="24"/>
        </w:rPr>
      </w:r>
    </w:p>
    <w:p>
      <w:pPr>
        <w:pStyle w:val="Normal"/>
        <w:jc w:val="center"/>
        <w:rPr>
          <w:b/>
          <w:sz w:val="24"/>
          <w:szCs w:val="24"/>
        </w:rPr>
      </w:pPr>
      <w:r>
        <w:rPr>
          <w:b/>
          <w:sz w:val="24"/>
          <w:szCs w:val="24"/>
        </w:rPr>
        <w:t>Финансовое и материально-техническое обеспечение деятельности мировых судей Чувашской Республики (млн.рублей)</w:t>
      </w:r>
    </w:p>
    <w:p>
      <w:pPr>
        <w:pStyle w:val="Normal"/>
        <w:jc w:val="center"/>
        <w:rPr>
          <w:sz w:val="24"/>
          <w:szCs w:val="24"/>
        </w:rPr>
      </w:pPr>
      <w:r>
        <w:rPr>
          <w:sz w:val="24"/>
          <w:szCs w:val="24"/>
        </w:rPr>
      </w:r>
    </w:p>
    <w:p>
      <w:pPr>
        <w:pStyle w:val="Normal"/>
        <w:ind w:firstLine="142"/>
        <w:jc w:val="both"/>
        <w:rPr>
          <w:sz w:val="24"/>
          <w:szCs w:val="24"/>
        </w:rPr>
      </w:pPr>
      <w:r>
        <w:rPr/>
        <w:drawing>
          <wp:inline distT="0" distB="0" distL="0" distR="0">
            <wp:extent cx="5600700" cy="2019300"/>
            <wp:effectExtent l="0" t="0" r="0" b="0"/>
            <wp:docPr id="1" name="Диаграмма 1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ind w:firstLine="567"/>
        <w:jc w:val="both"/>
        <w:rPr>
          <w:sz w:val="24"/>
          <w:szCs w:val="24"/>
        </w:rPr>
      </w:pPr>
      <w:r>
        <w:rPr>
          <w:sz w:val="24"/>
          <w:szCs w:val="24"/>
        </w:rPr>
      </w:r>
    </w:p>
    <w:p>
      <w:pPr>
        <w:pStyle w:val="Normal"/>
        <w:ind w:firstLine="567"/>
        <w:jc w:val="both"/>
        <w:rPr>
          <w:sz w:val="24"/>
          <w:szCs w:val="24"/>
        </w:rPr>
      </w:pPr>
      <w:r>
        <w:rPr>
          <w:sz w:val="24"/>
          <w:szCs w:val="24"/>
        </w:rPr>
        <w:t xml:space="preserve">За период с 2020 по 2024 увеличилось число отремонтированных судебных участков на 5 единиц, что позволило создать условия для надлежащего и безопасного отправления правосудия. Всего на эти цели направлено средств в размере 13,3 млн. рублей. </w:t>
      </w:r>
    </w:p>
    <w:p>
      <w:pPr>
        <w:pStyle w:val="Normal"/>
        <w:ind w:firstLine="567"/>
        <w:jc w:val="both"/>
        <w:rPr>
          <w:sz w:val="24"/>
          <w:szCs w:val="24"/>
        </w:rPr>
      </w:pPr>
      <w:r>
        <w:rPr>
          <w:sz w:val="24"/>
          <w:szCs w:val="24"/>
        </w:rPr>
        <w:t xml:space="preserve">Вместе с тем, в связи с длительным  сроком эксплуатации отмечается рост в потребности на ремонт помещений судебных участков и обновлении используемой ими оргтехники. </w:t>
      </w:r>
    </w:p>
    <w:p>
      <w:pPr>
        <w:pStyle w:val="Normal"/>
        <w:ind w:firstLine="567"/>
        <w:jc w:val="both"/>
        <w:rPr>
          <w:sz w:val="24"/>
          <w:szCs w:val="24"/>
        </w:rPr>
      </w:pPr>
      <w:r>
        <w:rPr>
          <w:sz w:val="24"/>
          <w:szCs w:val="24"/>
        </w:rPr>
        <w:t>Задачи на 2025 год:</w:t>
      </w:r>
    </w:p>
    <w:p>
      <w:pPr>
        <w:pStyle w:val="Normal"/>
        <w:ind w:firstLine="567"/>
        <w:jc w:val="both"/>
        <w:rPr>
          <w:sz w:val="24"/>
          <w:szCs w:val="24"/>
        </w:rPr>
      </w:pPr>
      <w:r>
        <w:rPr>
          <w:sz w:val="24"/>
          <w:szCs w:val="24"/>
        </w:rPr>
        <w:t xml:space="preserve">- повышение уровня обеспеченности надлежащего и безопасного отправления правосудия путем осуществления ремонта помещений - не менее 1 судебного участка (срок 1 декабря); </w:t>
      </w:r>
    </w:p>
    <w:p>
      <w:pPr>
        <w:pStyle w:val="Normal"/>
        <w:ind w:firstLine="567"/>
        <w:jc w:val="both"/>
        <w:rPr>
          <w:sz w:val="24"/>
          <w:szCs w:val="24"/>
        </w:rPr>
      </w:pPr>
      <w:r>
        <w:rPr>
          <w:sz w:val="24"/>
          <w:szCs w:val="24"/>
        </w:rPr>
        <w:t xml:space="preserve">- обновление состава оргтехники на судебных участках – не менее 55 ед. </w:t>
      </w:r>
    </w:p>
    <w:p>
      <w:pPr>
        <w:pStyle w:val="Normal"/>
        <w:ind w:firstLine="567"/>
        <w:jc w:val="both"/>
        <w:rPr>
          <w:sz w:val="24"/>
          <w:szCs w:val="24"/>
        </w:rPr>
      </w:pPr>
      <w:r>
        <w:rPr>
          <w:sz w:val="24"/>
          <w:szCs w:val="24"/>
        </w:rPr>
        <w:t>В перспективе на 2026 – 2030 годы в целях создания надлежащих условий для эффективного осуществления правосудия, а также обеспечения непрерывной и бесперебойной деятельности мировых судей Чувашской Республики и их аппарата предлагается создание учреждения, подведомственного Государственной службе Чувашской Республики по делам юстиции, на которое будет возложено исполнение функций административно-хозяйственной направленности, материального обеспечения и реализации иных мер, связанных с организационной деятельностью мировых судей Чувашской Республики</w:t>
      </w:r>
      <w:r>
        <w:rPr>
          <w:rFonts w:eastAsia="Calibri" w:eastAsiaTheme="minorHAnsi"/>
          <w:sz w:val="24"/>
          <w:szCs w:val="24"/>
          <w:lang w:eastAsia="en-US"/>
        </w:rPr>
        <w:t>.</w:t>
      </w:r>
    </w:p>
    <w:p>
      <w:pPr>
        <w:pStyle w:val="Normal"/>
        <w:jc w:val="center"/>
        <w:rPr>
          <w:sz w:val="24"/>
          <w:szCs w:val="24"/>
        </w:rPr>
      </w:pPr>
      <w:r>
        <w:rPr>
          <w:sz w:val="24"/>
          <w:szCs w:val="24"/>
        </w:rPr>
      </w:r>
    </w:p>
    <w:p>
      <w:pPr>
        <w:pStyle w:val="Normal"/>
        <w:ind w:firstLine="567"/>
        <w:jc w:val="center"/>
        <w:rPr>
          <w:b/>
          <w:bCs/>
          <w:sz w:val="24"/>
          <w:szCs w:val="24"/>
        </w:rPr>
      </w:pPr>
      <w:r>
        <w:rPr>
          <w:b/>
          <w:bCs/>
          <w:sz w:val="24"/>
          <w:szCs w:val="24"/>
        </w:rPr>
        <w:t>Администрирование штрафов, установленных Кодексом Российской Федерации об административных правонарушениях, в случае вынесения постановления о наложении административного штрафа мировыми судьями</w:t>
      </w:r>
    </w:p>
    <w:p>
      <w:pPr>
        <w:pStyle w:val="Normal"/>
        <w:shd w:val="clear" w:color="auto" w:fill="FFFFFF"/>
        <w:ind w:firstLine="709"/>
        <w:jc w:val="both"/>
        <w:rPr>
          <w:sz w:val="24"/>
          <w:szCs w:val="24"/>
        </w:rPr>
      </w:pPr>
      <w:r>
        <w:rPr>
          <w:sz w:val="24"/>
          <w:szCs w:val="24"/>
        </w:rPr>
        <w:drawing>
          <wp:anchor behindDoc="0" distT="0" distB="0" distL="0" distR="0" simplePos="0" locked="0" layoutInCell="0" allowOverlap="1" relativeHeight="3">
            <wp:simplePos x="0" y="0"/>
            <wp:positionH relativeFrom="column">
              <wp:posOffset>577215</wp:posOffset>
            </wp:positionH>
            <wp:positionV relativeFrom="paragraph">
              <wp:posOffset>74295</wp:posOffset>
            </wp:positionV>
            <wp:extent cx="4799330" cy="1390650"/>
            <wp:effectExtent l="0" t="0" r="0" b="0"/>
            <wp:wrapSquare wrapText="bothSides"/>
            <wp:docPr id="2"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8" descr=""/>
                    <pic:cNvPicPr>
                      <a:picLocks noChangeAspect="1" noChangeArrowheads="1"/>
                    </pic:cNvPicPr>
                  </pic:nvPicPr>
                  <pic:blipFill>
                    <a:blip r:embed="rId11"/>
                    <a:stretch>
                      <a:fillRect/>
                    </a:stretch>
                  </pic:blipFill>
                  <pic:spPr bwMode="auto">
                    <a:xfrm>
                      <a:off x="0" y="0"/>
                      <a:ext cx="4799330" cy="139065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ind w:firstLine="851"/>
        <w:jc w:val="both"/>
        <w:rPr>
          <w:sz w:val="24"/>
          <w:szCs w:val="24"/>
        </w:rPr>
      </w:pPr>
      <w:r>
        <w:rPr>
          <w:rFonts w:eastAsia="Calibri" w:eastAsiaTheme="minorHAnsi"/>
          <w:sz w:val="24"/>
          <w:szCs w:val="24"/>
          <w:lang w:eastAsia="en-US"/>
        </w:rPr>
        <w:t xml:space="preserve">По администрируемым Госслужбой доходам за период 2020 – 2024 годы всего начислено платежей в размере 675, 3 млн. рублей.  </w:t>
      </w:r>
    </w:p>
    <w:p>
      <w:pPr>
        <w:pStyle w:val="Normal"/>
        <w:ind w:firstLine="851"/>
        <w:jc w:val="both"/>
        <w:rPr>
          <w:sz w:val="24"/>
          <w:szCs w:val="24"/>
        </w:rPr>
      </w:pPr>
      <w:r>
        <w:rPr>
          <w:sz w:val="24"/>
          <w:szCs w:val="24"/>
        </w:rPr>
        <w:t>В 2024 году рост объема начислений платежей в сравнении с 2020 годом составил 52%, рост объема поступивших средств – 27%.</w:t>
      </w:r>
    </w:p>
    <w:p>
      <w:pPr>
        <w:pStyle w:val="Normal"/>
        <w:ind w:firstLine="851"/>
        <w:jc w:val="both"/>
        <w:rPr>
          <w:sz w:val="24"/>
          <w:szCs w:val="24"/>
        </w:rPr>
      </w:pPr>
      <w:r>
        <w:rPr>
          <w:sz w:val="24"/>
          <w:szCs w:val="24"/>
        </w:rPr>
        <w:t>В целях выравнивания уровня начислений и объема поступивших средств  требуется совершенствование механизма взаимодействия с органами принудительного исполнения судебных актов.</w:t>
      </w:r>
    </w:p>
    <w:p>
      <w:pPr>
        <w:pStyle w:val="Normal"/>
        <w:ind w:firstLine="851"/>
        <w:jc w:val="both"/>
        <w:rPr>
          <w:sz w:val="24"/>
          <w:szCs w:val="24"/>
        </w:rPr>
      </w:pPr>
      <w:r>
        <w:rPr>
          <w:sz w:val="24"/>
          <w:szCs w:val="24"/>
        </w:rPr>
        <w:t>Задачи на 2025 год:</w:t>
      </w:r>
    </w:p>
    <w:p>
      <w:pPr>
        <w:pStyle w:val="Normal"/>
        <w:ind w:firstLine="851"/>
        <w:jc w:val="both"/>
        <w:rPr>
          <w:sz w:val="24"/>
          <w:szCs w:val="24"/>
        </w:rPr>
      </w:pPr>
      <w:r>
        <w:rPr>
          <w:sz w:val="24"/>
          <w:szCs w:val="24"/>
        </w:rPr>
        <w:t>- повышение эффективности деятельности по исполнению судебных актов путем совершенствования механизма электронного взаимодействия судебных участков мировых судей с органами принудительного исполнения;</w:t>
      </w:r>
    </w:p>
    <w:p>
      <w:pPr>
        <w:pStyle w:val="Normal"/>
        <w:ind w:firstLine="851"/>
        <w:jc w:val="both"/>
        <w:rPr>
          <w:sz w:val="24"/>
          <w:szCs w:val="24"/>
        </w:rPr>
      </w:pPr>
      <w:r>
        <w:rPr>
          <w:sz w:val="24"/>
          <w:szCs w:val="24"/>
        </w:rPr>
        <w:t>- увеличение доходной части республиканского бюджета Чувашской Республики.</w:t>
      </w:r>
    </w:p>
    <w:p>
      <w:pPr>
        <w:pStyle w:val="Normal"/>
        <w:ind w:firstLine="851"/>
        <w:jc w:val="both"/>
        <w:rPr>
          <w:sz w:val="24"/>
          <w:szCs w:val="24"/>
        </w:rPr>
      </w:pPr>
      <w:r>
        <w:rPr>
          <w:sz w:val="24"/>
          <w:szCs w:val="24"/>
        </w:rPr>
        <w:t xml:space="preserve">Прогноз на 2026-2030 гг., обеспечение </w:t>
      </w:r>
      <w:r>
        <w:rPr>
          <w:rFonts w:eastAsia="Calibri" w:eastAsiaTheme="minorHAnsi"/>
          <w:sz w:val="24"/>
          <w:szCs w:val="24"/>
          <w:lang w:eastAsia="en-US"/>
        </w:rPr>
        <w:t xml:space="preserve">к 2030 году </w:t>
      </w:r>
      <w:r>
        <w:rPr>
          <w:sz w:val="24"/>
          <w:szCs w:val="24"/>
        </w:rPr>
        <w:t>не менее чем на 25% роста поступлений неналоговых доходов в консолидированный бюджет Чувашской Республики от штрафов, налагаемых мировыми судьями Чувашской Республики.</w:t>
      </w:r>
    </w:p>
    <w:p>
      <w:pPr>
        <w:pStyle w:val="Normal"/>
        <w:rPr>
          <w:sz w:val="24"/>
          <w:szCs w:val="24"/>
        </w:rPr>
      </w:pPr>
      <w:r>
        <w:rPr>
          <w:sz w:val="24"/>
          <w:szCs w:val="24"/>
        </w:rPr>
      </w:r>
    </w:p>
    <w:p>
      <w:pPr>
        <w:pStyle w:val="Normal"/>
        <w:rPr>
          <w:sz w:val="24"/>
          <w:szCs w:val="24"/>
        </w:rPr>
      </w:pPr>
      <w:r>
        <w:rPr>
          <w:sz w:val="24"/>
          <w:szCs w:val="24"/>
        </w:rPr>
      </w:r>
    </w:p>
    <w:p>
      <w:pPr>
        <w:pStyle w:val="Normal"/>
        <w:jc w:val="center"/>
        <w:rPr>
          <w:sz w:val="24"/>
          <w:szCs w:val="24"/>
        </w:rPr>
      </w:pPr>
      <w:r>
        <w:rPr>
          <w:b/>
          <w:sz w:val="24"/>
          <w:szCs w:val="24"/>
        </w:rPr>
        <w:t xml:space="preserve">Деятельность органов ЗАГС Чувашской Республики по регистрации актов гражданского состояния </w:t>
      </w:r>
    </w:p>
    <w:p>
      <w:pPr>
        <w:pStyle w:val="Normal"/>
        <w:ind w:left="-110" w:firstLine="650"/>
        <w:jc w:val="center"/>
        <w:rPr>
          <w:b/>
          <w:sz w:val="24"/>
          <w:szCs w:val="24"/>
        </w:rPr>
      </w:pPr>
      <w:r>
        <w:rPr>
          <w:b/>
          <w:sz w:val="24"/>
          <w:szCs w:val="24"/>
        </w:rPr>
      </w:r>
    </w:p>
    <w:p>
      <w:pPr>
        <w:pStyle w:val="Normal"/>
        <w:ind w:firstLine="709"/>
        <w:rPr>
          <w:sz w:val="24"/>
          <w:szCs w:val="24"/>
        </w:rPr>
      </w:pPr>
      <w:r>
        <w:rPr>
          <w:color w:val="000000"/>
          <w:sz w:val="24"/>
          <w:szCs w:val="24"/>
        </w:rPr>
        <w:t>В России с 1 октября 2018 г. запущена новая информационная система –</w:t>
      </w:r>
      <w:r>
        <w:rPr>
          <w:sz w:val="24"/>
          <w:szCs w:val="24"/>
        </w:rPr>
        <w:t xml:space="preserve"> Единый государственный реестр ЗАГС. К 2021 году все новые актовые записи, созданные с 1 октября, вносятся в ЕГР ЗАГС, а старые с 1926 года переводились в ЕГР ЗАГС.</w:t>
      </w:r>
    </w:p>
    <w:p>
      <w:pPr>
        <w:pStyle w:val="Normal"/>
        <w:ind w:firstLine="708"/>
        <w:jc w:val="both"/>
        <w:rPr>
          <w:sz w:val="24"/>
          <w:szCs w:val="24"/>
        </w:rPr>
      </w:pPr>
      <w:r>
        <w:rPr>
          <w:sz w:val="24"/>
          <w:szCs w:val="24"/>
        </w:rPr>
        <w:t>Формирование ЕГР ЗАГС позволило осуществлять экстерриториальный принцип на регистрацию всех актов гражданского состояния.</w:t>
      </w:r>
    </w:p>
    <w:p>
      <w:pPr>
        <w:pStyle w:val="Normal"/>
        <w:ind w:firstLine="567"/>
        <w:rPr>
          <w:sz w:val="24"/>
          <w:szCs w:val="24"/>
        </w:rPr>
      </w:pPr>
      <w:r>
        <w:rPr>
          <w:sz w:val="24"/>
          <w:szCs w:val="24"/>
        </w:rPr>
        <w:t>Госслужба совместно с органами ЗАГС проводит целенаправленную работу по укреплению института семьи и профилактику разводов.  Так, за 11 месяцев 2024 года количество разводов уменьшилось на 5,8%.</w:t>
      </w:r>
    </w:p>
    <w:p>
      <w:pPr>
        <w:pStyle w:val="Normal"/>
        <w:shd w:val="clear" w:color="auto" w:fill="FFFFFF"/>
        <w:spacing w:lineRule="atLeast" w:line="57" w:before="0" w:after="0"/>
        <w:ind w:firstLine="709"/>
        <w:contextualSpacing/>
        <w:jc w:val="both"/>
        <w:rPr>
          <w:sz w:val="24"/>
          <w:szCs w:val="24"/>
        </w:rPr>
      </w:pPr>
      <w:r>
        <w:rPr>
          <w:sz w:val="24"/>
          <w:szCs w:val="24"/>
        </w:rPr>
        <w:t>Чувашская Республика сохраняет лидирующие позиции в стране по наименьшему количеству разводов. По данным Росстата, по итогам 9 месяцев 2024 года по наименьшему количеству разводов на 1000 населения в Приволжском федеральном округе Чувашская Республика с коэффициентом 3,4 занимает 3  место, уступая Республикам Татарстан и Мордовия, а среди всех субъектов Российской Федерации – 4 место (по РФ данный коэффициент составляет 4,4, по ПФО – 3,9).</w:t>
      </w:r>
    </w:p>
    <w:p>
      <w:pPr>
        <w:pStyle w:val="Normal"/>
        <w:shd w:val="clear" w:color="auto" w:fill="FFFFFF"/>
        <w:spacing w:lineRule="atLeast" w:line="57" w:before="0" w:after="0"/>
        <w:ind w:firstLine="709"/>
        <w:contextualSpacing/>
        <w:jc w:val="both"/>
        <w:rPr>
          <w:sz w:val="24"/>
          <w:szCs w:val="24"/>
        </w:rPr>
      </w:pPr>
      <w:r>
        <w:rPr>
          <w:sz w:val="24"/>
          <w:szCs w:val="24"/>
        </w:rPr>
      </w:r>
    </w:p>
    <w:p>
      <w:pPr>
        <w:pStyle w:val="Normal"/>
        <w:shd w:val="clear" w:color="auto" w:fill="FFFFFF"/>
        <w:spacing w:lineRule="atLeast" w:line="57" w:before="0" w:after="0"/>
        <w:ind w:firstLine="709"/>
        <w:contextualSpacing/>
        <w:jc w:val="both"/>
        <w:rPr>
          <w:sz w:val="24"/>
          <w:szCs w:val="24"/>
        </w:rPr>
      </w:pPr>
      <w:r>
        <w:rPr>
          <w:sz w:val="24"/>
          <w:szCs w:val="24"/>
        </w:rPr>
        <w:drawing>
          <wp:anchor behindDoc="0" distT="0" distB="0" distL="0" distR="0" simplePos="0" locked="0" layoutInCell="1" allowOverlap="1" relativeHeight="4">
            <wp:simplePos x="0" y="0"/>
            <wp:positionH relativeFrom="column">
              <wp:posOffset>24765</wp:posOffset>
            </wp:positionH>
            <wp:positionV relativeFrom="paragraph">
              <wp:posOffset>28575</wp:posOffset>
            </wp:positionV>
            <wp:extent cx="5772150" cy="2628900"/>
            <wp:effectExtent l="0" t="0" r="0" b="0"/>
            <wp:wrapSquare wrapText="bothSides"/>
            <wp:docPr id="3" name="Объект6"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pStyle w:val="Normal"/>
        <w:shd w:val="clear" w:color="auto" w:fill="FFFFFF"/>
        <w:spacing w:lineRule="atLeast" w:line="57" w:before="0" w:after="0"/>
        <w:ind w:firstLine="709"/>
        <w:contextualSpacing/>
        <w:jc w:val="both"/>
        <w:rPr>
          <w:sz w:val="24"/>
          <w:szCs w:val="24"/>
        </w:rPr>
      </w:pPr>
      <w:r>
        <w:rPr>
          <w:sz w:val="24"/>
          <w:szCs w:val="24"/>
        </w:rPr>
      </w:r>
    </w:p>
    <w:p>
      <w:pPr>
        <w:pStyle w:val="Normal"/>
        <w:ind w:firstLine="709"/>
        <w:jc w:val="both"/>
        <w:rPr>
          <w:sz w:val="24"/>
          <w:szCs w:val="24"/>
        </w:rPr>
      </w:pPr>
      <w:r>
        <w:rPr>
          <w:sz w:val="24"/>
          <w:szCs w:val="24"/>
        </w:rPr>
        <w:t xml:space="preserve">В республике продолжается реализация проекта «Вместе навсегда – высшая цель семейной жизни», направленного на профилактику разводов и укрепление семьи, формирование ответственного родительства, возвращения ценности материнства и отцовства. </w:t>
      </w:r>
    </w:p>
    <w:p>
      <w:pPr>
        <w:pStyle w:val="Normal"/>
        <w:ind w:firstLine="709"/>
        <w:jc w:val="both"/>
        <w:rPr>
          <w:sz w:val="24"/>
          <w:szCs w:val="24"/>
        </w:rPr>
      </w:pPr>
      <w:r>
        <w:rPr>
          <w:sz w:val="24"/>
          <w:szCs w:val="24"/>
        </w:rPr>
        <w:t xml:space="preserve">В рамках проекта психологи оказывают помощь молодоженам и семейным парам по вопросам внутрисемейных отношений, информируют население о процессах семейных отношений с целью повышения уровня их социальных и психологических знаний,  создания и сохранения хорошей крепкой семьи. Участниками мероприятий стало более 1500 человек. </w:t>
      </w:r>
    </w:p>
    <w:p>
      <w:pPr>
        <w:pStyle w:val="Normal"/>
        <w:ind w:firstLine="567"/>
        <w:jc w:val="both"/>
        <w:rPr>
          <w:sz w:val="24"/>
          <w:szCs w:val="24"/>
        </w:rPr>
      </w:pPr>
      <w:r>
        <w:rPr>
          <w:sz w:val="24"/>
          <w:szCs w:val="24"/>
        </w:rPr>
        <w:t xml:space="preserve">Только в 2024 году по итогам профилактической работы с парами, обратившимися за расторжением брака по взаимному согласию 130 пар отказались от развода после беседы с психологом. </w:t>
      </w:r>
    </w:p>
    <w:p>
      <w:pPr>
        <w:pStyle w:val="Normal"/>
        <w:ind w:firstLine="650"/>
        <w:jc w:val="both"/>
        <w:rPr>
          <w:sz w:val="24"/>
          <w:szCs w:val="24"/>
        </w:rPr>
      </w:pPr>
      <w:r>
        <w:rPr>
          <w:sz w:val="24"/>
          <w:szCs w:val="24"/>
        </w:rPr>
        <w:t>За 2020-2024 годы улучшились показатели по предоставлению электронных услуг в сфере ЗАГС.</w:t>
      </w:r>
    </w:p>
    <w:p>
      <w:pPr>
        <w:pStyle w:val="Normal"/>
        <w:ind w:firstLine="851"/>
        <w:jc w:val="both"/>
        <w:rPr>
          <w:sz w:val="24"/>
          <w:szCs w:val="24"/>
        </w:rPr>
      </w:pPr>
      <w:r>
        <w:rPr>
          <w:sz w:val="24"/>
          <w:szCs w:val="24"/>
        </w:rPr>
        <w:t xml:space="preserve">  </w:t>
      </w:r>
      <w:r>
        <w:rPr/>
        <w:drawing>
          <wp:inline distT="0" distB="0" distL="0" distR="0">
            <wp:extent cx="5498465" cy="1945640"/>
            <wp:effectExtent l="0" t="0" r="0" b="0"/>
            <wp:docPr id="4" name="Диаграмма 11"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ind w:firstLine="650"/>
        <w:jc w:val="both"/>
        <w:rPr>
          <w:sz w:val="24"/>
          <w:szCs w:val="24"/>
        </w:rPr>
      </w:pPr>
      <w:r>
        <w:rPr>
          <w:sz w:val="24"/>
          <w:szCs w:val="24"/>
        </w:rPr>
      </w:r>
    </w:p>
    <w:p>
      <w:pPr>
        <w:pStyle w:val="Normal"/>
        <w:ind w:firstLine="650"/>
        <w:jc w:val="both"/>
        <w:rPr>
          <w:sz w:val="24"/>
          <w:szCs w:val="24"/>
        </w:rPr>
      </w:pPr>
      <w:r>
        <w:rPr>
          <w:sz w:val="24"/>
          <w:szCs w:val="24"/>
        </w:rPr>
      </w:r>
    </w:p>
    <w:p>
      <w:pPr>
        <w:pStyle w:val="Normal"/>
        <w:tabs>
          <w:tab w:val="clear" w:pos="708"/>
          <w:tab w:val="left" w:pos="4536" w:leader="none"/>
        </w:tabs>
        <w:ind w:firstLine="709"/>
        <w:jc w:val="both"/>
        <w:rPr>
          <w:sz w:val="24"/>
          <w:szCs w:val="24"/>
        </w:rPr>
      </w:pPr>
      <w:r>
        <w:rPr>
          <w:sz w:val="24"/>
          <w:szCs w:val="24"/>
        </w:rPr>
        <w:t xml:space="preserve">Важным шагом по улучшению доступности электронных государственных услуг в сфере ЗАГС стало  внедрение суперсервиса «Рождение ребенка» на  ЕПГУ. </w:t>
      </w:r>
    </w:p>
    <w:p>
      <w:pPr>
        <w:pStyle w:val="Normal"/>
        <w:ind w:firstLine="709"/>
        <w:jc w:val="both"/>
        <w:rPr>
          <w:sz w:val="24"/>
          <w:szCs w:val="24"/>
        </w:rPr>
      </w:pPr>
      <w:r>
        <w:rPr>
          <w:sz w:val="24"/>
          <w:szCs w:val="24"/>
        </w:rPr>
        <w:t xml:space="preserve">В 2024 году по состоянию на 12 декабря  подано 5839 заявлений с использованием суперсервиса, </w:t>
      </w:r>
      <w:r>
        <w:rPr>
          <w:sz w:val="24"/>
          <w:szCs w:val="24"/>
          <w:shd w:fill="FFFFFF" w:val="clear"/>
        </w:rPr>
        <w:t xml:space="preserve">что составляет  </w:t>
      </w:r>
      <w:r>
        <w:rPr>
          <w:sz w:val="24"/>
          <w:szCs w:val="24"/>
        </w:rPr>
        <w:t>69,2 %.</w:t>
      </w:r>
    </w:p>
    <w:p>
      <w:pPr>
        <w:pStyle w:val="Normal"/>
        <w:ind w:firstLine="709"/>
        <w:jc w:val="both"/>
        <w:rPr>
          <w:sz w:val="24"/>
          <w:szCs w:val="24"/>
        </w:rPr>
      </w:pPr>
      <w:r>
        <w:rPr>
          <w:sz w:val="24"/>
          <w:szCs w:val="24"/>
        </w:rPr>
        <w:t xml:space="preserve">В рамках проекта «Эффективный регион» в 2024 году реализован проект по оптимизации процесса по предоставлению государственной услуги по проставлению апостиля на официальных документах, подлежащих вывозу за границу. В результате сокращено  время предоставления услуги. </w:t>
      </w:r>
    </w:p>
    <w:p>
      <w:pPr>
        <w:pStyle w:val="Normal"/>
        <w:ind w:firstLine="709"/>
        <w:jc w:val="both"/>
        <w:rPr>
          <w:sz w:val="24"/>
          <w:szCs w:val="24"/>
        </w:rPr>
      </w:pPr>
      <w:r>
        <w:drawing>
          <wp:anchor behindDoc="0" distT="0" distB="0" distL="114935" distR="114935" simplePos="0" locked="0" layoutInCell="0" allowOverlap="1" relativeHeight="5">
            <wp:simplePos x="0" y="0"/>
            <wp:positionH relativeFrom="column">
              <wp:posOffset>4145915</wp:posOffset>
            </wp:positionH>
            <wp:positionV relativeFrom="paragraph">
              <wp:posOffset>554990</wp:posOffset>
            </wp:positionV>
            <wp:extent cx="1797685" cy="2893060"/>
            <wp:effectExtent l="0" t="0" r="0" b="0"/>
            <wp:wrapSquare wrapText="bothSides"/>
            <wp:docPr id="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
                    <pic:cNvPicPr>
                      <a:picLocks noChangeAspect="1" noChangeArrowheads="1"/>
                    </pic:cNvPicPr>
                  </pic:nvPicPr>
                  <pic:blipFill>
                    <a:blip r:embed="rId14"/>
                    <a:srcRect l="26401" t="19851" r="50419" b="6033"/>
                    <a:stretch>
                      <a:fillRect/>
                    </a:stretch>
                  </pic:blipFill>
                  <pic:spPr bwMode="auto">
                    <a:xfrm>
                      <a:off x="0" y="0"/>
                      <a:ext cx="1797685" cy="2893060"/>
                    </a:xfrm>
                    <a:prstGeom prst="rect">
                      <a:avLst/>
                    </a:prstGeom>
                  </pic:spPr>
                </pic:pic>
              </a:graphicData>
            </a:graphic>
          </wp:anchor>
        </w:drawing>
      </w:r>
      <w:r>
        <w:rPr>
          <w:sz w:val="24"/>
          <w:szCs w:val="24"/>
        </w:rPr>
        <w:t>В 2024 году решен проблемный вопрос по н</w:t>
      </w:r>
      <w:r>
        <w:rPr>
          <w:rFonts w:eastAsia="Arial"/>
          <w:bCs/>
          <w:color w:val="000000"/>
          <w:sz w:val="24"/>
          <w:szCs w:val="24"/>
        </w:rPr>
        <w:t>едостаточному информированию граждан о порядке предоставления услуги по проставлению апостиля, в связи с чем зачастую случались ошибочные обращения за консультацией в различные органы, осуществляющие проставление апостиля на документах.</w:t>
      </w:r>
    </w:p>
    <w:p>
      <w:pPr>
        <w:pStyle w:val="Normal"/>
        <w:ind w:firstLine="709"/>
        <w:jc w:val="both"/>
        <w:rPr>
          <w:sz w:val="24"/>
          <w:szCs w:val="24"/>
        </w:rPr>
      </w:pPr>
      <w:r>
        <w:rPr>
          <w:sz w:val="24"/>
          <w:szCs w:val="24"/>
        </w:rPr>
        <w:t xml:space="preserve">В связи с этим у заявителя возникали большие временные затраты для получения услуги. </w:t>
      </w:r>
    </w:p>
    <w:p>
      <w:pPr>
        <w:pStyle w:val="Normal"/>
        <w:ind w:firstLine="709"/>
        <w:jc w:val="both"/>
        <w:rPr>
          <w:sz w:val="24"/>
          <w:szCs w:val="24"/>
        </w:rPr>
      </w:pPr>
      <w:r>
        <w:rPr>
          <w:sz w:val="24"/>
          <w:szCs w:val="24"/>
        </w:rPr>
        <w:t xml:space="preserve">В рамках решения проблемного вопроса разработан сервис (чат-бот) в мессенджере </w:t>
      </w:r>
      <w:r>
        <w:rPr>
          <w:bCs/>
          <w:sz w:val="24"/>
          <w:szCs w:val="24"/>
          <w:shd w:fill="FFFFFF" w:val="clear"/>
        </w:rPr>
        <w:t>Telegram</w:t>
      </w:r>
      <w:r>
        <w:rPr>
          <w:sz w:val="24"/>
          <w:szCs w:val="24"/>
        </w:rPr>
        <w:t>. Сервис запущен к 1 декабря 2024 г.</w:t>
      </w:r>
    </w:p>
    <w:p>
      <w:pPr>
        <w:pStyle w:val="Normal"/>
        <w:ind w:firstLine="709"/>
        <w:jc w:val="both"/>
        <w:rPr>
          <w:sz w:val="24"/>
          <w:szCs w:val="24"/>
        </w:rPr>
      </w:pPr>
      <w:r>
        <w:rPr>
          <w:sz w:val="24"/>
          <w:szCs w:val="24"/>
        </w:rPr>
        <w:t xml:space="preserve">Данная идея вошла в число 5 жизненных ситуаций Чувашии и одобрена протоколом заседания рабочей группы по внедрению принципов и стандартов клиентоцентричности в государственное управление в Чувашской Республике от 26 июня 2024 г. </w:t>
      </w:r>
    </w:p>
    <w:p>
      <w:pPr>
        <w:pStyle w:val="Normal"/>
        <w:ind w:firstLine="709"/>
        <w:jc w:val="both"/>
        <w:rPr>
          <w:sz w:val="24"/>
          <w:szCs w:val="24"/>
        </w:rPr>
      </w:pPr>
      <w:r>
        <w:rPr>
          <w:sz w:val="24"/>
          <w:szCs w:val="24"/>
        </w:rPr>
        <w:t xml:space="preserve">Суть жизненной ситуации в том, что заявитель взаимодействует с ботом по вопросам о порядке получения услуги, о требованиях к оформлению документов. Через данный бот будет возможность оплаты госпошлины, используя </w:t>
      </w:r>
      <w:r>
        <w:rPr>
          <w:sz w:val="24"/>
          <w:szCs w:val="24"/>
          <w:lang w:val="en-US"/>
        </w:rPr>
        <w:t>QR</w:t>
      </w:r>
      <w:r>
        <w:rPr>
          <w:sz w:val="24"/>
          <w:szCs w:val="24"/>
        </w:rPr>
        <w:t xml:space="preserve">-код. </w:t>
      </w:r>
    </w:p>
    <w:p>
      <w:pPr>
        <w:pStyle w:val="Normal"/>
        <w:ind w:firstLine="709"/>
        <w:jc w:val="both"/>
        <w:rPr>
          <w:sz w:val="24"/>
          <w:szCs w:val="24"/>
        </w:rPr>
      </w:pPr>
      <w:r>
        <w:rPr>
          <w:sz w:val="24"/>
          <w:szCs w:val="24"/>
        </w:rPr>
        <w:t>Бот содержит разделы о проставлении апостиля не только на документах, выданных органами ЗАГС Чувашии, но и также на документах МВД, Минобразования, нотариусов Чувашии.</w:t>
      </w:r>
    </w:p>
    <w:p>
      <w:pPr>
        <w:pStyle w:val="Normal"/>
        <w:ind w:firstLine="709"/>
        <w:jc w:val="both"/>
        <w:rPr>
          <w:sz w:val="24"/>
          <w:szCs w:val="24"/>
        </w:rPr>
      </w:pPr>
      <w:r>
        <w:rPr>
          <w:sz w:val="24"/>
          <w:szCs w:val="24"/>
        </w:rPr>
      </w:r>
    </w:p>
    <w:p>
      <w:pPr>
        <w:pStyle w:val="Normal"/>
        <w:shd w:val="clear" w:color="auto" w:fill="FFFFFF"/>
        <w:ind w:firstLine="709"/>
        <w:jc w:val="center"/>
        <w:rPr>
          <w:sz w:val="24"/>
          <w:szCs w:val="24"/>
        </w:rPr>
      </w:pPr>
      <w:r>
        <w:rPr>
          <w:b/>
          <w:sz w:val="24"/>
          <w:szCs w:val="24"/>
        </w:rPr>
        <w:t>Эффективность бюджетных расходов</w:t>
      </w:r>
    </w:p>
    <w:p>
      <w:pPr>
        <w:pStyle w:val="Normal"/>
        <w:shd w:val="clear" w:color="auto" w:fill="FFFFFF"/>
        <w:ind w:firstLine="709"/>
        <w:jc w:val="center"/>
        <w:rPr>
          <w:b/>
          <w:sz w:val="24"/>
          <w:szCs w:val="24"/>
        </w:rPr>
      </w:pPr>
      <w:r>
        <w:rPr>
          <w:b/>
          <w:sz w:val="24"/>
          <w:szCs w:val="24"/>
        </w:rPr>
      </w:r>
    </w:p>
    <w:p>
      <w:pPr>
        <w:pStyle w:val="Cs47ea936"/>
        <w:ind w:right="100" w:firstLine="567"/>
        <w:rPr/>
      </w:pPr>
      <w:r>
        <w:rPr>
          <w:rStyle w:val="Csef2fb61"/>
          <w:rFonts w:cs="Times New Roman"/>
        </w:rPr>
        <w:t>Приоритетным направлением деятельности органов власти Чувашской Республики является вопрос повышения эффективности расходования бюджетных средств.</w:t>
      </w:r>
    </w:p>
    <w:p>
      <w:pPr>
        <w:pStyle w:val="Cs47ea936"/>
        <w:ind w:right="100" w:firstLine="567"/>
        <w:rPr/>
      </w:pPr>
      <w:r>
        <w:rPr>
          <w:rStyle w:val="Csef2fb61"/>
          <w:rFonts w:cs="Times New Roman"/>
        </w:rPr>
        <w:t>В целях повышения эффективности бюджетных расходов Госслужбой:</w:t>
      </w:r>
    </w:p>
    <w:p>
      <w:pPr>
        <w:pStyle w:val="Cs47ea936"/>
        <w:ind w:right="100" w:firstLine="567"/>
        <w:rPr/>
      </w:pPr>
      <w:r>
        <w:rPr>
          <w:rStyle w:val="Csef2fb61"/>
          <w:rFonts w:cs="Times New Roman"/>
        </w:rPr>
        <w:t>- проводится ежеквартальный мониторинг качества финансового менеджмента;</w:t>
      </w:r>
    </w:p>
    <w:p>
      <w:pPr>
        <w:pStyle w:val="Cs47ea936"/>
        <w:ind w:right="100" w:firstLine="567"/>
        <w:rPr/>
      </w:pPr>
      <w:r>
        <w:rPr>
          <w:rStyle w:val="Csef2fb61"/>
          <w:rFonts w:cs="Times New Roman"/>
        </w:rPr>
        <w:t>- осуществляются процедуры внутреннего финансового контроля для обеспечения целевого и эффективного использования бюджетных средств;</w:t>
      </w:r>
    </w:p>
    <w:p>
      <w:pPr>
        <w:pStyle w:val="Cseeade915"/>
        <w:ind w:firstLine="567"/>
        <w:rPr/>
      </w:pPr>
      <w:r>
        <w:rPr>
          <w:rStyle w:val="Csdaae5f71"/>
          <w:rFonts w:cs="Times New Roman"/>
        </w:rPr>
        <w:t xml:space="preserve">- ведется размещение в Единой информационной системе заказов на поставку товаров, выполнение работ, оказание услуг для обеспечения государственных нужд в соответствии с утвержденным в пределах доведенных лимитов бюджетных обязательств планом-графиком закупок. </w:t>
      </w:r>
    </w:p>
    <w:p>
      <w:pPr>
        <w:pStyle w:val="Cseeade915"/>
        <w:ind w:firstLine="567"/>
        <w:rPr/>
      </w:pPr>
      <w:r>
        <w:rPr/>
        <w:t xml:space="preserve">Основные направления финансирования полномочий </w:t>
      </w:r>
      <w:r>
        <w:rPr>
          <w:color w:val="000000"/>
        </w:rPr>
        <w:t>Госслужбы</w:t>
      </w:r>
      <w:r>
        <w:rPr/>
        <w:t>:</w:t>
      </w:r>
    </w:p>
    <w:p>
      <w:pPr>
        <w:pStyle w:val="Cseeade915"/>
        <w:ind w:firstLine="567"/>
        <w:rPr/>
      </w:pPr>
      <w:r>
        <w:rPr/>
        <w:t xml:space="preserve">- обеспечение деятельности мировых судей Чувашской Республики;  </w:t>
      </w:r>
    </w:p>
    <w:p>
      <w:pPr>
        <w:pStyle w:val="Cseeade915"/>
        <w:ind w:firstLine="567"/>
        <w:rPr/>
      </w:pPr>
      <w:r>
        <w:rPr/>
        <w:t xml:space="preserve">- осуществление федеральных полномочий по государственной регистрации актов гражданского состояния; </w:t>
      </w:r>
    </w:p>
    <w:p>
      <w:pPr>
        <w:pStyle w:val="Cseeade915"/>
        <w:ind w:firstLine="567"/>
        <w:rPr/>
      </w:pPr>
      <w:r>
        <w:rPr/>
        <w:t xml:space="preserve">- обеспечение функций государственных органов; </w:t>
      </w:r>
    </w:p>
    <w:p>
      <w:pPr>
        <w:pStyle w:val="Cseeade915"/>
        <w:ind w:firstLine="567"/>
        <w:rPr/>
      </w:pPr>
      <w:r>
        <w:rPr/>
        <w:t>-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p>
      <w:pPr>
        <w:pStyle w:val="Cseeade915"/>
        <w:ind w:firstLine="567"/>
        <w:rPr/>
      </w:pPr>
      <w:r>
        <w:rPr/>
        <w:t>- обеспечение деятельности административных комиссий для рассмотрения дел об административных правонарушениях;</w:t>
      </w:r>
    </w:p>
    <w:p>
      <w:pPr>
        <w:pStyle w:val="Cseeade915"/>
        <w:ind w:firstLine="567"/>
        <w:rPr/>
      </w:pPr>
      <w:r>
        <w:rPr/>
        <w:t>-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pPr>
        <w:pStyle w:val="Cseeade915"/>
        <w:ind w:firstLine="567"/>
        <w:rPr/>
      </w:pPr>
      <w:r>
        <w:rPr/>
        <w:t xml:space="preserve">- обеспечение отдельных категорий граждан бесплатной юридической помощью; </w:t>
      </w:r>
    </w:p>
    <w:p>
      <w:pPr>
        <w:pStyle w:val="Cseeade915"/>
        <w:ind w:firstLine="567"/>
        <w:rPr/>
      </w:pPr>
      <w:r>
        <w:rPr/>
        <w:t>- проведение регионального этапа Всероссийского конкурса «Лучшая муниципальная практика», «Лучший муниципальный служащий», «Лучший народный дружинник»;</w:t>
      </w:r>
    </w:p>
    <w:p>
      <w:pPr>
        <w:pStyle w:val="Cseeade915"/>
        <w:ind w:firstLine="567"/>
        <w:rPr/>
      </w:pPr>
      <w:r>
        <w:rPr/>
        <w:t>- поддержка социально ориентированных некоммерческих организаций и издание брошюр в сфере оказания бесплатной юридической помощи.</w:t>
      </w:r>
    </w:p>
    <w:p>
      <w:pPr>
        <w:pStyle w:val="Normal"/>
        <w:ind w:firstLine="567"/>
        <w:jc w:val="both"/>
        <w:rPr>
          <w:sz w:val="24"/>
          <w:szCs w:val="24"/>
        </w:rPr>
      </w:pPr>
      <w:r>
        <w:rPr>
          <w:sz w:val="24"/>
          <w:szCs w:val="24"/>
        </w:rPr>
        <w:t>Цели и задачи на долгосрочный период в</w:t>
      </w:r>
      <w:r>
        <w:rPr>
          <w:bCs/>
          <w:sz w:val="24"/>
          <w:szCs w:val="24"/>
        </w:rPr>
        <w:t xml:space="preserve"> сфере повышения эффективности расходования бюджетных средств:</w:t>
      </w:r>
    </w:p>
    <w:p>
      <w:pPr>
        <w:pStyle w:val="Normal"/>
        <w:ind w:firstLine="567"/>
        <w:jc w:val="both"/>
        <w:rPr>
          <w:sz w:val="24"/>
          <w:szCs w:val="24"/>
        </w:rPr>
      </w:pPr>
      <w:r>
        <w:rPr>
          <w:sz w:val="24"/>
          <w:szCs w:val="24"/>
        </w:rPr>
        <w:t>- эффективное распределение, своевременное и полное освоение выделенных бюджетных средств;</w:t>
      </w:r>
    </w:p>
    <w:p>
      <w:pPr>
        <w:pStyle w:val="Normal"/>
        <w:ind w:firstLine="567"/>
        <w:jc w:val="both"/>
        <w:rPr>
          <w:sz w:val="24"/>
          <w:szCs w:val="24"/>
        </w:rPr>
      </w:pPr>
      <w:r>
        <w:rPr>
          <w:sz w:val="24"/>
          <w:szCs w:val="24"/>
        </w:rPr>
        <w:t>- осуществление контроля за целевым расходованием выделенных средств по утвержденной бюджетной смете;</w:t>
      </w:r>
    </w:p>
    <w:p>
      <w:pPr>
        <w:pStyle w:val="Normal"/>
        <w:ind w:firstLine="567"/>
        <w:jc w:val="both"/>
        <w:rPr>
          <w:sz w:val="24"/>
          <w:szCs w:val="24"/>
        </w:rPr>
      </w:pPr>
      <w:r>
        <w:rPr>
          <w:sz w:val="24"/>
          <w:szCs w:val="24"/>
        </w:rPr>
        <w:t>- осуществление оценки достижения значений результатов использования межбюджетных трансфертов;</w:t>
      </w:r>
    </w:p>
    <w:p>
      <w:pPr>
        <w:pStyle w:val="Normal"/>
        <w:ind w:firstLine="567"/>
        <w:jc w:val="both"/>
        <w:rPr>
          <w:sz w:val="24"/>
          <w:szCs w:val="24"/>
        </w:rPr>
      </w:pPr>
      <w:r>
        <w:rPr>
          <w:sz w:val="24"/>
          <w:szCs w:val="24"/>
        </w:rPr>
        <w:t>- недопущение образования просроченной кредиторской задолженности по заключенным договорам (государственным контрактам);</w:t>
      </w:r>
    </w:p>
    <w:p>
      <w:pPr>
        <w:pStyle w:val="Normal"/>
        <w:ind w:firstLine="567"/>
        <w:jc w:val="both"/>
        <w:rPr>
          <w:sz w:val="24"/>
          <w:szCs w:val="24"/>
        </w:rPr>
      </w:pPr>
      <w:r>
        <w:rPr>
          <w:sz w:val="24"/>
          <w:szCs w:val="24"/>
        </w:rPr>
        <w:t>- осуществление государственных закупок для нужд Госслужбы на конкурсной основе.</w:t>
      </w:r>
    </w:p>
    <w:p>
      <w:pPr>
        <w:pStyle w:val="Normal"/>
        <w:ind w:firstLine="709"/>
        <w:jc w:val="both"/>
        <w:rPr>
          <w:sz w:val="24"/>
          <w:szCs w:val="24"/>
        </w:rPr>
      </w:pPr>
      <w:r>
        <w:rPr>
          <w:sz w:val="24"/>
          <w:szCs w:val="24"/>
        </w:rPr>
      </w:r>
    </w:p>
    <w:p>
      <w:pPr>
        <w:pStyle w:val="Normal"/>
        <w:ind w:firstLine="426"/>
        <w:rPr>
          <w:sz w:val="24"/>
          <w:szCs w:val="24"/>
        </w:rPr>
      </w:pPr>
      <w:r>
        <w:rPr>
          <w:sz w:val="24"/>
          <w:szCs w:val="24"/>
        </w:rPr>
      </w:r>
    </w:p>
    <w:sectPr>
      <w:type w:val="nextPage"/>
      <w:pgSz w:w="11906" w:h="16838"/>
      <w:pgMar w:left="1701" w:right="850"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PT Astra Serif">
    <w:charset w:val="01"/>
    <w:family w:val="roman"/>
    <w:pitch w:val="default"/>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0638f"/>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character" w:styleId="DefaultParagraphFont" w:default="1">
    <w:name w:val="Default Paragraph Font"/>
    <w:uiPriority w:val="1"/>
    <w:semiHidden/>
    <w:unhideWhenUsed/>
    <w:qFormat/>
    <w:rPr/>
  </w:style>
  <w:style w:type="character" w:styleId="1" w:customStyle="1">
    <w:name w:val="Строгий1"/>
    <w:qFormat/>
    <w:rsid w:val="0070638f"/>
    <w:rPr>
      <w:b/>
      <w:bCs/>
    </w:rPr>
  </w:style>
  <w:style w:type="character" w:styleId="11" w:customStyle="1">
    <w:name w:val="Основной шрифт абзаца1"/>
    <w:qFormat/>
    <w:rsid w:val="0070638f"/>
    <w:rPr/>
  </w:style>
  <w:style w:type="character" w:styleId="Style14" w:customStyle="1">
    <w:name w:val="Основной текст с отступом Знак"/>
    <w:basedOn w:val="DefaultParagraphFont"/>
    <w:qFormat/>
    <w:rsid w:val="0070638f"/>
    <w:rPr>
      <w:rFonts w:ascii="Times New Roman" w:hAnsi="Times New Roman" w:eastAsia="Times New Roman" w:cs="Times New Roman"/>
      <w:sz w:val="24"/>
      <w:szCs w:val="24"/>
      <w:lang w:eastAsia="ru-RU"/>
    </w:rPr>
  </w:style>
  <w:style w:type="character" w:styleId="Style15" w:customStyle="1">
    <w:name w:val="Основной текст Знак"/>
    <w:basedOn w:val="DefaultParagraphFont"/>
    <w:uiPriority w:val="99"/>
    <w:semiHidden/>
    <w:qFormat/>
    <w:rsid w:val="0070638f"/>
    <w:rPr>
      <w:rFonts w:ascii="Times New Roman" w:hAnsi="Times New Roman" w:eastAsia="Times New Roman" w:cs="Times New Roman"/>
      <w:sz w:val="20"/>
      <w:szCs w:val="20"/>
      <w:lang w:eastAsia="ru-RU"/>
    </w:rPr>
  </w:style>
  <w:style w:type="character" w:styleId="Style16" w:customStyle="1">
    <w:name w:val="Текст выноски Знак"/>
    <w:basedOn w:val="DefaultParagraphFont"/>
    <w:link w:val="BalloonText"/>
    <w:uiPriority w:val="99"/>
    <w:semiHidden/>
    <w:qFormat/>
    <w:rsid w:val="00040701"/>
    <w:rPr>
      <w:rFonts w:ascii="Tahoma" w:hAnsi="Tahoma" w:eastAsia="Times New Roman" w:cs="Tahoma"/>
      <w:sz w:val="16"/>
      <w:szCs w:val="16"/>
      <w:lang w:eastAsia="ru-RU"/>
    </w:rPr>
  </w:style>
  <w:style w:type="character" w:styleId="Csdaae5f71" w:customStyle="1">
    <w:name w:val="csdaae5f71"/>
    <w:qFormat/>
    <w:rsid w:val="00ee7bb8"/>
    <w:rPr>
      <w:rFonts w:ascii="Calibri" w:hAnsi="Calibri" w:cs="Calibri"/>
      <w:b w:val="false"/>
      <w:bCs w:val="false"/>
      <w:i w:val="false"/>
      <w:iCs w:val="false"/>
      <w:color w:val="000000"/>
      <w:sz w:val="24"/>
      <w:szCs w:val="24"/>
    </w:rPr>
  </w:style>
  <w:style w:type="character" w:styleId="Csef2fb61" w:customStyle="1">
    <w:name w:val="csef2fb61"/>
    <w:qFormat/>
    <w:rsid w:val="00ee7bb8"/>
    <w:rPr>
      <w:rFonts w:ascii="Calibri" w:hAnsi="Calibri" w:cs="Calibri"/>
      <w:b w:val="false"/>
      <w:bCs w:val="false"/>
      <w:i w:val="false"/>
      <w:iCs w:val="false"/>
      <w:color w:val="000000"/>
      <w:sz w:val="24"/>
      <w:szCs w:val="24"/>
      <w:shd w:fill="FFFFFF" w:val="clear"/>
    </w:rPr>
  </w:style>
  <w:style w:type="paragraph" w:styleId="Style17">
    <w:name w:val="Заголовок"/>
    <w:basedOn w:val="Normal"/>
    <w:next w:val="Style18"/>
    <w:qFormat/>
    <w:pPr>
      <w:keepNext w:val="true"/>
      <w:spacing w:before="240" w:after="120"/>
    </w:pPr>
    <w:rPr>
      <w:rFonts w:ascii="PT Astra Serif" w:hAnsi="PT Astra Serif" w:eastAsia="Tahoma" w:cs="Noto Sans Devanagari"/>
      <w:sz w:val="28"/>
      <w:szCs w:val="28"/>
    </w:rPr>
  </w:style>
  <w:style w:type="paragraph" w:styleId="Style18">
    <w:name w:val="Body Text"/>
    <w:basedOn w:val="Normal"/>
    <w:link w:val="Style15"/>
    <w:uiPriority w:val="99"/>
    <w:semiHidden/>
    <w:unhideWhenUsed/>
    <w:rsid w:val="0070638f"/>
    <w:pPr>
      <w:spacing w:before="0" w:after="120"/>
    </w:pPr>
    <w:rPr/>
  </w:style>
  <w:style w:type="paragraph" w:styleId="Style19">
    <w:name w:val="List"/>
    <w:basedOn w:val="Style18"/>
    <w:pPr/>
    <w:rPr>
      <w:rFonts w:ascii="PT Astra Serif" w:hAnsi="PT Astra Serif" w:cs="Noto Sans Devanagari"/>
    </w:rPr>
  </w:style>
  <w:style w:type="paragraph" w:styleId="Style20">
    <w:name w:val="Caption"/>
    <w:basedOn w:val="Normal"/>
    <w:qFormat/>
    <w:pPr>
      <w:suppressLineNumbers/>
      <w:spacing w:before="120" w:after="120"/>
    </w:pPr>
    <w:rPr>
      <w:rFonts w:ascii="PT Astra Serif" w:hAnsi="PT Astra Serif" w:cs="Noto Sans Devanagari"/>
      <w:i/>
      <w:iCs/>
      <w:sz w:val="24"/>
      <w:szCs w:val="24"/>
    </w:rPr>
  </w:style>
  <w:style w:type="paragraph" w:styleId="Style21">
    <w:name w:val="Указатель"/>
    <w:basedOn w:val="Normal"/>
    <w:qFormat/>
    <w:pPr>
      <w:suppressLineNumbers/>
    </w:pPr>
    <w:rPr>
      <w:rFonts w:ascii="PT Astra Serif" w:hAnsi="PT Astra Serif" w:cs="Noto Sans Devanagari"/>
    </w:rPr>
  </w:style>
  <w:style w:type="paragraph" w:styleId="12" w:customStyle="1">
    <w:name w:val="Обычный (веб)1"/>
    <w:basedOn w:val="Normal"/>
    <w:qFormat/>
    <w:rsid w:val="0070638f"/>
    <w:pPr>
      <w:spacing w:lineRule="exact" w:line="240" w:before="280" w:after="280"/>
    </w:pPr>
    <w:rPr/>
  </w:style>
  <w:style w:type="paragraph" w:styleId="Style22">
    <w:name w:val="Body Text Indent"/>
    <w:basedOn w:val="Style18"/>
    <w:link w:val="Style14"/>
    <w:rsid w:val="0070638f"/>
    <w:pPr/>
    <w:rPr>
      <w:sz w:val="24"/>
      <w:szCs w:val="24"/>
    </w:rPr>
  </w:style>
  <w:style w:type="paragraph" w:styleId="BalloonText">
    <w:name w:val="Balloon Text"/>
    <w:basedOn w:val="Normal"/>
    <w:link w:val="Style16"/>
    <w:uiPriority w:val="99"/>
    <w:semiHidden/>
    <w:unhideWhenUsed/>
    <w:qFormat/>
    <w:rsid w:val="00040701"/>
    <w:pPr/>
    <w:rPr>
      <w:rFonts w:ascii="Tahoma" w:hAnsi="Tahoma" w:cs="Tahoma"/>
      <w:sz w:val="16"/>
      <w:szCs w:val="16"/>
    </w:rPr>
  </w:style>
  <w:style w:type="paragraph" w:styleId="NormalWeb">
    <w:name w:val="Normal (Web)"/>
    <w:basedOn w:val="Normal"/>
    <w:uiPriority w:val="99"/>
    <w:semiHidden/>
    <w:unhideWhenUsed/>
    <w:qFormat/>
    <w:rsid w:val="004c10e4"/>
    <w:pPr>
      <w:spacing w:beforeAutospacing="1" w:afterAutospacing="1"/>
    </w:pPr>
    <w:rPr>
      <w:rFonts w:eastAsia="" w:eastAsiaTheme="minorEastAsia"/>
      <w:sz w:val="24"/>
      <w:szCs w:val="24"/>
    </w:rPr>
  </w:style>
  <w:style w:type="paragraph" w:styleId="Cs47ea936" w:customStyle="1">
    <w:name w:val="cs47ea936"/>
    <w:basedOn w:val="Normal"/>
    <w:qFormat/>
    <w:rsid w:val="00ee7bb8"/>
    <w:pPr>
      <w:ind w:right="100" w:firstLine="560"/>
      <w:jc w:val="both"/>
    </w:pPr>
    <w:rPr>
      <w:sz w:val="24"/>
      <w:szCs w:val="24"/>
    </w:rPr>
  </w:style>
  <w:style w:type="paragraph" w:styleId="Cseeade915" w:customStyle="1">
    <w:name w:val="cseeade915"/>
    <w:basedOn w:val="Normal"/>
    <w:qFormat/>
    <w:rsid w:val="00ee7bb8"/>
    <w:pPr>
      <w:ind w:firstLine="700"/>
      <w:jc w:val="both"/>
    </w:pPr>
    <w:rPr>
      <w:sz w:val="24"/>
      <w:szCs w:val="24"/>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sldx"/><Relationship Id="rId3" Type="http://schemas.openxmlformats.org/officeDocument/2006/relationships/image" Target="media/image1.wmf"/><Relationship Id="rId4" Type="http://schemas.openxmlformats.org/officeDocument/2006/relationships/package" Target="embeddings/oleObject2.sldx"/><Relationship Id="rId5" Type="http://schemas.openxmlformats.org/officeDocument/2006/relationships/image" Target="media/image2.wmf"/><Relationship Id="rId6" Type="http://schemas.openxmlformats.org/officeDocument/2006/relationships/package" Target="embeddings/oleObject3.sldx"/><Relationship Id="rId7" Type="http://schemas.openxmlformats.org/officeDocument/2006/relationships/image" Target="media/image3.wmf"/><Relationship Id="rId8" Type="http://schemas.openxmlformats.org/officeDocument/2006/relationships/package" Target="embeddings/oleObject4.sldx"/><Relationship Id="rId9" Type="http://schemas.openxmlformats.org/officeDocument/2006/relationships/image" Target="media/image4.wmf"/><Relationship Id="rId10" Type="http://schemas.openxmlformats.org/officeDocument/2006/relationships/chart" Target="charts/chart1.xml"/><Relationship Id="rId11" Type="http://schemas.openxmlformats.org/officeDocument/2006/relationships/image" Target="media/image5.png"/><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5.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Ряд 1</c:v>
                </c:pt>
              </c:strCache>
            </c:strRef>
          </c:tx>
          <c:spPr>
            <a:solidFill>
              <a:srgbClr val="4f81bd"/>
            </a:solidFill>
            <a:ln w="0">
              <a:noFill/>
            </a:ln>
          </c:spPr>
          <c:invertIfNegative val="0"/>
          <c:dLbls>
            <c:numFmt formatCode="0.0" sourceLinked="0"/>
            <c:txPr>
              <a:bodyPr wrap="square"/>
              <a:lstStyle/>
              <a:p>
                <a:pPr>
                  <a:defRPr b="1" sz="1600" spc="-1" strike="noStrike">
                    <a:solidFill>
                      <a:srgbClr val="215968"/>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5"/>
                <c:pt idx="0">
                  <c:v>2020 г.</c:v>
                </c:pt>
                <c:pt idx="1">
                  <c:v>2021 г.</c:v>
                </c:pt>
                <c:pt idx="2">
                  <c:v>2022 г.</c:v>
                </c:pt>
                <c:pt idx="3">
                  <c:v>2023 г.</c:v>
                </c:pt>
                <c:pt idx="4">
                  <c:v>2024 г.</c:v>
                </c:pt>
              </c:strCache>
            </c:strRef>
          </c:cat>
          <c:val>
            <c:numRef>
              <c:f>0</c:f>
              <c:numCache>
                <c:formatCode>General</c:formatCode>
                <c:ptCount val="5"/>
                <c:pt idx="0">
                  <c:v>130</c:v>
                </c:pt>
                <c:pt idx="1">
                  <c:v>155.2</c:v>
                </c:pt>
                <c:pt idx="2">
                  <c:v>204.2</c:v>
                </c:pt>
                <c:pt idx="3">
                  <c:v>215.3</c:v>
                </c:pt>
                <c:pt idx="4">
                  <c:v>250.9</c:v>
                </c:pt>
              </c:numCache>
            </c:numRef>
          </c:val>
        </c:ser>
        <c:gapWidth val="150"/>
        <c:overlap val="0"/>
        <c:axId val="28451292"/>
        <c:axId val="71863614"/>
      </c:barChart>
      <c:catAx>
        <c:axId val="28451292"/>
        <c:scaling>
          <c:orientation val="minMax"/>
        </c:scaling>
        <c:delete val="0"/>
        <c:axPos val="b"/>
        <c:numFmt formatCode="[$-419]dd/mm/yyyy" sourceLinked="0"/>
        <c:majorTickMark val="out"/>
        <c:minorTickMark val="none"/>
        <c:tickLblPos val="nextTo"/>
        <c:spPr>
          <a:ln w="9360">
            <a:solidFill>
              <a:srgbClr val="878787"/>
            </a:solidFill>
            <a:round/>
          </a:ln>
        </c:spPr>
        <c:txPr>
          <a:bodyPr/>
          <a:lstStyle/>
          <a:p>
            <a:pPr>
              <a:defRPr b="0" sz="1100" spc="-1" strike="noStrike">
                <a:solidFill>
                  <a:srgbClr val="000000"/>
                </a:solidFill>
                <a:latin typeface="Calibri"/>
              </a:defRPr>
            </a:pPr>
          </a:p>
        </c:txPr>
        <c:crossAx val="71863614"/>
        <c:crosses val="autoZero"/>
        <c:auto val="1"/>
        <c:lblAlgn val="ctr"/>
        <c:lblOffset val="100"/>
        <c:noMultiLvlLbl val="0"/>
      </c:catAx>
      <c:valAx>
        <c:axId val="71863614"/>
        <c:scaling>
          <c:orientation val="minMax"/>
        </c:scaling>
        <c:delete val="1"/>
        <c:axPos val="l"/>
        <c:numFmt formatCode="General" sourceLinked="1"/>
        <c:majorTickMark val="out"/>
        <c:minorTickMark val="none"/>
        <c:tickLblPos val="nextTo"/>
        <c:spPr>
          <a:ln w="9360">
            <a:solidFill>
              <a:srgbClr val="878787"/>
            </a:solidFill>
            <a:round/>
          </a:ln>
        </c:spPr>
        <c:txPr>
          <a:bodyPr/>
          <a:lstStyle/>
          <a:p>
            <a:pPr>
              <a:defRPr b="0" sz="1800" spc="-1" strike="noStrike">
                <a:solidFill>
                  <a:srgbClr val="000000"/>
                </a:solidFill>
                <a:latin typeface="Calibri"/>
              </a:defRPr>
            </a:pPr>
          </a:p>
        </c:txPr>
        <c:crossAx val="28451292"/>
        <c:crossBetween val="between"/>
      </c:valAx>
      <c:spPr>
        <a:noFill/>
        <a:ln w="0">
          <a:noFill/>
        </a:ln>
      </c:spPr>
    </c:plotArea>
    <c:plotVisOnly val="1"/>
    <c:dispBlanksAs val="gap"/>
  </c:chart>
  <c:spPr>
    <a:solidFill>
      <a:srgbClr val="ffffff"/>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200" spc="-1" strike="noStrike">
                <a:solidFill>
                  <a:srgbClr val="000000"/>
                </a:solidFill>
                <a:latin typeface="Calibri"/>
                <a:ea typeface="Arial"/>
              </a:defRPr>
            </a:pPr>
            <a:r>
              <a:rPr b="1" lang="ru-RU" sz="1200" spc="-1" strike="noStrike">
                <a:solidFill>
                  <a:srgbClr val="000000"/>
                </a:solidFill>
                <a:latin typeface="Calibri"/>
                <a:ea typeface="Arial"/>
              </a:rPr>
              <a:t>Развод на 1000 населения по ПФО</a:t>
            </a:r>
          </a:p>
        </c:rich>
      </c:tx>
      <c:overlay val="0"/>
      <c:spPr>
        <a:noFill/>
        <a:ln w="0">
          <a:noFill/>
        </a:ln>
      </c:spPr>
    </c:title>
    <c:autoTitleDeleted val="0"/>
    <c:plotArea>
      <c:barChart>
        <c:barDir val="col"/>
        <c:grouping val="clustered"/>
        <c:varyColors val="0"/>
        <c:ser>
          <c:idx val="0"/>
          <c:order val="0"/>
          <c:tx>
            <c:strRef>
              <c:f>label 0</c:f>
              <c:strCache>
                <c:ptCount val="1"/>
                <c:pt idx="0">
                  <c:v>Ряд1</c:v>
                </c:pt>
              </c:strCache>
            </c:strRef>
          </c:tx>
          <c:spPr>
            <a:gradFill>
              <a:gsLst>
                <a:gs pos="0">
                  <a:srgbClr val="688fc4"/>
                </a:gs>
                <a:gs pos="100000">
                  <a:srgbClr val="487fc1"/>
                </a:gs>
              </a:gsLst>
              <a:lin ang="5400000"/>
            </a:gradFill>
            <a:ln w="0">
              <a:noFill/>
            </a:ln>
          </c:spPr>
          <c:invertIfNegative val="0"/>
          <c:dPt>
            <c:idx val="2"/>
            <c:invertIfNegative val="0"/>
            <c:spPr>
              <a:solidFill>
                <a:srgbClr val="b3a2c7"/>
              </a:solidFill>
              <a:ln w="0">
                <a:noFill/>
              </a:ln>
            </c:spPr>
          </c:dPt>
          <c:dPt>
            <c:idx val="11"/>
            <c:invertIfNegative val="0"/>
            <c:spPr>
              <a:gradFill>
                <a:gsLst>
                  <a:gs pos="0">
                    <a:srgbClr val="688fc4"/>
                  </a:gs>
                  <a:gs pos="100000">
                    <a:srgbClr val="487fc1"/>
                  </a:gs>
                </a:gsLst>
                <a:lin ang="5400000"/>
              </a:gradFill>
              <a:ln w="0">
                <a:noFill/>
              </a:ln>
            </c:spPr>
          </c:dPt>
          <c:dPt>
            <c:idx val="12"/>
            <c:invertIfNegative val="0"/>
            <c:spPr>
              <a:solidFill>
                <a:srgbClr val="589cdb"/>
              </a:solidFill>
              <a:ln w="0">
                <a:noFill/>
              </a:ln>
            </c:spPr>
          </c:dPt>
          <c:dLbls>
            <c:numFmt formatCode="0.0" sourceLinked="0"/>
            <c:dLbl>
              <c:idx val="2"/>
              <c:numFmt formatCode="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11"/>
              <c:numFmt formatCode="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12"/>
              <c:numFmt formatCode="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4"/>
                <c:pt idx="0">
                  <c:v>Республика Мордовия</c:v>
                </c:pt>
                <c:pt idx="1">
                  <c:v>Республика Татарстан</c:v>
                </c:pt>
                <c:pt idx="2">
                  <c:v>Чувашская Республика</c:v>
                </c:pt>
                <c:pt idx="3">
                  <c:v>Республика Марий Эл</c:v>
                </c:pt>
                <c:pt idx="4">
                  <c:v>Пензенская область</c:v>
                </c:pt>
                <c:pt idx="5">
                  <c:v>Республика Башкортостан</c:v>
                </c:pt>
                <c:pt idx="6">
                  <c:v>Ульяновская область</c:v>
                </c:pt>
                <c:pt idx="7">
                  <c:v>Удмуртская Республика</c:v>
                </c:pt>
                <c:pt idx="8">
                  <c:v>Hижегородская область</c:v>
                </c:pt>
                <c:pt idx="9">
                  <c:v>Саратовская область</c:v>
                </c:pt>
                <c:pt idx="10">
                  <c:v>Кировская область</c:v>
                </c:pt>
                <c:pt idx="11">
                  <c:v>Самарская область</c:v>
                </c:pt>
                <c:pt idx="12">
                  <c:v>Пермский край</c:v>
                </c:pt>
                <c:pt idx="13">
                  <c:v>Оренбургская область</c:v>
                </c:pt>
              </c:strCache>
            </c:strRef>
          </c:cat>
          <c:val>
            <c:numRef>
              <c:f>0</c:f>
              <c:numCache>
                <c:formatCode>General</c:formatCode>
                <c:ptCount val="14"/>
                <c:pt idx="0">
                  <c:v>2.9</c:v>
                </c:pt>
                <c:pt idx="1">
                  <c:v>3.3</c:v>
                </c:pt>
                <c:pt idx="2">
                  <c:v>3.4</c:v>
                </c:pt>
                <c:pt idx="3">
                  <c:v>3.7</c:v>
                </c:pt>
                <c:pt idx="4">
                  <c:v>3.8</c:v>
                </c:pt>
                <c:pt idx="5">
                  <c:v>3.9</c:v>
                </c:pt>
                <c:pt idx="6">
                  <c:v>3.9</c:v>
                </c:pt>
                <c:pt idx="7">
                  <c:v>4</c:v>
                </c:pt>
                <c:pt idx="8">
                  <c:v>4</c:v>
                </c:pt>
                <c:pt idx="9">
                  <c:v>4</c:v>
                </c:pt>
                <c:pt idx="10">
                  <c:v>4.1</c:v>
                </c:pt>
                <c:pt idx="11">
                  <c:v>4.1</c:v>
                </c:pt>
                <c:pt idx="12">
                  <c:v>4.5</c:v>
                </c:pt>
                <c:pt idx="13">
                  <c:v>4.6</c:v>
                </c:pt>
              </c:numCache>
            </c:numRef>
          </c:val>
        </c:ser>
        <c:gapWidth val="100"/>
        <c:overlap val="-23"/>
        <c:axId val="60118708"/>
        <c:axId val="9092076"/>
      </c:barChart>
      <c:catAx>
        <c:axId val="60118708"/>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1" sz="900" spc="-1" strike="noStrike">
                <a:solidFill>
                  <a:srgbClr val="000000"/>
                </a:solidFill>
                <a:latin typeface="Calibri"/>
                <a:ea typeface="Arial"/>
              </a:defRPr>
            </a:pPr>
          </a:p>
        </c:txPr>
        <c:crossAx val="9092076"/>
        <c:crosses val="autoZero"/>
        <c:auto val="1"/>
        <c:lblAlgn val="ctr"/>
        <c:lblOffset val="100"/>
        <c:noMultiLvlLbl val="0"/>
      </c:catAx>
      <c:valAx>
        <c:axId val="9092076"/>
        <c:scaling>
          <c:orientation val="minMax"/>
        </c:scaling>
        <c:delete val="1"/>
        <c:axPos val="l"/>
        <c:majorGridlines>
          <c:spPr>
            <a:ln w="9360">
              <a:solidFill>
                <a:srgbClr val="d4e3f4"/>
              </a:solidFill>
              <a:round/>
            </a:ln>
          </c:spPr>
        </c:majorGridlines>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60118708"/>
        <c:crossBetween val="between"/>
      </c:valAx>
      <c:spPr>
        <a:noFill/>
        <a:ln w="0">
          <a:noFill/>
        </a:ln>
      </c:spPr>
    </c:plotArea>
    <c:plotVisOnly val="1"/>
    <c:dispBlanksAs val="gap"/>
  </c:chart>
  <c:spPr>
    <a:no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200" spc="-1" strike="noStrike">
                <a:solidFill>
                  <a:srgbClr val="000000"/>
                </a:solidFill>
                <a:latin typeface="Calibri"/>
                <a:ea typeface="Arial"/>
              </a:defRPr>
            </a:pPr>
            <a:r>
              <a:rPr b="1" lang="ru-RU" sz="1200" spc="-1" strike="noStrike">
                <a:solidFill>
                  <a:srgbClr val="000000"/>
                </a:solidFill>
                <a:latin typeface="Calibri"/>
                <a:ea typeface="Arial"/>
              </a:rPr>
              <a:t>Увеличение заявлений с ЕПГУ</a:t>
            </a:r>
          </a:p>
        </c:rich>
      </c:tx>
      <c:overlay val="0"/>
      <c:spPr>
        <a:noFill/>
        <a:ln w="0">
          <a:noFill/>
        </a:ln>
      </c:spPr>
    </c:title>
    <c:autoTitleDeleted val="0"/>
    <c:plotArea>
      <c:barChart>
        <c:barDir val="col"/>
        <c:grouping val="clustered"/>
        <c:varyColors val="0"/>
        <c:ser>
          <c:idx val="0"/>
          <c:order val="0"/>
          <c:tx>
            <c:strRef>
              <c:f>label 0</c:f>
              <c:strCache>
                <c:ptCount val="1"/>
                <c:pt idx="0">
                  <c:v>Ряд1</c:v>
                </c:pt>
              </c:strCache>
            </c:strRef>
          </c:tx>
          <c:spPr>
            <a:gradFill>
              <a:gsLst>
                <a:gs pos="0">
                  <a:srgbClr val="688fc4"/>
                </a:gs>
                <a:gs pos="100000">
                  <a:srgbClr val="487fc1"/>
                </a:gs>
              </a:gsLst>
              <a:lin ang="5400000"/>
            </a:gradFill>
            <a:ln w="0">
              <a:noFill/>
            </a:ln>
          </c:spPr>
          <c:invertIfNegative val="0"/>
          <c:dLbls>
            <c:numFmt formatCode="General" sourceLinked="0"/>
            <c:txPr>
              <a:bodyPr wrap="square"/>
              <a:lstStyle/>
              <a:p>
                <a:pPr>
                  <a:defRPr b="1" sz="1050" spc="-1" strike="noStrike">
                    <a:solidFill>
                      <a:srgbClr val="000000"/>
                    </a:solidFill>
                    <a:latin typeface="Calibri"/>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5"/>
                <c:pt idx="0">
                  <c:v>2020 г.</c:v>
                </c:pt>
                <c:pt idx="1">
                  <c:v>2021 г.</c:v>
                </c:pt>
                <c:pt idx="2">
                  <c:v>2022 г.</c:v>
                </c:pt>
                <c:pt idx="3">
                  <c:v>2023 г.</c:v>
                </c:pt>
                <c:pt idx="4">
                  <c:v>2024 г. 11 месяцев</c:v>
                </c:pt>
              </c:strCache>
            </c:strRef>
          </c:cat>
          <c:val>
            <c:numRef>
              <c:f>0</c:f>
              <c:numCache>
                <c:formatCode>General</c:formatCode>
                <c:ptCount val="5"/>
                <c:pt idx="0">
                  <c:v>3722</c:v>
                </c:pt>
                <c:pt idx="1">
                  <c:v>4335</c:v>
                </c:pt>
                <c:pt idx="2">
                  <c:v>6988</c:v>
                </c:pt>
                <c:pt idx="3">
                  <c:v>12818</c:v>
                </c:pt>
                <c:pt idx="4">
                  <c:v>11930</c:v>
                </c:pt>
              </c:numCache>
            </c:numRef>
          </c:val>
        </c:ser>
        <c:gapWidth val="100"/>
        <c:overlap val="-23"/>
        <c:axId val="49404440"/>
        <c:axId val="8262841"/>
      </c:barChart>
      <c:catAx>
        <c:axId val="49404440"/>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1" sz="1050" spc="-1" strike="noStrike">
                <a:solidFill>
                  <a:srgbClr val="000000"/>
                </a:solidFill>
                <a:latin typeface="Calibri"/>
                <a:ea typeface="Arial"/>
              </a:defRPr>
            </a:pPr>
          </a:p>
        </c:txPr>
        <c:crossAx val="8262841"/>
        <c:crosses val="autoZero"/>
        <c:auto val="1"/>
        <c:lblAlgn val="ctr"/>
        <c:lblOffset val="100"/>
        <c:noMultiLvlLbl val="0"/>
      </c:catAx>
      <c:valAx>
        <c:axId val="8262841"/>
        <c:scaling>
          <c:orientation val="minMax"/>
        </c:scaling>
        <c:delete val="1"/>
        <c:axPos val="l"/>
        <c:majorGridlines>
          <c:spPr>
            <a:ln w="9360">
              <a:solidFill>
                <a:srgbClr val="d4e3f4"/>
              </a:solidFill>
              <a:round/>
            </a:ln>
          </c:spPr>
        </c:majorGridlines>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49404440"/>
        <c:crossBetween val="between"/>
      </c:valAx>
      <c:spPr>
        <a:noFill/>
        <a:ln w="0">
          <a:noFill/>
        </a:ln>
      </c:spPr>
    </c:plotArea>
    <c:plotVisOnly val="1"/>
    <c:dispBlanksAs val="gap"/>
  </c:chart>
  <c:spPr>
    <a:noFill/>
    <a:ln w="9360">
      <a:solidFill>
        <a:srgbClr val="d4e3f4"/>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0EF7E-BE2A-4021-837A-2FCD0A9B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Application>LibreOffice/7.5.6.2$Linux_X86_64 LibreOffice_project/50$Build-2</Application>
  <AppVersion>15.0000</AppVersion>
  <Pages>10</Pages>
  <Words>2663</Words>
  <Characters>18940</Characters>
  <CharactersWithSpaces>21571</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2024-12-16T14:36:00Z</dcterms:created>
  <dc:creator>Елена Быкова</dc:creator>
  <dc:description/>
  <dc:language>ru-RU</dc:language>
  <cp:lastModifiedBy>Елена Быкова</cp:lastModifiedBy>
  <cp:lastPrinted>2024-12-17T06:15:00Z</cp:lastPrinted>
  <dcterms:modified xsi:type="dcterms:W3CDTF">2024-12-17T06:16:00Z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