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firstLine="709"/>
        <w:jc w:val="righ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ПРОЕКТ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tbl>
      <w:tblPr>
        <w:tblStyle w:val="748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Об утверждении 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Правил аккредитации журналистов средств массовой информации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 при Министерстве экономического развития и имущественных отношений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 Чувашской Республики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892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</w:tr>
    </w:tbl>
    <w:p>
      <w:pPr>
        <w:pStyle w:val="892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 соответствии со статьей 48 Закона Российской Федерации «О средствах массовой информации» в целях обеспечения полного и оперативного информирования населения о деятельности Министерства экономического развития и имущественных отношений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 Республики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п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 р и к а з ы в а ю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: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1. Утвердить прилага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емые Правила аккредитации журналистов средств массовой информации при Министерстве экономического развития и имущественных отношений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Чувашской Республики.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Признать утратившим силу приказ Министерства экономического развития, промышленности и торговли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Чувашской Республики от 20 ноября   2018 г. № 277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«Об утверждении Правил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аккредитации журналистов средств массовой информации при Министерстве экономического развития, промышленности и торговли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Чувашской Республики» (зарегистрирован в Министерстве юстиции и имущественных отношений Чувашской Республики 3 декабря 2018 г., регистрационный № 4869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).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Контроль за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исполнением настоящего приказа оставляю за собой.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4. Настоящий приказ вступает в силу через десять дней после дня его официального опубликования.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Заместитель Председателя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Кабинета Министров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 Республики – министр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                                              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Д.И. Краснов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92"/>
        <w:ind w:left="4394"/>
        <w:jc w:val="center"/>
        <w:rPr>
          <w:rFonts w:ascii="PT Astra Serif" w:hAnsi="PT Astra Serif" w:cs="PT Astra Serif"/>
          <w:sz w:val="26"/>
          <w:szCs w:val="26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pStyle w:val="892"/>
        <w:ind w:left="4394"/>
        <w:jc w:val="center"/>
        <w:rPr>
          <w:rFonts w:ascii="PT Astra Serif" w:hAnsi="PT Astra Serif" w:cs="PT Astra Serif"/>
          <w:sz w:val="26"/>
          <w:szCs w:val="26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pStyle w:val="892"/>
        <w:ind w:left="4394"/>
        <w:jc w:val="center"/>
        <w:rPr>
          <w:rFonts w:ascii="PT Astra Serif" w:hAnsi="PT Astra Serif" w:cs="PT Astra Serif"/>
          <w:sz w:val="26"/>
          <w:szCs w:val="26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pStyle w:val="892"/>
        <w:ind w:left="0"/>
        <w:jc w:val="left"/>
        <w:rPr>
          <w:rFonts w:ascii="PT Astra Serif" w:hAnsi="PT Astra Serif" w:cs="PT Astra Serif"/>
          <w:sz w:val="26"/>
          <w:szCs w:val="26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pStyle w:val="892"/>
        <w:ind w:left="0"/>
        <w:jc w:val="left"/>
        <w:rPr>
          <w:rFonts w:ascii="PT Astra Serif" w:hAnsi="PT Astra Serif" w:cs="PT Astra Serif"/>
          <w:sz w:val="26"/>
          <w:szCs w:val="26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pStyle w:val="892"/>
        <w:ind w:left="4394"/>
        <w:jc w:val="center"/>
        <w:rPr>
          <w:rFonts w:ascii="PT Astra Serif" w:hAnsi="PT Astra Serif" w:cs="PT Astra Serif"/>
          <w:sz w:val="26"/>
          <w:szCs w:val="26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Утверждены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92"/>
        <w:ind w:left="4394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приказом Министерства экономического развития и имущественных отношений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Чувашской Республики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left="4394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от ____________ № ____________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3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Правила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3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аккредитации журналистов средств массовой информации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3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 Министерстве экономического развития и имущественных отношений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Чувашской Республики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3"/>
        <w:jc w:val="center"/>
        <w:rPr>
          <w:rFonts w:ascii="PT Astra Serif" w:hAnsi="PT Astra Serif" w:cs="PT Astra Serif"/>
          <w:sz w:val="26"/>
          <w:szCs w:val="26"/>
        </w:rPr>
        <w:outlineLvl w:val="1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I. Общие положения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1.1. Аккредитация журналистов средств массовой информации (далее также соответственно – журналист, СМИ) при Министерстве экономического развития и имущественных отношений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Чувашской Республики (далее – 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Чувашии) осуществляется в целях: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1) обеспечения полного и оперативного информиро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вания населения о деятельности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2) обеспечения журналистов объективной информацией о деятельности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Аккредитация журналистов при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 осуществляется в соответствии с Законом Российской Федерации «О средствах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массовой информации» (далее – Закон Российской Федерации), а также настоящими Правилами и распространяется на мероприятия, проводимые в очном режиме или в режиме видеоконференцсвязи с использованием программно-технических комплексов.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1.2. Аккредитация пред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оставляется журналистам редакций СМИ, зарегистрированных в соответствии со статьей 8 Закона Российской Федерации, имеющим задание от своих редакций по освещению деятельности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Технические специалисты, сопровождающие аккредитованных журнали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стов, имеют право вносить и выносить звукозаписывающую, съемочную и осветительную аппаратуру в помещение, в котором проводится мероприятие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 (далее также – мероприятие).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3"/>
        <w:jc w:val="center"/>
        <w:rPr>
          <w:rFonts w:ascii="PT Astra Serif" w:hAnsi="PT Astra Serif" w:cs="PT Astra Serif"/>
          <w:sz w:val="26"/>
          <w:szCs w:val="26"/>
        </w:rPr>
        <w:outlineLvl w:val="1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II. Виды аккредитации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2.1. Журналисты вправе оформить как постоянную,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так и разовую аккредитацию.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2.2. Постоянная аккредитация при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 проводится ежегодно и действует в течение одного календарного года.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2.3. Разовая аккредитация при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 осуществляется для журналистов, выполняющих задания редакций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СМИ по освещению конкретного мероприятия.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2.4. На период временного отсутствия своего аккредитованного журналиста редакция СМИ может оформить разовую аккредитацию на другого журналиста.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3"/>
        <w:jc w:val="center"/>
        <w:rPr>
          <w:rFonts w:ascii="PT Astra Serif" w:hAnsi="PT Astra Serif" w:cs="PT Astra Serif"/>
          <w:sz w:val="26"/>
          <w:szCs w:val="26"/>
        </w:rPr>
        <w:outlineLvl w:val="1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III. Порядок аккредитации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spacing w:after="0" w:afterAutospacing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3.1. Информация о порядке и сроках аккреди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тации размещается Минэкономразвития Чувашии на официальном сайте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 в информационно-телекоммуникационной сети «Интернет».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10"/>
        <w:ind w:left="0" w:right="0" w:firstLine="709"/>
        <w:jc w:val="both"/>
        <w:spacing w:after="0" w:afterAutospacing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bookmarkStart w:id="0" w:name="Par62"/>
      <w:r>
        <w:rPr>
          <w:rFonts w:ascii="PT Astra Serif" w:hAnsi="PT Astra Serif" w:eastAsia="PT Astra Serif" w:cs="PT Astra Serif"/>
          <w:sz w:val="26"/>
          <w:szCs w:val="26"/>
        </w:rPr>
      </w:r>
      <w:bookmarkEnd w:id="0"/>
      <w:r>
        <w:rPr>
          <w:rFonts w:ascii="PT Astra Serif" w:hAnsi="PT Astra Serif" w:eastAsia="PT Astra Serif" w:cs="PT Astra Serif"/>
          <w:sz w:val="26"/>
          <w:szCs w:val="26"/>
        </w:rPr>
        <w:t xml:space="preserve">3.2. Заявка редакции СМИ на постоянную и разовую аккредитацию (далее – заявка) подается на имя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з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аместитель Председателя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Кабинета Министров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 Республики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- министра экономического развития имущественных отношений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 Республики на официальном бланке редакции СМИ за подписью главного редактора, скрепленной печатью (при наличии).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spacing w:after="0" w:afterAutospacing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 заявке прилагаются заверенные главным редактором копия свидетельства о регистрации средства массовой информации или копия выписки 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з реестра зарегистрированных средств массовой информации, выданная федеральным органом исполнительной власти,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уполномоченным Правительством Российской Федерации осуществлять регистрацию средств массовой информации, или его территориальным органом либо копи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я лицензии на телевизионное вещание, радиовещание.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Заявка на аккредитацию должна содержать следующие сведения: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1) фамилию, имя, отчество (последнее – при наличии) журналиста, занимаемую должность, контактные телефоны (мобильный и рабочий);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2) фамилию, имя,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отчество (последнее – при наличии) технического специалиста, сопровождающего журналиста, занимаемую должность, контактные телефоны (мобильный и рабочий);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3) название, дату и время проведения мероприятия (в случае разовой аккредитации);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4) перечень звукоза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писывающей, съемочной и осветительной аппаратуры (в случае наличия), необходимой для работы журналиста.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Заявка представляется в Минэкономразвития Чувашии на бумажном носителе или направляется посредством электронной почты.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3.3. Заявки, не отвечающие требованиям, ук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азанным в пункте 3.2 настоящих Правил, не рассматриваются. Уведомление о несоответствии заявки требованиям направляется в редакцию СМИ не позднее 3 рабочих дней со дня получения заявки.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3.4. Решение о постоянной аккредитации принимается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 основании представленной заявки, соответствующей требованиям, указанным в пункте 3.2 настоящих Правил, не позднее 14 календарных дней со дня получения заявки.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Решение о разовой аккредитации принимается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 на основании представленной заяв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ки, соответствующей требованиям, указанным в пункте 3.2 настоящих Правил, не позднее 7 календарных дней со дня получения заявки.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Список аккредитованных журналистов размещается на официальном сайте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 в информационно-телекоммуникационной сети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«Интернет».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3"/>
        <w:jc w:val="center"/>
        <w:rPr>
          <w:rFonts w:ascii="PT Astra Serif" w:hAnsi="PT Astra Serif" w:cs="PT Astra Serif"/>
          <w:sz w:val="26"/>
          <w:szCs w:val="26"/>
        </w:rPr>
        <w:outlineLvl w:val="1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IV. Квоты для аккредитации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4.1.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 имеет право устанавливать квоту (нормативы) для аккредитации журналистов на конкретное мероприятие, исходя из возможности предоставления им рабочих мест для профессиональной деятельности. Об ус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тановлении квот (нормативов) сообщается в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предварительном извещении редакций СМИ о проводимых мероприятиях.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4.2. При установлении квот соблюдается принцип открытости и справедливости.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4.3. Квотирование осуществляется на основе следующих критериев характери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стики СМИ: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по форме периодического распространения СМИ – периодические печатные издания, радио-, теле-, виде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о-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кинохроникальные программы, сетевые издания, информационные агентства, иные СМИ;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  по тиражу;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  по специализации (заявленной тематической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направленности);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 по территории распространения (вещания) – зарубежные, федеральные, межрегиональные, региональные, районные и городские.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4.4. В квоты, установленные для радио-, теле-, виде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о-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и кинохроникальных программ, включаются помимо журналистов всп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омогательные и технические сотрудники (операторы, инженеры, осветители и т.д.).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3"/>
        <w:jc w:val="center"/>
        <w:rPr>
          <w:rFonts w:ascii="PT Astra Serif" w:hAnsi="PT Astra Serif" w:cs="PT Astra Serif"/>
          <w:sz w:val="26"/>
          <w:szCs w:val="26"/>
        </w:rPr>
        <w:outlineLvl w:val="1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V. Права аккредитованных журналистов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Аккредитованные журналисты имеют право: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присутствовать на мероприятии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Чувашии, за исключением случаев, когда принято решение о 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роведении закрытого мероприятия;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заблаговременно получать информацию о предстоящих заседаниях, совещаниях и других мероприятиях, проводимых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получать официальную документацию, не содержащую сведений, составляющих государственную тайну, тексты заявлений, пресс-релизы;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знакомиться с предназначенными для публикации информационно-справочными материалами;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посещать пресс-конференции, брифинги и иные мероприятия, предназначенные специально для СМИ;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пользоваться технической (звукозаписывающей, съемочной, осветительной) аппаратурой, необходимой для выполнения профессиональных обязанностей;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иные права, предусмот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ренные законодательством Российской Федерации.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3"/>
        <w:jc w:val="center"/>
        <w:rPr>
          <w:rFonts w:ascii="PT Astra Serif" w:hAnsi="PT Astra Serif" w:cs="PT Astra Serif"/>
          <w:sz w:val="26"/>
          <w:szCs w:val="26"/>
        </w:rPr>
        <w:outlineLvl w:val="1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VI. Обязанности аккредитованных журналистов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6.1. Аккредитованные журналисты обязаны: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сообщать название, тематику и дату выхода телепрограммы, для которой проводится телевизионная и фотографическая съемка;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соб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людать регламент мероприятия, установленный его организаторами;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уважать права, законные интересы, честь и достоинство участников мероприятий и приглашенных лиц;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не вмешиваться в порядок проведения мероприятий (устные высказывания или действия, имеющие цель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привлечь к себе внимание присутствующих или прервать ход мероприятия; ведение фото- и видеосъемки, мешающей ходу мероприятия, а также другие действия, препятствующие проведению мероприятия);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всесторонне и объективно информировать читателей, телезрителей 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радиослушателей о мероприятии;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 использовании в публикациях (работе в эфире) пресс-релизов, информационно-справочных, статистических, аналитических и иных материалов, предоставленных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Чувашии, ссылаться на источник информации;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не использовать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свои профессиональные возможности в целях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СМИ;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 осуществлении своей професси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ональной деятельности не распространять не соответствующие действительности сведения о деятельности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после публикации (выхода в эфир) материала в СМИ направлять соответствующую информацию о размещении (ссылку на сайт СМИ либо сканированну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ю (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pdf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) версию статьи) в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6.2. При выполнении профессиональных обязанностей, участвуя на мероприятиях, аккредитованные журналисты должны придерживаться делового стиля одежды.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3"/>
        <w:jc w:val="center"/>
        <w:rPr>
          <w:rFonts w:ascii="PT Astra Serif" w:hAnsi="PT Astra Serif" w:cs="PT Astra Serif"/>
          <w:sz w:val="26"/>
          <w:szCs w:val="26"/>
        </w:rPr>
        <w:outlineLvl w:val="1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VII. Прекращение или лишение аккредитации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</w:rPr>
      </w:r>
      <w:bookmarkStart w:id="1" w:name="Par113"/>
      <w:r>
        <w:rPr>
          <w:rFonts w:ascii="PT Astra Serif" w:hAnsi="PT Astra Serif" w:eastAsia="PT Astra Serif" w:cs="PT Astra Serif"/>
        </w:rPr>
      </w:r>
      <w:bookmarkEnd w:id="1"/>
      <w:r>
        <w:rPr>
          <w:rFonts w:ascii="PT Astra Serif" w:hAnsi="PT Astra Serif" w:eastAsia="PT Astra Serif" w:cs="PT Astra Serif"/>
          <w:sz w:val="26"/>
          <w:szCs w:val="26"/>
        </w:rPr>
        <w:t xml:space="preserve">7.1. Основанием для 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рекращения аккредитации является: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прекращение либо приостановление деятельности редакции СМИ, с которым аккредитованный журналист состоит в трудовых или иных договорных отношениях, в соответствии с законодательством Российской Федерации;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отзыв аккредитации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журналиста по решению редакции СМИ;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заявление аккредитованного журналиста о прекращении аккредитации;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-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увольнение аккредитованного журналиста из редакции СМИ, от которой он был аккредитован, прекращение трудовых или иных договорных отношений между журналис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том и редакцией СМИ.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 случае прекращения трудовых или иных договорных отношений между журналистом и редакцией СМИ или отзыва аккредитации журналиста по решению редакции СМИ главный редактор незамедлительно информирует об этом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Чувашии.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</w:rPr>
      </w:r>
      <w:bookmarkStart w:id="2" w:name="Par119"/>
      <w:r>
        <w:rPr>
          <w:rFonts w:ascii="PT Astra Serif" w:hAnsi="PT Astra Serif" w:eastAsia="PT Astra Serif" w:cs="PT Astra Serif"/>
        </w:rPr>
      </w:r>
      <w:bookmarkEnd w:id="2"/>
      <w:r>
        <w:rPr>
          <w:rFonts w:ascii="PT Astra Serif" w:hAnsi="PT Astra Serif" w:eastAsia="PT Astra Serif" w:cs="PT Astra Serif"/>
          <w:sz w:val="26"/>
          <w:szCs w:val="26"/>
        </w:rPr>
        <w:t xml:space="preserve">7.2. Журнал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ист лишается аккредитации в случаях, установленных частью 5 статьи 48 Закона Российской Федерации.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7.3. Решение о лишении (прекращении) аккредитации журналиста принимается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Минэкономразвития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bookmarkStart w:id="3" w:name="_GoBack"/>
      <w:r>
        <w:rPr>
          <w:rFonts w:ascii="PT Astra Serif" w:hAnsi="PT Astra Serif" w:eastAsia="PT Astra Serif" w:cs="PT Astra Serif"/>
        </w:rPr>
      </w:r>
      <w:bookmarkEnd w:id="3"/>
      <w:r>
        <w:rPr>
          <w:rFonts w:ascii="PT Astra Serif" w:hAnsi="PT Astra Serif" w:eastAsia="PT Astra Serif" w:cs="PT Astra Serif"/>
          <w:sz w:val="26"/>
          <w:szCs w:val="26"/>
        </w:rPr>
        <w:t xml:space="preserve">Чувашии в течение 5 рабочих дней со дня наступления оснований и случаев,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предусмотренных пунктами 7.1 и 7.2 настоящих Правил.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7.4. Мотивированное решение о лишении (прекращении) аккредитации журналиста направляется в редакцию СМИ в течение 5 рабочих дней со дня его принятия.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92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7.5. Лишение аккредитации может быть обжаловано в судебном порядке в соответствии с законодательством Российской Федерации.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98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  <w:rPr>
        <w:rFonts w:ascii="PT Astra Serif" w:hAnsi="PT Astra Serif" w:cs="PT Astra Serif"/>
        <w:sz w:val="24"/>
        <w:szCs w:val="24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PT Astra Serif" w:hAnsi="PT Astra Serif" w:eastAsia="PT Astra Serif" w:cs="PT Astra Serif"/>
        <w:sz w:val="24"/>
        <w:szCs w:val="24"/>
      </w:rPr>
      <w:t xml:space="preserve">4</w:t>
    </w:r>
    <w:r>
      <w:rPr>
        <w:rFonts w:ascii="PT Astra Serif" w:hAnsi="PT Astra Serif" w:eastAsia="PT Astra Serif" w:cs="PT Astra Serif"/>
        <w:sz w:val="24"/>
        <w:szCs w:val="24"/>
      </w:rPr>
      <w:fldChar w:fldCharType="end"/>
    </w:r>
    <w:r>
      <w:rPr>
        <w:rFonts w:ascii="PT Astra Serif" w:hAnsi="PT Astra Serif" w:cs="PT Astra Serif"/>
        <w:sz w:val="24"/>
        <w:szCs w:val="24"/>
      </w:rPr>
    </w:r>
    <w:r>
      <w:rPr>
        <w:rFonts w:ascii="PT Astra Serif" w:hAnsi="PT Astra Serif" w:cs="PT Astra Serif"/>
        <w:sz w:val="24"/>
        <w:szCs w:val="24"/>
      </w:rPr>
    </w:r>
  </w:p>
  <w:p>
    <w:pPr>
      <w:pStyle w:val="7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3">
    <w:name w:val="Heading 1 Char"/>
    <w:basedOn w:val="720"/>
    <w:link w:val="711"/>
    <w:uiPriority w:val="9"/>
    <w:rPr>
      <w:rFonts w:ascii="Arial" w:hAnsi="Arial" w:eastAsia="Arial" w:cs="Arial"/>
      <w:sz w:val="40"/>
      <w:szCs w:val="40"/>
    </w:rPr>
  </w:style>
  <w:style w:type="character" w:styleId="694">
    <w:name w:val="Heading 2 Char"/>
    <w:basedOn w:val="720"/>
    <w:link w:val="712"/>
    <w:uiPriority w:val="9"/>
    <w:rPr>
      <w:rFonts w:ascii="Arial" w:hAnsi="Arial" w:eastAsia="Arial" w:cs="Arial"/>
      <w:sz w:val="34"/>
    </w:rPr>
  </w:style>
  <w:style w:type="character" w:styleId="695">
    <w:name w:val="Heading 3 Char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696">
    <w:name w:val="Heading 4 Char"/>
    <w:basedOn w:val="720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697">
    <w:name w:val="Heading 5 Char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698">
    <w:name w:val="Heading 6 Char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699">
    <w:name w:val="Heading 7 Char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8 Char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01">
    <w:name w:val="Heading 9 Char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02">
    <w:name w:val="Title Char"/>
    <w:basedOn w:val="720"/>
    <w:link w:val="734"/>
    <w:uiPriority w:val="10"/>
    <w:rPr>
      <w:sz w:val="48"/>
      <w:szCs w:val="48"/>
    </w:rPr>
  </w:style>
  <w:style w:type="character" w:styleId="703">
    <w:name w:val="Subtitle Char"/>
    <w:basedOn w:val="720"/>
    <w:link w:val="736"/>
    <w:uiPriority w:val="11"/>
    <w:rPr>
      <w:sz w:val="24"/>
      <w:szCs w:val="24"/>
    </w:rPr>
  </w:style>
  <w:style w:type="character" w:styleId="704">
    <w:name w:val="Quote Char"/>
    <w:link w:val="738"/>
    <w:uiPriority w:val="29"/>
    <w:rPr>
      <w:i/>
    </w:rPr>
  </w:style>
  <w:style w:type="character" w:styleId="705">
    <w:name w:val="Intense Quote Char"/>
    <w:link w:val="740"/>
    <w:uiPriority w:val="30"/>
    <w:rPr>
      <w:i/>
    </w:rPr>
  </w:style>
  <w:style w:type="character" w:styleId="706">
    <w:name w:val="Header Char"/>
    <w:basedOn w:val="720"/>
    <w:link w:val="742"/>
    <w:uiPriority w:val="99"/>
  </w:style>
  <w:style w:type="character" w:styleId="707">
    <w:name w:val="Caption Char"/>
    <w:basedOn w:val="746"/>
    <w:link w:val="744"/>
    <w:uiPriority w:val="99"/>
  </w:style>
  <w:style w:type="character" w:styleId="708">
    <w:name w:val="Footnote Text Char"/>
    <w:link w:val="875"/>
    <w:uiPriority w:val="99"/>
    <w:rPr>
      <w:sz w:val="18"/>
    </w:rPr>
  </w:style>
  <w:style w:type="character" w:styleId="709">
    <w:name w:val="Endnote Text Char"/>
    <w:link w:val="878"/>
    <w:uiPriority w:val="99"/>
    <w:rPr>
      <w:sz w:val="20"/>
    </w:rPr>
  </w:style>
  <w:style w:type="paragraph" w:styleId="710" w:default="1">
    <w:name w:val="Normal"/>
    <w:qFormat/>
  </w:style>
  <w:style w:type="paragraph" w:styleId="711">
    <w:name w:val="Heading 1"/>
    <w:basedOn w:val="710"/>
    <w:next w:val="71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2">
    <w:name w:val="Heading 2"/>
    <w:basedOn w:val="710"/>
    <w:next w:val="710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3">
    <w:name w:val="Heading 3"/>
    <w:basedOn w:val="710"/>
    <w:next w:val="710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710"/>
    <w:next w:val="710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710"/>
    <w:next w:val="710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710"/>
    <w:next w:val="710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7">
    <w:name w:val="Heading 7"/>
    <w:basedOn w:val="710"/>
    <w:next w:val="710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8">
    <w:name w:val="Heading 8"/>
    <w:basedOn w:val="710"/>
    <w:next w:val="710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9">
    <w:name w:val="Heading 9"/>
    <w:basedOn w:val="710"/>
    <w:next w:val="710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Заголовок 1 Знак"/>
    <w:basedOn w:val="720"/>
    <w:link w:val="711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basedOn w:val="720"/>
    <w:link w:val="712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basedOn w:val="720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710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after="0" w:line="240" w:lineRule="auto"/>
    </w:pPr>
  </w:style>
  <w:style w:type="paragraph" w:styleId="734">
    <w:name w:val="Title"/>
    <w:basedOn w:val="710"/>
    <w:next w:val="710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Название Знак"/>
    <w:basedOn w:val="720"/>
    <w:link w:val="734"/>
    <w:uiPriority w:val="10"/>
    <w:rPr>
      <w:sz w:val="48"/>
      <w:szCs w:val="48"/>
    </w:rPr>
  </w:style>
  <w:style w:type="paragraph" w:styleId="736">
    <w:name w:val="Subtitle"/>
    <w:basedOn w:val="710"/>
    <w:next w:val="710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basedOn w:val="720"/>
    <w:link w:val="736"/>
    <w:uiPriority w:val="11"/>
    <w:rPr>
      <w:sz w:val="24"/>
      <w:szCs w:val="24"/>
    </w:rPr>
  </w:style>
  <w:style w:type="paragraph" w:styleId="738">
    <w:name w:val="Quote"/>
    <w:basedOn w:val="710"/>
    <w:next w:val="710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0"/>
    <w:next w:val="710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710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 w:customStyle="1">
    <w:name w:val="Верхний колонтитул Знак"/>
    <w:basedOn w:val="720"/>
    <w:link w:val="742"/>
    <w:uiPriority w:val="99"/>
  </w:style>
  <w:style w:type="paragraph" w:styleId="744">
    <w:name w:val="Footer"/>
    <w:basedOn w:val="710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 w:customStyle="1">
    <w:name w:val="Footer Char"/>
    <w:basedOn w:val="720"/>
    <w:uiPriority w:val="99"/>
  </w:style>
  <w:style w:type="paragraph" w:styleId="746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7" w:customStyle="1">
    <w:name w:val="Нижний колонтитул Знак"/>
    <w:link w:val="744"/>
    <w:uiPriority w:val="99"/>
  </w:style>
  <w:style w:type="table" w:styleId="748">
    <w:name w:val="Table Grid"/>
    <w:basedOn w:val="7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 w:customStyle="1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8" w:customStyle="1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0" w:customStyle="1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2" w:customStyle="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3" w:customStyle="1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2" w:customStyle="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3" w:customStyle="1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4" w:customStyle="1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5" w:customStyle="1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 w:customStyle="1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8" w:customStyle="1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1" w:customStyle="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2" w:customStyle="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3" w:customStyle="1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4" w:customStyle="1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5" w:customStyle="1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6" w:customStyle="1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ned - Accent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5" w:customStyle="1">
    <w:name w:val="Lined - Accent 2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Lined - Accent 3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Lined - Accent 4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Lined - Accent 5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9" w:customStyle="1">
    <w:name w:val="Lined - Accent 6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 &amp; Lined - Accent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Bordered &amp; Lined - Accent 2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Bordered &amp; Lined - Accent 3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Bordered &amp; Lined - Accent 4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Bordered &amp; Lined - Accent 5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Bordered &amp; Lined - Accent 6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9" w:customStyle="1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0" w:customStyle="1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1" w:customStyle="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2" w:customStyle="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3" w:customStyle="1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563c1" w:themeColor="hyperlink"/>
      <w:u w:val="single"/>
    </w:rPr>
  </w:style>
  <w:style w:type="paragraph" w:styleId="875">
    <w:name w:val="footnote text"/>
    <w:basedOn w:val="710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20"/>
    <w:uiPriority w:val="99"/>
    <w:unhideWhenUsed/>
    <w:rPr>
      <w:vertAlign w:val="superscript"/>
    </w:rPr>
  </w:style>
  <w:style w:type="paragraph" w:styleId="878">
    <w:name w:val="endnote text"/>
    <w:basedOn w:val="710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20"/>
    <w:uiPriority w:val="99"/>
    <w:semiHidden/>
    <w:unhideWhenUsed/>
    <w:rPr>
      <w:vertAlign w:val="superscript"/>
    </w:rPr>
  </w:style>
  <w:style w:type="paragraph" w:styleId="881">
    <w:name w:val="toc 1"/>
    <w:basedOn w:val="710"/>
    <w:next w:val="710"/>
    <w:uiPriority w:val="39"/>
    <w:unhideWhenUsed/>
    <w:pPr>
      <w:spacing w:after="57"/>
    </w:pPr>
  </w:style>
  <w:style w:type="paragraph" w:styleId="882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83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84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85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86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87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88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89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10"/>
    <w:next w:val="710"/>
    <w:uiPriority w:val="99"/>
    <w:unhideWhenUsed/>
    <w:pPr>
      <w:spacing w:after="0"/>
    </w:pPr>
  </w:style>
  <w:style w:type="paragraph" w:styleId="892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93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ЧР Ольга Петрова</dc:creator>
  <cp:keywords/>
  <dc:description/>
  <cp:revision>6</cp:revision>
  <dcterms:created xsi:type="dcterms:W3CDTF">2024-12-17T06:11:00Z</dcterms:created>
  <dcterms:modified xsi:type="dcterms:W3CDTF">2024-12-26T06:20:08Z</dcterms:modified>
</cp:coreProperties>
</file>