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Кадастровые показатели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Кадастровая информация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осударственный природный заказник «</w:t>
            </w:r>
            <w:r>
              <w:rPr>
                <w:rFonts w:ascii="Times New Roman" w:hAnsi="Times New Roman"/>
              </w:rPr>
              <w:t xml:space="preserve">Кукшумский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tabs>
                <w:tab w:val="center" w:pos="17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природный заказник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Р-ГПЗ-015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23.07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200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сохранение природного комплекса в естественном состоянии;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сохранение, воспроизводство и восстановление природных ресурсов (объектов);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поддержание экологического баланса.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Постановление Кабинета Министров Чувашской Респуб</w:t>
            </w:r>
            <w:r>
              <w:rPr>
                <w:rFonts w:ascii="Times New Roman" w:hAnsi="Times New Roman"/>
                <w:spacing w:val="-6"/>
              </w:rPr>
              <w:t xml:space="preserve">лики от 23 июля </w:t>
            </w:r>
            <w:r>
              <w:rPr>
                <w:rFonts w:ascii="Times New Roman" w:hAnsi="Times New Roman"/>
                <w:spacing w:val="-6"/>
              </w:rPr>
              <w:t xml:space="preserve">2009 г. № 235 «Об образовании государственного при</w:t>
            </w:r>
            <w:r>
              <w:rPr>
                <w:rFonts w:ascii="Times New Roman" w:hAnsi="Times New Roman"/>
                <w:spacing w:val="-6"/>
              </w:rPr>
              <w:t xml:space="preserve">родного заказника «Кукшумский» </w:t>
            </w:r>
            <w:r>
              <w:rPr>
                <w:rFonts w:ascii="Times New Roman" w:hAnsi="Times New Roman"/>
              </w:rPr>
              <w:t xml:space="preserve">(с изменениями</w:t>
            </w:r>
            <w:r>
              <w:rPr>
                <w:rFonts w:ascii="Times New Roman" w:hAnsi="Times New Roman"/>
              </w:rPr>
              <w:t xml:space="preserve">, внесенным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Республики от 26.06.2013 № 249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от 25.03.2015 № 96, от 23.11.2016 № 485</w:t>
            </w:r>
            <w:r>
              <w:rPr>
                <w:rFonts w:ascii="Times New Roman" w:hAnsi="Times New Roman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76,88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</w:t>
            </w:r>
            <w:r>
              <w:rPr>
                <w:rFonts w:ascii="Times New Roman" w:hAnsi="Times New Roman"/>
                <w:lang w:val="en-US"/>
              </w:rPr>
              <w:t xml:space="preserve">IUCN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Ядринский</w:t>
            </w:r>
            <w:r>
              <w:rPr>
                <w:rFonts w:ascii="Times New Roman" w:hAnsi="Times New Roman"/>
              </w:rPr>
              <w:t xml:space="preserve"> муниципальный округ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1 – </w:t>
            </w:r>
            <w:r>
              <w:rPr>
                <w:rFonts w:ascii="Times New Roman" w:hAnsi="Times New Roman"/>
              </w:rPr>
              <w:t xml:space="preserve">0,5 км юго-восточнее с. Чиганары Ядринского муниципального округа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2 – </w:t>
            </w:r>
            <w:r>
              <w:rPr>
                <w:rFonts w:ascii="Times New Roman" w:hAnsi="Times New Roman"/>
              </w:rPr>
              <w:t xml:space="preserve">0,3 км западнее дер. Заштраночная Ядринского </w:t>
            </w:r>
            <w:r>
              <w:rPr>
                <w:rFonts w:ascii="Times New Roman" w:hAnsi="Times New Roman"/>
              </w:rPr>
              <w:t xml:space="preserve">муниципального округа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3 – </w:t>
            </w:r>
            <w:r>
              <w:rPr>
                <w:rFonts w:ascii="Times New Roman" w:hAnsi="Times New Roman"/>
              </w:rPr>
              <w:t xml:space="preserve">1,6 км юго-западнее с. Малое Чурашево Ядринского </w:t>
            </w:r>
            <w:r>
              <w:rPr>
                <w:rFonts w:ascii="Times New Roman" w:hAnsi="Times New Roman"/>
              </w:rPr>
              <w:t xml:space="preserve">муниципального округа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4 – </w:t>
            </w:r>
            <w:r>
              <w:rPr>
                <w:rFonts w:ascii="Times New Roman" w:hAnsi="Times New Roman"/>
              </w:rPr>
              <w:t xml:space="preserve">0,6 км северо-западнее д. Торхлово Ядринского </w:t>
            </w:r>
            <w:r>
              <w:rPr>
                <w:rFonts w:ascii="Times New Roman" w:hAnsi="Times New Roman"/>
              </w:rPr>
              <w:t xml:space="preserve">муниципального округа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76,88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 том 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76,88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г</w:t>
            </w:r>
            <w:r>
              <w:rPr>
                <w:rFonts w:ascii="Times New Roman" w:hAnsi="Times New Roman"/>
              </w:rPr>
              <w:t xml:space="preserve">осударственного природного заказника «</w:t>
            </w:r>
            <w:r>
              <w:rPr>
                <w:rFonts w:ascii="Times New Roman" w:hAnsi="Times New Roman"/>
              </w:rPr>
              <w:t xml:space="preserve">Кукшумский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представлены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</w:t>
            </w:r>
            <w:r>
              <w:rPr>
                <w:rFonts w:ascii="Times New Roman" w:hAnsi="Times New Roman"/>
              </w:rPr>
              <w:t xml:space="preserve">постановлению 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23 июля</w:t>
            </w:r>
            <w:r>
              <w:rPr>
                <w:rFonts w:ascii="Times New Roman" w:hAnsi="Times New Roman"/>
              </w:rPr>
              <w:t xml:space="preserve"> 200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235</w:t>
            </w:r>
            <w:r>
              <w:rPr>
                <w:rFonts w:ascii="Times New Roman" w:hAnsi="Times New Roman"/>
              </w:rPr>
              <w:t xml:space="preserve"> «Вопросы особо охраняемых природных территорий» (с изменениями</w:t>
            </w:r>
            <w:r>
              <w:rPr>
                <w:rFonts w:ascii="Times New Roman" w:hAnsi="Times New Roman"/>
              </w:rPr>
              <w:t xml:space="preserve">, внесенным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Республики от 26.06.2013 № 249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от 25.03.2015 № 96, от 23.11.2016 № 485</w:t>
            </w:r>
            <w:r>
              <w:rPr>
                <w:rFonts w:ascii="Times New Roman" w:hAnsi="Times New Roman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(реестровый номер 21:24-6.103).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1: </w:t>
            </w:r>
            <w:r>
              <w:rPr>
                <w:rFonts w:ascii="Times New Roman" w:hAnsi="Times New Roman"/>
              </w:rPr>
              <w:t xml:space="preserve">N 55°55'15,07"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46°21'28,95"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2: </w:t>
            </w:r>
            <w:r>
              <w:rPr>
                <w:rFonts w:ascii="Times New Roman" w:hAnsi="Times New Roman"/>
              </w:rPr>
              <w:t xml:space="preserve">N 55°53'58,88"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46°24'10,86"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3: </w:t>
            </w:r>
            <w:r>
              <w:rPr>
                <w:rFonts w:ascii="Times New Roman" w:hAnsi="Times New Roman"/>
              </w:rPr>
              <w:t xml:space="preserve">N 55°54'07,22" E 46°22'08,50"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№ 4: </w:t>
            </w:r>
            <w:r>
              <w:rPr>
                <w:rFonts w:ascii="Times New Roman" w:hAnsi="Times New Roman"/>
              </w:rPr>
              <w:t xml:space="preserve">N 55°52'20,69"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46°23'57,47"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Рельеф сложен чередованием невысо</w:t>
            </w:r>
            <w:r>
              <w:rPr>
                <w:rFonts w:ascii="Times New Roman" w:hAnsi="Times New Roman"/>
              </w:rPr>
              <w:t xml:space="preserve">ких равнинных водоразделов и ассиметричных речных долин, где формируются почвы овражно-балочного комплекса. На участке № 1 находится склон западной экспозиции шириной 5-8 м. Участок № 2 занимает холм и прилегающую к нему территорию. Участок № 3 расположен </w:t>
            </w:r>
            <w:r>
              <w:rPr>
                <w:rFonts w:ascii="Times New Roman" w:hAnsi="Times New Roman"/>
              </w:rPr>
              <w:t xml:space="preserve">на водораздельном плато, пологие склоны (до 5°) которого постепенно переходят в склоны южной экспозиции с крутизной 15-25°. Участок № 4 представляет собой периферию плато, переходящего в овраг, имеющий склоны южной и северной экспозиции с крутизной 50-60°.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>
              <w:rPr>
                <w:rFonts w:ascii="Times New Roman" w:hAnsi="Times New Roman"/>
              </w:rPr>
              <w:t xml:space="preserve">воздуха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r>
              <w:rPr>
                <w:rFonts w:ascii="Times New Roman" w:hAnsi="Times New Roman"/>
              </w:rPr>
              <w:t xml:space="preserve">воздуха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</w:t>
            </w:r>
            <w:r>
              <w:rPr>
                <w:rFonts w:ascii="Times New Roman" w:hAnsi="Times New Roman"/>
                <w:lang w:val="en-US"/>
              </w:rPr>
              <w:t xml:space="preserve">t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преобладают ветры юго-западных направлений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Почвообразующие породы представлены конечной мореной разнородно</w:t>
            </w:r>
            <w:r>
              <w:rPr>
                <w:rFonts w:ascii="Times New Roman" w:hAnsi="Times New Roman"/>
              </w:rPr>
              <w:t xml:space="preserve">го механического и минералогического состава. Типы почв: участок № 1 – дерново-подзолистые почвы, участок № 2 – дерновые литогенные и дерново-карбонатные почвы, участок № 3 – дерново-карбонатные почвы, участок № 4 – серые лесные и темно-серые лесные почвы.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Заказник расположен на левобережье р. Мочкаушка и р. Выла – правого притока р. Сура. На участке № 1 имеется сильно заросшая старица реки Выла.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склоне участка № 1 расположен мезофитный луг с доминированием хвоща полевого и манжетки жестковолосистостебельной. С севера примыкает пойменный луг до</w:t>
            </w:r>
            <w:r>
              <w:rPr>
                <w:rFonts w:ascii="Times New Roman" w:hAnsi="Times New Roman"/>
              </w:rPr>
              <w:t xml:space="preserve">лины р. Выла, на котором преобладают лютики ползучий и едкий, осоки лисья и острая. На юго-востоке участка имеется старица, заросшая элодеей канадской и водокрасом лягушачьим. На участке № 2 вершину холма и склон южной экспозиции занимает суходольный луг с</w:t>
            </w:r>
            <w:r>
              <w:rPr>
                <w:rFonts w:ascii="Times New Roman" w:hAnsi="Times New Roman"/>
              </w:rPr>
              <w:t xml:space="preserve"> доминированием ястребинки волосистой, лапчатки серебристой и тысячелистника обыкновенного, а северный склон – мезофитный луг. Участок № 3 представляет собой мезофитный луг с пятнами подмаренника настоящего и горошка мышиного. На участке № 4 на склоне южно</w:t>
            </w:r>
            <w:r>
              <w:rPr>
                <w:rFonts w:ascii="Times New Roman" w:hAnsi="Times New Roman"/>
              </w:rPr>
              <w:t xml:space="preserve">й экспо</w:t>
            </w:r>
            <w:r>
              <w:rPr>
                <w:rFonts w:ascii="Times New Roman" w:hAnsi="Times New Roman"/>
              </w:rPr>
              <w:t xml:space="preserve">зиции расположен суходольный разнотравно-злаковый луг с преобладанием клевера горного, лапчатки серебристой, живучки женевской; на склоне северной экспозиции – мезофитный луг с раннеосоковой и злаково-разнотравной ассоциациями; а на пологой части – залежь.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Колеоптерофауна включает типичные для луговых сообществ виды, в том числе и факультативные нидиколы сурка-байбака.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Среди птиц по пищ</w:t>
            </w:r>
            <w:r>
              <w:rPr>
                <w:rFonts w:ascii="Times New Roman" w:hAnsi="Times New Roman"/>
              </w:rPr>
              <w:t xml:space="preserve">евой специализации 58,49% видов являются насекомоядными, 18,86% – растительноядными, 9,43% – всеядными, 7,55% – рыбоядными, 5,66% – хищными. Высокое биоразнообразие птиц характерно только для участка № 1, где представлены околоводные и полево-луговые виды.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участке № 1 обнаружено 16 но</w:t>
            </w:r>
            <w:r>
              <w:rPr>
                <w:rFonts w:ascii="Times New Roman" w:hAnsi="Times New Roman"/>
              </w:rPr>
              <w:t xml:space="preserve">р, на участке № 2 – 25 нор, на участке № 3 – 21 нора, на участке № 4 – 70 нор. Большое количество нежилых нор (7) в 1 колонии свидетельствует о неблагоприятном состоянии колонии. В других колониях нежилых нор не более 2. Наиболее благополучная – 4 колония.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купаль</w:t>
            </w:r>
            <w:r>
              <w:rPr>
                <w:rFonts w:ascii="Times New Roman" w:hAnsi="Times New Roman"/>
              </w:rPr>
              <w:t xml:space="preserve">ница европейская – Trollius europaeus L. (2), любка двулистная – Platanthera bifolia (L.) Rich. (3), пальчатокоренник мясо-красный – Dactylorhiza incarnata (L.) Soo (3), ива лопарская – Salix lapponum L. (4), яблоня лесная – Malus sylvestris (L.) Mill. (4)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(2019)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животные: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птицы: орлан-белохвост – Haliaeetus albicilla (L.) (1), гусь серый – Anser anser (L.) (1), орел-карлик – Hieraaetus pennatus (J.F. Gmelin) (2), лунь полевой – Circus cyaneus (L.</w:t>
            </w:r>
            <w:r>
              <w:rPr>
                <w:rFonts w:ascii="Times New Roman" w:hAnsi="Times New Roman"/>
              </w:rPr>
              <w:t xml:space="preserve">) (2), веретенник большой – Limosa limosa (L.) (2), щурка золотистая – Merops apiaster L. (2), горлица обыкновенная – Streptopelia turtur (L.) (2), клинтух – Columba oenas L. (2), кулик-сорока – Haematopus ostralegus L. (3), зимородок обыкновенный – Alcedo</w:t>
            </w:r>
            <w:r>
              <w:rPr>
                <w:rFonts w:ascii="Times New Roman" w:hAnsi="Times New Roman"/>
              </w:rPr>
              <w:t xml:space="preserve"> atthis (L.) (3), крачка черная – Chlidonias niger (L.) (3), крачка белокрылая – Chlidonias leucopterus (Temminck) (прил.), славка ястребиная – Sylvia nisoria (Bechstein) (прил.), перепел – Coturnix coturnix (L.) (прил.), коростель – Crex crex (L.) (прил.)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Красная книга Чувашской Республики</w:t>
            </w:r>
            <w:r>
              <w:rPr>
                <w:rFonts w:ascii="Times New Roman" w:hAnsi="Times New Roman"/>
              </w:rPr>
              <w:t xml:space="preserve"> (2023)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218 видов сосудистых растений, 8 видов цикадовых, 202 вида жесткокрылых, 76 видов птиц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луговая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колонии сурков, редкие и исчезающие в</w:t>
            </w:r>
            <w:r>
              <w:rPr>
                <w:rFonts w:ascii="Times New Roman" w:hAnsi="Times New Roman"/>
              </w:rPr>
              <w:t xml:space="preserve">иды рас</w:t>
            </w:r>
            <w:r>
              <w:rPr>
                <w:rFonts w:ascii="Times New Roman" w:hAnsi="Times New Roman"/>
              </w:rPr>
              <w:t xml:space="preserve">тений и животных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 </w:t>
            </w:r>
            <w:r>
              <w:rPr>
                <w:rFonts w:ascii="Times New Roman" w:hAnsi="Times New Roman"/>
              </w:rPr>
              <w:t xml:space="preserve">территорий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866"/>
                <w:rFonts w:ascii="Times New Roman" w:hAnsi="Times New Roman"/>
              </w:rPr>
              <w:t xml:space="preserve">@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866"/>
                <w:rFonts w:ascii="Times New Roman" w:hAnsi="Times New Roman"/>
              </w:rPr>
              <w:t xml:space="preserve">.</w:t>
            </w:r>
            <w:r>
              <w:rPr>
                <w:rStyle w:val="866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5"/>
        </w:trPr>
        <w:tc>
          <w:tcPr>
            <w:tcW w:w="599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Положение о государственном природном заказнике «Кукшумский»</w:t>
            </w:r>
            <w:r>
              <w:rPr>
                <w:rFonts w:ascii="Times New Roman" w:hAnsi="Times New Roman"/>
              </w:rPr>
              <w:t xml:space="preserve"> утверждено</w:t>
            </w:r>
            <w:r>
              <w:rPr>
                <w:rFonts w:ascii="Times New Roman" w:hAnsi="Times New Roman"/>
              </w:rPr>
              <w:t xml:space="preserve"> постановлением </w:t>
            </w:r>
            <w:r>
              <w:rPr>
                <w:rFonts w:ascii="Times New Roman" w:hAnsi="Times New Roman"/>
              </w:rPr>
              <w:t xml:space="preserve">Кабинета Министров Чувашской Республики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23 июля</w:t>
            </w:r>
            <w:r>
              <w:rPr>
                <w:rFonts w:ascii="Times New Roman" w:hAnsi="Times New Roman"/>
              </w:rPr>
              <w:t xml:space="preserve"> 200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235</w:t>
            </w:r>
            <w:r>
              <w:rPr>
                <w:rFonts w:ascii="Times New Roman" w:hAnsi="Times New Roman"/>
              </w:rPr>
              <w:t xml:space="preserve"> «Вопросы особо охраняемых природных территорий» (с изменениями</w:t>
            </w:r>
            <w:r>
              <w:rPr>
                <w:rFonts w:ascii="Times New Roman" w:hAnsi="Times New Roman"/>
              </w:rPr>
              <w:t xml:space="preserve">, внесенным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постановлени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 Кабинета Министров Чувашской Республики от 26.06.2013 № 249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spacing w:val="-6"/>
              </w:rPr>
              <w:t xml:space="preserve"> от 25.03.2015 № 96, от 23.11.2016 № 485</w:t>
            </w:r>
            <w:r>
              <w:rPr>
                <w:rFonts w:ascii="Times New Roman" w:hAnsi="Times New Roman"/>
                <w:spacing w:val="-6"/>
              </w:rPr>
              <w:t xml:space="preserve">, от 12.09.2018 № 361, от 10.06.2020 № 309, от 03.04.2024 № 167</w:t>
            </w:r>
            <w:r>
              <w:rPr>
                <w:rFonts w:ascii="Times New Roman" w:hAnsi="Times New Roman"/>
              </w:rPr>
              <w:t xml:space="preserve">):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- запрещенные виды деятельности: 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охота (за исключением регулирования численности охотничьих ресурсов), промышленное рыболовство, рыболовство в целях аквакультуры (рыбоводства) и аквакультура (рыбоводство); 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возведение объектов капитального строительства, не связанных с использованием территории заказника;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предоставление земельных участков для ведения садоводства и огородничества, строительства гаражей для собственных нужд или индивидуального жилищного строительства, а также строительства хозяйственных и жилых объектов;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нарушение мест обитания объектов животного мира, умышленное причинение беспокойства и отлов объектов животного мира;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сжигание сухих листьев и травы, в том числе весенние палы, разведение костров вне специально отведенных мест;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массовых спортивных, зрелищных и иных мероприятий вне специально выделенных для этих целей мест и без разрешения Минприроды Чувашии;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движение и стоянка механизированных транспортных средств, не связанных с функционированием заказника;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загрязнение почв, замусоривание территории, захоронение мусора, устройство снегосвалок;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пребывание посетителей с пневматическим и иным оружием, рогатками, сачками и другими орудиями отстрела или отлова животных;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свободный выгул собак;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самовольные посадки деревьев и кустарников, а также другие самовольные действия граждан, направленные на обустройство отдельных участков заказника;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повреждение биотехнических объектов, информационных знаков и аншлагов;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сплошные и выборочные рубки лесных насаждений,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использования линейных объектов;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строительство, реконструкция и эксплуатация дорог, трубопроводов, линий электропередачи и других коммуникаций, за исключением реконструкции и эксплуатации существующих на момент создания заказника линейных объектов с учетом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Требований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6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иные виды хозяйственной деятельности, рекреационного и другого природопользования, препятствующие сохранению, воспроизводству и восстановлению природных ресурсов (объектов).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z w:val="22"/>
                <w:szCs w:val="22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392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заказника определяются следующие основные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природно-познавательный туризм (код 5.2);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охрана природных территорий (код 9.1).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В границах заказника определяются следующие вспомогательные виды разрешенного использования земельных участков: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передвижное жилье (код 2.4);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туристическое обслуживание (код 5.2.1).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предельные (максимальные) размеры земельных участков - 4 x 4 м; предельная (максимальная) площадь земельных участков - 16 м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5 м;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  <w:p>
            <w:pPr>
              <w:pStyle w:val="877"/>
              <w:ind w:left="0" w:right="0" w:firstLine="142"/>
              <w:jc w:val="both"/>
              <w:spacing w:before="0" w:beforeAutospacing="0" w:after="0" w:afterAutospacing="0"/>
              <w:shd w:val="clear" w:color="auto" w:fill="ffffff"/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максимальный процент застройки в границах земельного участка - до 75%. 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Кукшумский территориальный отдел Ядринского муниципального округа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429080, ЧР, Ядринский муниципальный округ,   д. Кукшумы ул.Шоссейная, д.14, тел:</w:t>
            </w:r>
            <w:r>
              <w:rPr>
                <w:rStyle w:val="875"/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  <w:t xml:space="preserve">8(835-47) 61-3-32 </w:t>
            </w:r>
            <w:r>
              <w:rPr>
                <w:rFonts w:ascii="Times New Roman" w:hAnsi="Times New Roman"/>
              </w:rPr>
              <w:t xml:space="preserve">E-</w:t>
            </w:r>
            <w:r>
              <w:rPr>
                <w:rFonts w:ascii="Times New Roman" w:hAnsi="Times New Roman"/>
                <w:lang w:val="en-US"/>
              </w:rPr>
              <w:t xml:space="preserve">m</w:t>
            </w:r>
            <w:r>
              <w:rPr>
                <w:rFonts w:ascii="Times New Roman" w:hAnsi="Times New Roman"/>
              </w:rPr>
              <w:t xml:space="preserve">ail:</w:t>
            </w:r>
            <w:r>
              <w:rPr>
                <w:rStyle w:val="875"/>
                <w:rFonts w:ascii="Times New Roman" w:hAnsi="Times New Roman"/>
              </w:rPr>
              <w:t xml:space="preserve"> </w:t>
            </w:r>
            <w:r>
              <w:rPr>
                <w:rStyle w:val="875"/>
                <w:rFonts w:ascii="Times New Roman" w:hAnsi="Times New Roman"/>
              </w:rPr>
              <w:t xml:space="preserve">yad</w:t>
            </w:r>
            <w:r>
              <w:rPr>
                <w:rFonts w:ascii="Times New Roman" w:hAnsi="Times New Roman"/>
              </w:rPr>
              <w:t xml:space="preserve">-kukshum@cap.ru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  <w:t xml:space="preserve">Иванов Владимир Исаевич</w:t>
            </w:r>
            <w:r>
              <w:rPr>
                <w:rFonts w:ascii="Times New Roman" w:hAnsi="Times New Roman"/>
              </w:rPr>
              <w:t xml:space="preserve">, начальник отдела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85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</w:t>
            </w:r>
            <w:r>
              <w:rPr>
                <w:rFonts w:ascii="Times New Roman" w:hAnsi="Times New Roman"/>
              </w:rPr>
              <w:t xml:space="preserve">.20</w:t>
            </w: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4"/>
      </w:pPr>
      <w:r/>
      <w:r/>
    </w:p>
    <w:p>
      <w:pPr>
        <w:pStyle w:val="854"/>
        <w:rPr>
          <w:lang w:eastAsia="ru-RU"/>
        </w:rPr>
      </w:pPr>
      <w:r>
        <w:br w:type="page" w:clear="all"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8076" cy="836724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88076" cy="8367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3.63pt;height:658.8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502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5">
    <w:name w:val="Заголовок 1"/>
    <w:basedOn w:val="854"/>
    <w:next w:val="854"/>
    <w:link w:val="86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paragraph" w:styleId="856">
    <w:name w:val="Заголовок 4"/>
    <w:basedOn w:val="854"/>
    <w:next w:val="854"/>
    <w:link w:val="870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character" w:styleId="857">
    <w:name w:val="Основной шрифт абзаца"/>
    <w:next w:val="857"/>
    <w:link w:val="854"/>
    <w:uiPriority w:val="1"/>
    <w:unhideWhenUsed/>
  </w:style>
  <w:style w:type="table" w:styleId="858">
    <w:name w:val="Обычная таблица"/>
    <w:next w:val="858"/>
    <w:link w:val="854"/>
    <w:uiPriority w:val="99"/>
    <w:semiHidden/>
    <w:unhideWhenUsed/>
    <w:qFormat/>
    <w:tblPr/>
  </w:style>
  <w:style w:type="numbering" w:styleId="859">
    <w:name w:val="Нет списка"/>
    <w:next w:val="859"/>
    <w:link w:val="854"/>
    <w:uiPriority w:val="99"/>
    <w:semiHidden/>
    <w:unhideWhenUsed/>
  </w:style>
  <w:style w:type="character" w:styleId="860">
    <w:name w:val="Заголовок 1 Знак"/>
    <w:next w:val="860"/>
    <w:link w:val="855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861">
    <w:name w:val="Верхний колонтитул"/>
    <w:basedOn w:val="854"/>
    <w:next w:val="861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862">
    <w:name w:val="Верхний колонтитул Знак"/>
    <w:next w:val="862"/>
    <w:link w:val="86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Основной текст"/>
    <w:basedOn w:val="854"/>
    <w:next w:val="863"/>
    <w:link w:val="865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4">
    <w:name w:val="Основной текст Знак"/>
    <w:next w:val="864"/>
    <w:link w:val="854"/>
    <w:uiPriority w:val="99"/>
    <w:semiHidden/>
    <w:rPr>
      <w:rFonts w:ascii="Calibri" w:hAnsi="Calibri" w:eastAsia="Calibri" w:cs="Times New Roman"/>
    </w:rPr>
  </w:style>
  <w:style w:type="character" w:styleId="865">
    <w:name w:val="Основной текст Знак1"/>
    <w:next w:val="865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Гиперссылка"/>
    <w:next w:val="866"/>
    <w:link w:val="854"/>
    <w:uiPriority w:val="99"/>
    <w:unhideWhenUsed/>
    <w:rPr>
      <w:color w:val="0000ff"/>
      <w:u w:val="single"/>
    </w:rPr>
  </w:style>
  <w:style w:type="paragraph" w:styleId="867">
    <w:name w:val="printj"/>
    <w:basedOn w:val="854"/>
    <w:next w:val="86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Основной текст 3"/>
    <w:basedOn w:val="854"/>
    <w:next w:val="868"/>
    <w:link w:val="8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869">
    <w:name w:val="Основной текст 3 Знак"/>
    <w:next w:val="869"/>
    <w:link w:val="868"/>
    <w:uiPriority w:val="99"/>
    <w:semiHidden/>
    <w:rPr>
      <w:sz w:val="16"/>
      <w:szCs w:val="16"/>
      <w:lang w:eastAsia="en-US"/>
    </w:rPr>
  </w:style>
  <w:style w:type="character" w:styleId="870">
    <w:name w:val="Заголовок 4 Знак"/>
    <w:next w:val="870"/>
    <w:link w:val="856"/>
    <w:rPr>
      <w:rFonts w:eastAsia="Times New Roman"/>
      <w:b/>
      <w:bCs/>
      <w:sz w:val="28"/>
      <w:szCs w:val="28"/>
    </w:rPr>
  </w:style>
  <w:style w:type="paragraph" w:styleId="871">
    <w:name w:val="Текст примечания"/>
    <w:basedOn w:val="854"/>
    <w:next w:val="871"/>
    <w:link w:val="872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en-US"/>
    </w:rPr>
  </w:style>
  <w:style w:type="character" w:styleId="872">
    <w:name w:val="Текст примечания Знак"/>
    <w:next w:val="872"/>
    <w:link w:val="871"/>
    <w:semiHidden/>
    <w:rPr>
      <w:rFonts w:ascii="Times New Roman" w:hAnsi="Times New Roman" w:eastAsia="Times New Roman"/>
    </w:rPr>
  </w:style>
  <w:style w:type="character" w:styleId="873">
    <w:name w:val="Код HTML"/>
    <w:next w:val="873"/>
    <w:link w:val="854"/>
    <w:unhideWhenUsed/>
    <w:rPr>
      <w:rFonts w:ascii="Courier New" w:hAnsi="Courier New" w:eastAsia="Times New Roman" w:cs="Courier New"/>
      <w:sz w:val="20"/>
      <w:szCs w:val="20"/>
    </w:rPr>
  </w:style>
  <w:style w:type="paragraph" w:styleId="874">
    <w:name w:val="Основной текст 31"/>
    <w:basedOn w:val="854"/>
    <w:next w:val="874"/>
    <w:link w:val="854"/>
    <w:pPr>
      <w:jc w:val="both"/>
      <w:spacing w:after="0" w:line="240" w:lineRule="auto"/>
      <w:widowControl w:val="off"/>
    </w:pPr>
    <w:rPr>
      <w:rFonts w:ascii="Arial" w:hAnsi="Arial" w:eastAsia="Lucida Sans Unicode"/>
      <w:sz w:val="28"/>
      <w:szCs w:val="24"/>
      <w:lang w:eastAsia="en-US"/>
    </w:rPr>
  </w:style>
  <w:style w:type="character" w:styleId="875">
    <w:name w:val="apple-converted-space"/>
    <w:basedOn w:val="857"/>
    <w:next w:val="875"/>
    <w:link w:val="854"/>
  </w:style>
  <w:style w:type="paragraph" w:styleId="876">
    <w:name w:val="formattext topleveltext"/>
    <w:basedOn w:val="854"/>
    <w:next w:val="876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7">
    <w:name w:val="formattext"/>
    <w:basedOn w:val="854"/>
    <w:next w:val="877"/>
    <w:link w:val="85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59</cp:revision>
  <dcterms:created xsi:type="dcterms:W3CDTF">2014-02-04T08:35:00Z</dcterms:created>
  <dcterms:modified xsi:type="dcterms:W3CDTF">2024-12-28T11:46:49Z</dcterms:modified>
  <cp:version>786432</cp:version>
</cp:coreProperties>
</file>