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left="0" w:firstLine="0"/>
      </w:pPr>
      <w:r/>
      <w:r/>
    </w:p>
    <w:p>
      <w:pPr>
        <w:pStyle w:val="874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 Е Р Е Ч Е Н Ь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4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автомобильных дорог</w:t>
      </w:r>
      <w:r>
        <w:rPr>
          <w:sz w:val="26"/>
          <w:szCs w:val="26"/>
        </w:rPr>
        <w:t xml:space="preserve"> общего пользования </w:t>
      </w:r>
      <w:r>
        <w:rPr>
          <w:sz w:val="26"/>
          <w:szCs w:val="26"/>
        </w:rPr>
        <w:t xml:space="preserve">регионального и межмуниципального значения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(участков таких автомобильных дорог) </w:t>
      </w:r>
      <w:r>
        <w:rPr>
          <w:sz w:val="26"/>
          <w:szCs w:val="26"/>
        </w:rPr>
        <w:t xml:space="preserve">в Чувашской Республике, на которых </w:t>
      </w:r>
      <w:r>
        <w:rPr>
          <w:sz w:val="26"/>
          <w:szCs w:val="26"/>
        </w:rPr>
        <w:t xml:space="preserve">в весенний период </w:t>
      </w:r>
      <w:r>
        <w:rPr>
          <w:sz w:val="26"/>
          <w:szCs w:val="26"/>
        </w:rPr>
        <w:t xml:space="preserve">вводится временное ограничение движения транспортных средств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гр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зом или без груза, нагрузка на оси которых превышает предельно допустимые значения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4"/>
        <w:jc w:val="both"/>
        <w:widowControl w:val="off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tbl>
      <w:tblPr>
        <w:tblW w:w="5000" w:type="pct"/>
        <w:tblInd w:w="0" w:type="dxa"/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793"/>
        <w:gridCol w:w="7003"/>
        <w:gridCol w:w="1363"/>
        <w:gridCol w:w="2094"/>
        <w:gridCol w:w="1831"/>
        <w:gridCol w:w="1828"/>
      </w:tblGrid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right w:val="single" w:color="000000" w:sz="6" w:space="0"/>
            </w:tcBorders>
            <w:tcW w:w="266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№ </w:t>
              <w:br w:type="textWrapping" w:clear="all"/>
              <w:t xml:space="preserve">п</w:t>
            </w:r>
            <w:r>
              <w:rPr>
                <w:iCs/>
                <w:sz w:val="26"/>
                <w:szCs w:val="24"/>
                <w:lang w:val="en-US"/>
              </w:rPr>
              <w:t xml:space="preserve">/</w:t>
            </w:r>
            <w:r>
              <w:rPr>
                <w:iCs/>
                <w:sz w:val="26"/>
                <w:szCs w:val="24"/>
              </w:rPr>
              <w:t xml:space="preserve">п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348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Наименование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автомобильной дороги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457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Прот</w:t>
            </w:r>
            <w:r>
              <w:rPr>
                <w:iCs/>
                <w:sz w:val="26"/>
                <w:szCs w:val="24"/>
              </w:rPr>
              <w:t xml:space="preserve">я</w:t>
            </w:r>
            <w:r>
              <w:rPr>
                <w:iCs/>
                <w:sz w:val="26"/>
                <w:szCs w:val="24"/>
              </w:rPr>
              <w:t xml:space="preserve">женность, км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929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sz w:val="26"/>
                <w:szCs w:val="26"/>
              </w:rPr>
              <w:t xml:space="preserve">Д</w:t>
            </w:r>
            <w:r>
              <w:rPr>
                <w:sz w:val="26"/>
                <w:szCs w:val="26"/>
              </w:rPr>
              <w:t xml:space="preserve">опустимые</w:t>
            </w:r>
            <w:r>
              <w:rPr>
                <w:sz w:val="26"/>
                <w:szCs w:val="26"/>
              </w:rPr>
              <w:t xml:space="preserve"> нагрузки на ось или группу осей (тележку)</w:t>
            </w:r>
            <w:r>
              <w:rPr>
                <w:iCs/>
                <w:sz w:val="26"/>
                <w:szCs w:val="24"/>
              </w:rPr>
              <w:t xml:space="preserve">*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right w:val="single" w:color="000000" w:sz="6" w:space="0"/>
            </w:tcBorders>
            <w:tcW w:w="26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348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одино</w:t>
            </w:r>
            <w:r>
              <w:rPr>
                <w:iCs/>
                <w:sz w:val="26"/>
                <w:szCs w:val="24"/>
              </w:rPr>
              <w:t xml:space="preserve">ч</w:t>
            </w:r>
            <w:r>
              <w:rPr>
                <w:iCs/>
                <w:sz w:val="26"/>
                <w:szCs w:val="24"/>
              </w:rPr>
              <w:t xml:space="preserve">ной оси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двухосной </w:t>
              <w:br w:type="textWrapping" w:clear="all"/>
              <w:t xml:space="preserve">т</w:t>
            </w:r>
            <w:r>
              <w:rPr>
                <w:iCs/>
                <w:sz w:val="26"/>
                <w:szCs w:val="24"/>
              </w:rPr>
              <w:t xml:space="preserve">е</w:t>
            </w:r>
            <w:r>
              <w:rPr>
                <w:iCs/>
                <w:sz w:val="26"/>
                <w:szCs w:val="24"/>
              </w:rPr>
              <w:t xml:space="preserve">лежки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трехосной </w:t>
              <w:br w:type="textWrapping" w:clear="all"/>
              <w:t xml:space="preserve">т</w:t>
            </w:r>
            <w:r>
              <w:rPr>
                <w:iCs/>
                <w:sz w:val="26"/>
                <w:szCs w:val="24"/>
              </w:rPr>
              <w:t xml:space="preserve">е</w:t>
            </w:r>
            <w:r>
              <w:rPr>
                <w:iCs/>
                <w:sz w:val="26"/>
                <w:szCs w:val="24"/>
              </w:rPr>
              <w:t xml:space="preserve">лежки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right w:val="single" w:color="000000" w:sz="6" w:space="0"/>
            </w:tcBorders>
            <w:tcW w:w="266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348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457" w:type="pct"/>
            <w:vAlign w:val="top"/>
            <w:vMerge w:val="continue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тс(кН)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тс(кН)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тс(кН)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</w:tr>
    </w:tbl>
    <w:p>
      <w:pPr>
        <w:pStyle w:val="87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793"/>
        <w:gridCol w:w="7003"/>
        <w:gridCol w:w="1363"/>
        <w:gridCol w:w="2094"/>
        <w:gridCol w:w="1831"/>
        <w:gridCol w:w="1828"/>
      </w:tblGrid>
      <w:tr>
        <w:tblPrEx/>
        <w:trPr>
          <w:cantSplit/>
          <w:trHeight w:val="20"/>
        </w:trPr>
        <w:tc>
          <w:tcPr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163" w:leader="none"/>
              </w:tabs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1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2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3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4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5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6</w:t>
            </w:r>
            <w:r>
              <w:rPr>
                <w:iCs/>
                <w:sz w:val="26"/>
                <w:szCs w:val="24"/>
              </w:rPr>
            </w:r>
            <w:r>
              <w:rPr>
                <w:iCs/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Чебоксары – Сурское (до границы Ульяно</w:t>
            </w:r>
            <w:r>
              <w:rPr>
                <w:sz w:val="26"/>
                <w:szCs w:val="24"/>
              </w:rPr>
              <w:t xml:space="preserve">в</w:t>
            </w:r>
            <w:r>
              <w:rPr>
                <w:sz w:val="26"/>
                <w:szCs w:val="24"/>
              </w:rPr>
              <w:t xml:space="preserve">ской о</w:t>
            </w:r>
            <w:r>
              <w:rPr>
                <w:sz w:val="26"/>
                <w:szCs w:val="24"/>
              </w:rPr>
              <w:t xml:space="preserve">б</w:t>
            </w:r>
            <w:r>
              <w:rPr>
                <w:sz w:val="26"/>
                <w:szCs w:val="24"/>
              </w:rPr>
              <w:t xml:space="preserve">ласти)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194,140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«Аниш» (а.</w:t>
            </w:r>
            <w:r>
              <w:rPr>
                <w:sz w:val="26"/>
                <w:szCs w:val="24"/>
              </w:rPr>
              <w:t xml:space="preserve">д</w:t>
            </w:r>
            <w:r>
              <w:rPr>
                <w:sz w:val="26"/>
                <w:szCs w:val="24"/>
              </w:rPr>
              <w:t xml:space="preserve">.</w:t>
            </w:r>
            <w:r>
              <w:rPr>
                <w:sz w:val="26"/>
                <w:szCs w:val="24"/>
              </w:rPr>
              <w:t xml:space="preserve"> «Волга» – Урмары – Канаш – И</w:t>
            </w:r>
            <w:r>
              <w:rPr>
                <w:sz w:val="26"/>
                <w:szCs w:val="24"/>
              </w:rPr>
              <w:t xml:space="preserve">б</w:t>
            </w:r>
            <w:r>
              <w:rPr>
                <w:sz w:val="26"/>
                <w:szCs w:val="24"/>
              </w:rPr>
              <w:t xml:space="preserve">реси – Ал</w:t>
            </w:r>
            <w:r>
              <w:rPr>
                <w:sz w:val="26"/>
                <w:szCs w:val="24"/>
              </w:rPr>
              <w:t xml:space="preserve">а</w:t>
            </w:r>
            <w:r>
              <w:rPr>
                <w:sz w:val="26"/>
                <w:szCs w:val="24"/>
              </w:rPr>
              <w:t xml:space="preserve">тырь)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159,425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«Сура» 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86,866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Калинино – Батыр</w:t>
            </w:r>
            <w:r>
              <w:rPr>
                <w:sz w:val="26"/>
                <w:szCs w:val="24"/>
              </w:rPr>
              <w:t xml:space="preserve">е</w:t>
            </w:r>
            <w:r>
              <w:rPr>
                <w:sz w:val="26"/>
                <w:szCs w:val="24"/>
              </w:rPr>
              <w:t xml:space="preserve">во – Яльчики (в том числе подъезд к с. Яльч</w:t>
            </w:r>
            <w:r>
              <w:rPr>
                <w:sz w:val="26"/>
                <w:szCs w:val="24"/>
              </w:rPr>
              <w:t xml:space="preserve">и</w:t>
            </w:r>
            <w:r>
              <w:rPr>
                <w:sz w:val="26"/>
                <w:szCs w:val="24"/>
              </w:rPr>
              <w:t xml:space="preserve">ки)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12</w:t>
            </w:r>
            <w:r>
              <w:rPr>
                <w:sz w:val="26"/>
                <w:szCs w:val="24"/>
              </w:rPr>
              <w:t xml:space="preserve">8,,047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Авданкасы – Моргауши – Козьмодем</w:t>
            </w:r>
            <w:r>
              <w:rPr>
                <w:sz w:val="26"/>
                <w:szCs w:val="24"/>
              </w:rPr>
              <w:t xml:space="preserve">ь</w:t>
            </w:r>
            <w:r>
              <w:rPr>
                <w:sz w:val="26"/>
                <w:szCs w:val="24"/>
              </w:rPr>
              <w:t xml:space="preserve">янск (до границы Ре</w:t>
            </w:r>
            <w:r>
              <w:rPr>
                <w:sz w:val="26"/>
                <w:szCs w:val="24"/>
              </w:rPr>
              <w:t xml:space="preserve">с</w:t>
            </w:r>
            <w:r>
              <w:rPr>
                <w:sz w:val="26"/>
                <w:szCs w:val="24"/>
              </w:rPr>
              <w:t xml:space="preserve">публики Марий Эл)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37,609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6"/>
              <w:ind w:left="0" w:firstLine="0"/>
              <w:jc w:val="both"/>
              <w:keepNext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Автодорога Никольское – Я</w:t>
            </w:r>
            <w:r>
              <w:rPr>
                <w:color w:val="000000"/>
                <w:szCs w:val="24"/>
              </w:rPr>
              <w:t xml:space="preserve">д</w:t>
            </w:r>
            <w:r>
              <w:rPr>
                <w:color w:val="000000"/>
                <w:szCs w:val="24"/>
              </w:rPr>
              <w:t xml:space="preserve">рин – Калинино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67,848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Шихазаны – Кал</w:t>
            </w:r>
            <w:r>
              <w:rPr>
                <w:sz w:val="26"/>
                <w:szCs w:val="24"/>
              </w:rPr>
              <w:t xml:space="preserve">и</w:t>
            </w:r>
            <w:r>
              <w:rPr>
                <w:sz w:val="26"/>
                <w:szCs w:val="24"/>
              </w:rPr>
              <w:t xml:space="preserve">нино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37,52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«Чебоксары – Сурское» – Мишуково – Ард</w:t>
            </w:r>
            <w:r>
              <w:rPr>
                <w:sz w:val="26"/>
                <w:szCs w:val="24"/>
              </w:rPr>
              <w:t xml:space="preserve">а</w:t>
            </w:r>
            <w:r>
              <w:rPr>
                <w:sz w:val="26"/>
                <w:szCs w:val="24"/>
              </w:rPr>
              <w:t xml:space="preserve">тов (до границы Мордовской Республ</w:t>
            </w:r>
            <w:r>
              <w:rPr>
                <w:sz w:val="26"/>
                <w:szCs w:val="24"/>
              </w:rPr>
              <w:t xml:space="preserve">и</w:t>
            </w:r>
            <w:r>
              <w:rPr>
                <w:sz w:val="26"/>
                <w:szCs w:val="24"/>
              </w:rPr>
              <w:t xml:space="preserve">ки)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26,30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9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Кугеси – Атлашево – Новочебо</w:t>
            </w:r>
            <w:r>
              <w:rPr>
                <w:sz w:val="26"/>
                <w:szCs w:val="24"/>
              </w:rPr>
              <w:t xml:space="preserve">к</w:t>
            </w:r>
            <w:r>
              <w:rPr>
                <w:sz w:val="26"/>
                <w:szCs w:val="24"/>
              </w:rPr>
              <w:t xml:space="preserve">сарск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</w:t>
            </w:r>
            <w:r>
              <w:rPr>
                <w:sz w:val="26"/>
                <w:szCs w:val="24"/>
              </w:rPr>
              <w:t xml:space="preserve">5,</w:t>
            </w:r>
            <w:r>
              <w:rPr>
                <w:sz w:val="26"/>
                <w:szCs w:val="24"/>
              </w:rPr>
              <w:t xml:space="preserve">454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Комсомольское – Яльчики – Буинск (до гран</w:t>
            </w:r>
            <w:r>
              <w:rPr>
                <w:sz w:val="26"/>
                <w:szCs w:val="24"/>
              </w:rPr>
              <w:t xml:space="preserve">и</w:t>
            </w:r>
            <w:r>
              <w:rPr>
                <w:sz w:val="26"/>
                <w:szCs w:val="24"/>
              </w:rPr>
              <w:t xml:space="preserve">цы Респу</w:t>
            </w:r>
            <w:r>
              <w:rPr>
                <w:sz w:val="26"/>
                <w:szCs w:val="24"/>
              </w:rPr>
              <w:t xml:space="preserve">б</w:t>
            </w:r>
            <w:r>
              <w:rPr>
                <w:sz w:val="26"/>
                <w:szCs w:val="24"/>
              </w:rPr>
              <w:t xml:space="preserve">лики Татарстан)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41,26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11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Порецкое – Мочкасы (до границы Нижегоро</w:t>
            </w:r>
            <w:r>
              <w:rPr>
                <w:sz w:val="26"/>
                <w:szCs w:val="24"/>
              </w:rPr>
              <w:t xml:space="preserve">д</w:t>
            </w:r>
            <w:r>
              <w:rPr>
                <w:sz w:val="26"/>
                <w:szCs w:val="24"/>
              </w:rPr>
              <w:t xml:space="preserve">ской обла</w:t>
            </w:r>
            <w:r>
              <w:rPr>
                <w:sz w:val="26"/>
                <w:szCs w:val="24"/>
              </w:rPr>
              <w:t xml:space="preserve">с</w:t>
            </w:r>
            <w:r>
              <w:rPr>
                <w:sz w:val="26"/>
                <w:szCs w:val="24"/>
              </w:rPr>
              <w:t xml:space="preserve">ти)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10,</w:t>
            </w:r>
            <w:r>
              <w:rPr>
                <w:sz w:val="26"/>
                <w:szCs w:val="24"/>
              </w:rPr>
              <w:t xml:space="preserve">165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Алатырь – Ахматово – Ардатов (до границы Мордо</w:t>
            </w:r>
            <w:r>
              <w:rPr>
                <w:sz w:val="26"/>
                <w:szCs w:val="24"/>
              </w:rPr>
              <w:t xml:space="preserve">в</w:t>
            </w:r>
            <w:r>
              <w:rPr>
                <w:sz w:val="26"/>
                <w:szCs w:val="24"/>
              </w:rPr>
              <w:t xml:space="preserve">ской Республики)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7,00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13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Урмары – Ковали – Нурлаты (до границы Ре</w:t>
            </w:r>
            <w:r>
              <w:rPr>
                <w:sz w:val="26"/>
                <w:szCs w:val="24"/>
              </w:rPr>
              <w:t xml:space="preserve">с</w:t>
            </w:r>
            <w:r>
              <w:rPr>
                <w:sz w:val="26"/>
                <w:szCs w:val="24"/>
              </w:rPr>
              <w:t xml:space="preserve">публ</w:t>
            </w:r>
            <w:r>
              <w:rPr>
                <w:sz w:val="26"/>
                <w:szCs w:val="24"/>
              </w:rPr>
              <w:t xml:space="preserve">и</w:t>
            </w:r>
            <w:r>
              <w:rPr>
                <w:sz w:val="26"/>
                <w:szCs w:val="24"/>
              </w:rPr>
              <w:t xml:space="preserve">ки Татарстан)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12,80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14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Шумерля – Нав</w:t>
            </w:r>
            <w:r>
              <w:rPr>
                <w:sz w:val="26"/>
                <w:szCs w:val="24"/>
              </w:rPr>
              <w:t xml:space="preserve">а</w:t>
            </w:r>
            <w:r>
              <w:rPr>
                <w:sz w:val="26"/>
                <w:szCs w:val="24"/>
              </w:rPr>
              <w:t xml:space="preserve">ты (до р. Сура)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3,546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Янтиково – Чутеево – Большие Кайбицы (до границы Ре</w:t>
            </w:r>
            <w:r>
              <w:rPr>
                <w:sz w:val="26"/>
                <w:szCs w:val="24"/>
              </w:rPr>
              <w:t xml:space="preserve">с</w:t>
            </w:r>
            <w:r>
              <w:rPr>
                <w:sz w:val="26"/>
                <w:szCs w:val="24"/>
              </w:rPr>
              <w:t xml:space="preserve">публики Татарстан) 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18,58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Шемурша – Сойги</w:t>
            </w:r>
            <w:r>
              <w:rPr>
                <w:sz w:val="26"/>
                <w:szCs w:val="24"/>
              </w:rPr>
              <w:t xml:space="preserve">но – Алтышево – а.д.</w:t>
            </w:r>
            <w:r>
              <w:rPr>
                <w:sz w:val="26"/>
                <w:szCs w:val="24"/>
              </w:rPr>
              <w:t xml:space="preserve"> «Аниш»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67,787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«Калинино – Бат</w:t>
            </w:r>
            <w:r>
              <w:rPr>
                <w:sz w:val="26"/>
                <w:szCs w:val="24"/>
              </w:rPr>
              <w:t xml:space="preserve">ы</w:t>
            </w:r>
            <w:r>
              <w:rPr>
                <w:sz w:val="26"/>
                <w:szCs w:val="24"/>
              </w:rPr>
              <w:t xml:space="preserve">рево – Яльчики» – Большое Чеменево – «Шемурша – Сойгино – Алт</w:t>
            </w:r>
            <w:r>
              <w:rPr>
                <w:sz w:val="26"/>
                <w:szCs w:val="24"/>
              </w:rPr>
              <w:t xml:space="preserve">ы</w:t>
            </w:r>
            <w:r>
              <w:rPr>
                <w:sz w:val="26"/>
                <w:szCs w:val="24"/>
              </w:rPr>
              <w:t xml:space="preserve">шево» 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50,038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«Цивильск – Ульяновск» – Яманч</w:t>
            </w:r>
            <w:r>
              <w:rPr>
                <w:sz w:val="26"/>
                <w:szCs w:val="24"/>
              </w:rPr>
              <w:t xml:space="preserve">у</w:t>
            </w:r>
            <w:r>
              <w:rPr>
                <w:sz w:val="26"/>
                <w:szCs w:val="24"/>
              </w:rPr>
              <w:t xml:space="preserve">рино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28,430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19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«Калинино – Батырево – Яльчики» – Поч</w:t>
            </w:r>
            <w:r>
              <w:rPr>
                <w:sz w:val="26"/>
                <w:szCs w:val="24"/>
              </w:rPr>
              <w:t xml:space="preserve">и</w:t>
            </w:r>
            <w:r>
              <w:rPr>
                <w:sz w:val="26"/>
                <w:szCs w:val="24"/>
              </w:rPr>
              <w:t xml:space="preserve">нок-Инели – граница Республики Тата</w:t>
            </w:r>
            <w:r>
              <w:rPr>
                <w:sz w:val="26"/>
                <w:szCs w:val="24"/>
              </w:rPr>
              <w:t xml:space="preserve">р</w:t>
            </w:r>
            <w:r>
              <w:rPr>
                <w:sz w:val="26"/>
                <w:szCs w:val="24"/>
              </w:rPr>
              <w:t xml:space="preserve">стан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26,172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</w:t>
            </w:r>
            <w:r>
              <w:rPr>
                <w:sz w:val="26"/>
                <w:szCs w:val="24"/>
              </w:rPr>
              <w:t xml:space="preserve"> Канаш – Тюлькой – Словаши – а.д.</w:t>
            </w:r>
            <w:r>
              <w:rPr>
                <w:sz w:val="26"/>
                <w:szCs w:val="24"/>
              </w:rPr>
              <w:t xml:space="preserve"> «Волга» 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38,721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21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«Цивильск – Ульяновск» – Ачакасы – Янгорч</w:t>
            </w:r>
            <w:r>
              <w:rPr>
                <w:sz w:val="26"/>
                <w:szCs w:val="24"/>
              </w:rPr>
              <w:t xml:space="preserve">и</w:t>
            </w:r>
            <w:r>
              <w:rPr>
                <w:sz w:val="26"/>
                <w:szCs w:val="24"/>
              </w:rPr>
              <w:t xml:space="preserve">но – «Вурнары – Убеево – Красноарме</w:t>
            </w:r>
            <w:r>
              <w:rPr>
                <w:sz w:val="26"/>
                <w:szCs w:val="24"/>
              </w:rPr>
              <w:t xml:space="preserve">й</w:t>
            </w:r>
            <w:r>
              <w:rPr>
                <w:sz w:val="26"/>
                <w:szCs w:val="24"/>
              </w:rPr>
              <w:t xml:space="preserve">ское»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36,910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Восточный подъезд к г. Чебоксары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3,140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23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</w:rPr>
            </w:pPr>
            <w:r>
              <w:rPr>
                <w:sz w:val="26"/>
                <w:szCs w:val="24"/>
              </w:rPr>
              <w:t xml:space="preserve">Автодорога Аликово – Ишаки          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31,470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24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6"/>
              <w:ind w:left="0" w:firstLine="0"/>
              <w:jc w:val="both"/>
              <w:keepNext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Автодо</w:t>
            </w:r>
            <w:r>
              <w:rPr>
                <w:color w:val="000000"/>
                <w:szCs w:val="24"/>
              </w:rPr>
              <w:t xml:space="preserve">рога Аликово – Старые Атаи – а.д.</w:t>
            </w:r>
            <w:r>
              <w:rPr>
                <w:color w:val="000000"/>
                <w:szCs w:val="24"/>
              </w:rPr>
              <w:t xml:space="preserve"> «С</w:t>
            </w:r>
            <w:r>
              <w:rPr>
                <w:color w:val="000000"/>
                <w:szCs w:val="24"/>
              </w:rPr>
              <w:t xml:space="preserve">у</w:t>
            </w:r>
            <w:r>
              <w:rPr>
                <w:color w:val="000000"/>
                <w:szCs w:val="24"/>
              </w:rPr>
              <w:t xml:space="preserve">ра»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41,566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Атлашево – а.д.</w:t>
            </w:r>
            <w:r>
              <w:rPr>
                <w:sz w:val="26"/>
                <w:szCs w:val="24"/>
              </w:rPr>
              <w:t xml:space="preserve"> «Волга» – Марп</w:t>
            </w:r>
            <w:r>
              <w:rPr>
                <w:sz w:val="26"/>
                <w:szCs w:val="24"/>
              </w:rPr>
              <w:t xml:space="preserve">о</w:t>
            </w:r>
            <w:r>
              <w:rPr>
                <w:sz w:val="26"/>
                <w:szCs w:val="24"/>
              </w:rPr>
              <w:t xml:space="preserve">сад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6,97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Вурнары – Убеево – Красноарме</w:t>
            </w:r>
            <w:r>
              <w:rPr>
                <w:sz w:val="26"/>
                <w:szCs w:val="24"/>
              </w:rPr>
              <w:t xml:space="preserve">й</w:t>
            </w:r>
            <w:r>
              <w:rPr>
                <w:sz w:val="26"/>
                <w:szCs w:val="24"/>
              </w:rPr>
              <w:t xml:space="preserve">ское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34,212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«Волга» – Ма</w:t>
            </w:r>
            <w:r>
              <w:rPr>
                <w:sz w:val="26"/>
                <w:szCs w:val="24"/>
              </w:rPr>
              <w:t xml:space="preserve">р</w:t>
            </w:r>
            <w:r>
              <w:rPr>
                <w:sz w:val="26"/>
                <w:szCs w:val="24"/>
              </w:rPr>
              <w:t xml:space="preserve">посад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32,950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«Волга» – Марпосад – Октябрьское – Козло</w:t>
            </w:r>
            <w:r>
              <w:rPr>
                <w:sz w:val="26"/>
                <w:szCs w:val="24"/>
              </w:rPr>
              <w:t xml:space="preserve">в</w:t>
            </w:r>
            <w:r>
              <w:rPr>
                <w:sz w:val="26"/>
                <w:szCs w:val="24"/>
              </w:rPr>
              <w:t xml:space="preserve">ка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44,710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29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«Волга» – Большой Сундырь – пристань Ше</w:t>
            </w:r>
            <w:r>
              <w:rPr>
                <w:sz w:val="26"/>
                <w:szCs w:val="24"/>
              </w:rPr>
              <w:t xml:space="preserve">ш</w:t>
            </w:r>
            <w:r>
              <w:rPr>
                <w:sz w:val="26"/>
                <w:szCs w:val="24"/>
              </w:rPr>
              <w:t xml:space="preserve">кары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19,073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«Волга» – Вурманкасы – РГУ «Реабилитацио</w:t>
            </w:r>
            <w:r>
              <w:rPr>
                <w:sz w:val="26"/>
                <w:szCs w:val="24"/>
              </w:rPr>
              <w:t xml:space="preserve">н</w:t>
            </w:r>
            <w:r>
              <w:rPr>
                <w:sz w:val="26"/>
                <w:szCs w:val="24"/>
              </w:rPr>
              <w:t xml:space="preserve">ный центр для ветеранов и инвал</w:t>
            </w:r>
            <w:r>
              <w:rPr>
                <w:sz w:val="26"/>
                <w:szCs w:val="24"/>
              </w:rPr>
              <w:t xml:space="preserve">и</w:t>
            </w:r>
            <w:r>
              <w:rPr>
                <w:sz w:val="26"/>
                <w:szCs w:val="24"/>
              </w:rPr>
              <w:t xml:space="preserve">дов»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3,224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31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«Волга» </w:t>
            </w:r>
            <w:r>
              <w:rPr>
                <w:sz w:val="26"/>
                <w:szCs w:val="24"/>
              </w:rPr>
              <w:t xml:space="preserve">– </w:t>
            </w:r>
            <w:r>
              <w:rPr>
                <w:sz w:val="26"/>
                <w:szCs w:val="24"/>
              </w:rPr>
              <w:t xml:space="preserve">Сю</w:t>
            </w:r>
            <w:r>
              <w:rPr>
                <w:sz w:val="26"/>
                <w:szCs w:val="24"/>
              </w:rPr>
              <w:t xml:space="preserve">к</w:t>
            </w:r>
            <w:r>
              <w:rPr>
                <w:sz w:val="26"/>
                <w:szCs w:val="24"/>
              </w:rPr>
              <w:t xml:space="preserve">терка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2,890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«Волга» – Ко</w:t>
            </w:r>
            <w:r>
              <w:rPr>
                <w:sz w:val="26"/>
                <w:szCs w:val="24"/>
              </w:rPr>
              <w:t xml:space="preserve">з</w:t>
            </w:r>
            <w:r>
              <w:rPr>
                <w:sz w:val="26"/>
                <w:szCs w:val="24"/>
              </w:rPr>
              <w:t xml:space="preserve">ловка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9,40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33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«Вятка» – пос. С</w:t>
            </w:r>
            <w:r>
              <w:rPr>
                <w:sz w:val="26"/>
                <w:szCs w:val="24"/>
              </w:rPr>
              <w:t xml:space="preserve">е</w:t>
            </w:r>
            <w:r>
              <w:rPr>
                <w:sz w:val="26"/>
                <w:szCs w:val="24"/>
              </w:rPr>
              <w:t xml:space="preserve">верный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29,766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34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«Вятка» – пос. Северный» – база отдыха «Р</w:t>
            </w:r>
            <w:r>
              <w:rPr>
                <w:sz w:val="26"/>
                <w:szCs w:val="24"/>
              </w:rPr>
              <w:t xml:space="preserve">о</w:t>
            </w:r>
            <w:r>
              <w:rPr>
                <w:sz w:val="26"/>
                <w:szCs w:val="24"/>
              </w:rPr>
              <w:t xml:space="preserve">синка»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1,46</w:t>
            </w:r>
            <w:r>
              <w:rPr>
                <w:sz w:val="26"/>
                <w:szCs w:val="24"/>
              </w:rPr>
              <w:t xml:space="preserve">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Ибреси – Бер</w:t>
            </w:r>
            <w:r>
              <w:rPr>
                <w:sz w:val="26"/>
                <w:szCs w:val="24"/>
              </w:rPr>
              <w:t xml:space="preserve">е</w:t>
            </w:r>
            <w:r>
              <w:rPr>
                <w:sz w:val="26"/>
                <w:szCs w:val="24"/>
              </w:rPr>
              <w:t xml:space="preserve">зовка – Кудеиха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47,552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«Марпосад – Акс</w:t>
            </w:r>
            <w:r>
              <w:rPr>
                <w:sz w:val="26"/>
                <w:szCs w:val="24"/>
              </w:rPr>
              <w:t xml:space="preserve">а</w:t>
            </w:r>
            <w:r>
              <w:rPr>
                <w:sz w:val="26"/>
                <w:szCs w:val="24"/>
              </w:rPr>
              <w:t xml:space="preserve">рино» – база отдыха «Белые Камни»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5,338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Моргауши – Тора</w:t>
            </w:r>
            <w:r>
              <w:rPr>
                <w:sz w:val="26"/>
                <w:szCs w:val="24"/>
              </w:rPr>
              <w:t xml:space="preserve">е</w:t>
            </w:r>
            <w:r>
              <w:rPr>
                <w:sz w:val="26"/>
                <w:szCs w:val="24"/>
              </w:rPr>
              <w:t xml:space="preserve">во – а</w:t>
            </w:r>
            <w:r>
              <w:rPr>
                <w:sz w:val="26"/>
                <w:szCs w:val="24"/>
              </w:rPr>
              <w:t xml:space="preserve">.</w:t>
            </w:r>
            <w:r>
              <w:rPr>
                <w:sz w:val="26"/>
                <w:szCs w:val="24"/>
              </w:rPr>
              <w:t xml:space="preserve">д</w:t>
            </w:r>
            <w:r>
              <w:rPr>
                <w:sz w:val="26"/>
                <w:szCs w:val="24"/>
              </w:rPr>
              <w:t xml:space="preserve">.</w:t>
            </w:r>
            <w:r>
              <w:rPr>
                <w:sz w:val="26"/>
                <w:szCs w:val="24"/>
              </w:rPr>
              <w:t xml:space="preserve"> «Сура»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24,02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Сосновка – Северный – Первома</w:t>
            </w:r>
            <w:r>
              <w:rPr>
                <w:sz w:val="26"/>
                <w:szCs w:val="24"/>
              </w:rPr>
              <w:t xml:space="preserve">й</w:t>
            </w:r>
            <w:r>
              <w:rPr>
                <w:sz w:val="26"/>
                <w:szCs w:val="24"/>
              </w:rPr>
              <w:t xml:space="preserve">ский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1,110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39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Цивильск – Красн</w:t>
            </w:r>
            <w:r>
              <w:rPr>
                <w:sz w:val="26"/>
                <w:szCs w:val="24"/>
              </w:rPr>
              <w:t xml:space="preserve">о</w:t>
            </w:r>
            <w:r>
              <w:rPr>
                <w:sz w:val="26"/>
                <w:szCs w:val="24"/>
              </w:rPr>
              <w:t xml:space="preserve">армейское – Кюль-Сирма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34,64</w:t>
            </w:r>
            <w:r>
              <w:rPr>
                <w:sz w:val="26"/>
                <w:szCs w:val="24"/>
              </w:rPr>
              <w:t xml:space="preserve">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</w:t>
            </w:r>
            <w:r>
              <w:rPr>
                <w:sz w:val="26"/>
                <w:szCs w:val="24"/>
              </w:rPr>
              <w:t xml:space="preserve">Ядрин – Николаевское – Новые Атаи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26,052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  <w:t xml:space="preserve">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Ядрин – д. Канаш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12,002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  <w:lang w:val="en-US"/>
              </w:rPr>
            </w:r>
            <w:r>
              <w:rPr>
                <w:sz w:val="26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43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Объездная а.д.</w:t>
            </w:r>
            <w:r>
              <w:rPr>
                <w:sz w:val="26"/>
                <w:szCs w:val="24"/>
              </w:rPr>
              <w:t xml:space="preserve"> с.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 xml:space="preserve">Комсомольское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2,229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0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108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44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Автодорога «Чебоксары – Сурское» - с. Порецкое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1,640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Автодорога Объект недвижимого имущества с кадастровым номером 21:01:000000:57206, тип объекта – сооружение, протяженностью 5003 м, 1964 года постройки, расположенный по адресу: Чувашская Республика,                       г. Чебоксары, Лапсарский пр-д»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5,003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  <w:t xml:space="preserve">6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Автомобильная дорога (по ул. ПМС-205 д. Ямурза)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0,978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  <w:t xml:space="preserve">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</w:t>
            </w:r>
            <w:r>
              <w:rPr>
                <w:sz w:val="26"/>
                <w:szCs w:val="24"/>
              </w:rPr>
              <w:t xml:space="preserve">«Аниш» – д. Новые Турмыши – д. Алешево 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4,7</w:t>
            </w: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  <w:t xml:space="preserve">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  <w:t xml:space="preserve">8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</w:t>
            </w:r>
            <w:r>
              <w:rPr>
                <w:sz w:val="26"/>
                <w:szCs w:val="24"/>
              </w:rPr>
              <w:t xml:space="preserve">«Аниш» – Ямурза 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1,457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</w:t>
            </w:r>
            <w:r>
              <w:rPr>
                <w:sz w:val="26"/>
                <w:szCs w:val="24"/>
              </w:rPr>
              <w:t xml:space="preserve">9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Автодорога </w:t>
            </w:r>
            <w:r>
              <w:rPr>
                <w:sz w:val="26"/>
                <w:szCs w:val="26"/>
              </w:rPr>
              <w:t xml:space="preserve">Западный подъезд к г. Чебоксары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10,157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rPr>
                <w:sz w:val="26"/>
                <w:szCs w:val="24"/>
              </w:rPr>
            </w:pPr>
            <w:r>
              <w:rPr>
                <w:sz w:val="26"/>
                <w:szCs w:val="26"/>
              </w:rPr>
              <w:t xml:space="preserve">Автодорога «Волга» – Тюрлема (до границы Республики Т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тарстан)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13,665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51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Автодорога М-7 «Волга» Москва – Владимир – Нижний Новгород – Уфа, км 735+150 – км 737+470 (старое напра</w:t>
            </w:r>
            <w:r>
              <w:rPr>
                <w:sz w:val="26"/>
                <w:szCs w:val="26"/>
              </w:rPr>
              <w:t xml:space="preserve">в</w:t>
            </w:r>
            <w:r>
              <w:rPr>
                <w:sz w:val="26"/>
                <w:szCs w:val="26"/>
              </w:rPr>
              <w:t xml:space="preserve">ление)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2,320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52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Автодорога </w:t>
            </w:r>
            <w:r>
              <w:rPr>
                <w:sz w:val="26"/>
                <w:szCs w:val="26"/>
              </w:rPr>
              <w:t xml:space="preserve">«Ядрин – Николаевское – Новые Атаи – Чербаи» – д. Большое Ямаш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1,100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tcW w:w="266" w:type="pct"/>
            <w:vAlign w:val="top"/>
            <w:textDirection w:val="lrTb"/>
            <w:noWrap w:val="false"/>
          </w:tcPr>
          <w:p>
            <w:pPr>
              <w:pStyle w:val="874"/>
              <w:ind w:left="-57" w:right="-57"/>
              <w:jc w:val="center"/>
              <w:widowControl w:val="off"/>
              <w:tabs>
                <w:tab w:val="left" w:pos="0" w:leader="none"/>
                <w:tab w:val="left" w:pos="16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53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2348" w:type="pct"/>
            <w:vAlign w:val="top"/>
            <w:textDirection w:val="lrTb"/>
            <w:noWrap w:val="false"/>
          </w:tcPr>
          <w:p>
            <w:pPr>
              <w:pStyle w:val="874"/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Автодорога Большое Ямашево - Чербай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457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252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2,331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702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614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4,0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874"/>
              <w:jc w:val="center"/>
              <w:widowControl w:val="off"/>
              <w:tabs>
                <w:tab w:val="decimal" w:pos="432" w:leader="none"/>
                <w:tab w:val="left" w:pos="713" w:leader="none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3,0</w:t>
            </w:r>
            <w:r>
              <w:rPr>
                <w:sz w:val="26"/>
                <w:szCs w:val="24"/>
              </w:rPr>
            </w:r>
            <w:r>
              <w:rPr>
                <w:sz w:val="26"/>
                <w:szCs w:val="24"/>
              </w:rPr>
            </w:r>
          </w:p>
        </w:tc>
      </w:tr>
    </w:tbl>
    <w:p>
      <w:pPr>
        <w:pStyle w:val="874"/>
        <w:ind w:firstLine="709"/>
        <w:jc w:val="both"/>
        <w:spacing w:line="238" w:lineRule="auto"/>
        <w:rPr>
          <w:sz w:val="22"/>
          <w:szCs w:val="24"/>
        </w:rPr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pStyle w:val="874"/>
        <w:ind w:firstLine="709"/>
        <w:jc w:val="both"/>
        <w:spacing w:line="238" w:lineRule="auto"/>
        <w:rPr>
          <w:sz w:val="22"/>
          <w:szCs w:val="24"/>
        </w:rPr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pStyle w:val="874"/>
        <w:ind w:firstLine="709"/>
        <w:jc w:val="both"/>
        <w:spacing w:line="238" w:lineRule="auto"/>
        <w:rPr>
          <w:sz w:val="22"/>
          <w:szCs w:val="22"/>
        </w:rPr>
      </w:pPr>
      <w:r>
        <w:rPr>
          <w:sz w:val="22"/>
          <w:szCs w:val="24"/>
        </w:rPr>
        <w:t xml:space="preserve">* Предельно допустимые для проезда по автомобильным дорогам общего пользования нагрузки на ось</w:t>
      </w:r>
      <w:r>
        <w:rPr>
          <w:sz w:val="22"/>
          <w:szCs w:val="24"/>
        </w:rPr>
        <w:t xml:space="preserve"> или группу осей (тележку) </w:t>
      </w:r>
      <w:r>
        <w:rPr>
          <w:sz w:val="22"/>
          <w:szCs w:val="24"/>
        </w:rPr>
        <w:t xml:space="preserve"> транспортного средства определены на основе данных транспо</w:t>
      </w:r>
      <w:r>
        <w:rPr>
          <w:sz w:val="22"/>
          <w:szCs w:val="24"/>
        </w:rPr>
        <w:t xml:space="preserve">ртно-эксплуатационных характеристик</w:t>
      </w:r>
      <w:r>
        <w:rPr>
          <w:sz w:val="22"/>
          <w:szCs w:val="24"/>
        </w:rPr>
        <w:t xml:space="preserve"> автомобильных дорог, полученных по результатам </w:t>
      </w:r>
      <w:r>
        <w:rPr>
          <w:sz w:val="22"/>
          <w:szCs w:val="22"/>
        </w:rPr>
        <w:t xml:space="preserve">оценки технич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ского состояния а</w:t>
      </w: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томобильной дороги.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ind w:firstLine="709"/>
        <w:jc w:val="center"/>
        <w:spacing w:line="238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headerReference w:type="even" r:id="rId10"/>
      <w:footnotePr/>
      <w:endnotePr/>
      <w:type w:val="continuous"/>
      <w:pgSz w:w="16838" w:h="11906" w:orient="landscape"/>
      <w:pgMar w:top="1418" w:right="820" w:bottom="568" w:left="1276" w:header="794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1"/>
        <w:sz w:val="24"/>
      </w:rPr>
      <w:framePr w:wrap="around" w:vAnchor="text" w:hAnchor="margin" w:xAlign="center" w:y="1"/>
    </w:pPr>
    <w:r>
      <w:rPr>
        <w:rStyle w:val="881"/>
        <w:sz w:val="24"/>
      </w:rPr>
      <w:fldChar w:fldCharType="begin"/>
    </w:r>
    <w:r>
      <w:rPr>
        <w:rStyle w:val="881"/>
        <w:sz w:val="24"/>
      </w:rPr>
      <w:instrText xml:space="preserve">PAGE  </w:instrText>
    </w:r>
    <w:r>
      <w:rPr>
        <w:rStyle w:val="881"/>
        <w:sz w:val="24"/>
      </w:rPr>
      <w:fldChar w:fldCharType="separate"/>
    </w:r>
    <w:r>
      <w:rPr>
        <w:rStyle w:val="881"/>
        <w:sz w:val="24"/>
      </w:rPr>
      <w:t xml:space="preserve">3</w:t>
    </w:r>
    <w:r>
      <w:rPr>
        <w:rStyle w:val="881"/>
        <w:sz w:val="24"/>
      </w:rPr>
      <w:fldChar w:fldCharType="end"/>
    </w:r>
    <w:r>
      <w:rPr>
        <w:rStyle w:val="881"/>
        <w:sz w:val="24"/>
      </w:rPr>
    </w:r>
    <w:r>
      <w:rPr>
        <w:rStyle w:val="881"/>
        <w:sz w:val="24"/>
      </w:rPr>
    </w:r>
  </w:p>
  <w:p>
    <w:pPr>
      <w:pStyle w:val="880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0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lang w:val="ru-RU" w:eastAsia="ru-RU" w:bidi="ar-SA"/>
    </w:rPr>
  </w:style>
  <w:style w:type="paragraph" w:styleId="875">
    <w:name w:val="Заголовок 5"/>
    <w:basedOn w:val="874"/>
    <w:next w:val="874"/>
    <w:link w:val="874"/>
    <w:qFormat/>
    <w:pPr>
      <w:jc w:val="center"/>
      <w:keepNext/>
      <w:outlineLvl w:val="4"/>
    </w:pPr>
    <w:rPr>
      <w:b/>
      <w:color w:val="000000"/>
      <w:sz w:val="26"/>
    </w:rPr>
  </w:style>
  <w:style w:type="paragraph" w:styleId="876">
    <w:name w:val="Заголовок 6"/>
    <w:basedOn w:val="874"/>
    <w:next w:val="874"/>
    <w:link w:val="874"/>
    <w:qFormat/>
    <w:pPr>
      <w:ind w:left="90" w:firstLine="17"/>
      <w:keepNext/>
      <w:widowControl w:val="off"/>
      <w:outlineLvl w:val="5"/>
    </w:pPr>
    <w:rPr>
      <w:color w:val="000000"/>
      <w:sz w:val="26"/>
    </w:rPr>
  </w:style>
  <w:style w:type="character" w:styleId="877">
    <w:name w:val="Основной шрифт абзаца"/>
    <w:next w:val="877"/>
    <w:link w:val="874"/>
    <w:semiHidden/>
  </w:style>
  <w:style w:type="table" w:styleId="878">
    <w:name w:val="Обычная таблица"/>
    <w:next w:val="878"/>
    <w:link w:val="874"/>
    <w:semiHidden/>
    <w:tblPr/>
  </w:style>
  <w:style w:type="numbering" w:styleId="879">
    <w:name w:val="Нет списка"/>
    <w:next w:val="879"/>
    <w:link w:val="874"/>
    <w:semiHidden/>
  </w:style>
  <w:style w:type="paragraph" w:styleId="880">
    <w:name w:val="Верхний колонтитул"/>
    <w:basedOn w:val="874"/>
    <w:next w:val="880"/>
    <w:link w:val="874"/>
    <w:pPr>
      <w:tabs>
        <w:tab w:val="center" w:pos="4153" w:leader="none"/>
        <w:tab w:val="right" w:pos="8306" w:leader="none"/>
      </w:tabs>
    </w:pPr>
  </w:style>
  <w:style w:type="character" w:styleId="881">
    <w:name w:val="Номер страницы"/>
    <w:basedOn w:val="877"/>
    <w:next w:val="881"/>
    <w:link w:val="874"/>
  </w:style>
  <w:style w:type="paragraph" w:styleId="882">
    <w:name w:val="Название"/>
    <w:basedOn w:val="874"/>
    <w:next w:val="882"/>
    <w:link w:val="885"/>
    <w:qFormat/>
    <w:pPr>
      <w:ind w:left="-48" w:firstLine="4866"/>
      <w:jc w:val="center"/>
      <w:widowControl w:val="off"/>
    </w:pPr>
    <w:rPr>
      <w:sz w:val="26"/>
    </w:rPr>
  </w:style>
  <w:style w:type="paragraph" w:styleId="883">
    <w:name w:val="Текст выноски"/>
    <w:basedOn w:val="874"/>
    <w:next w:val="883"/>
    <w:link w:val="874"/>
    <w:semiHidden/>
    <w:rPr>
      <w:rFonts w:ascii="Tahoma" w:hAnsi="Tahoma" w:cs="Tahoma"/>
      <w:sz w:val="16"/>
      <w:szCs w:val="16"/>
    </w:rPr>
  </w:style>
  <w:style w:type="paragraph" w:styleId="884">
    <w:name w:val="Нижний колонтитул"/>
    <w:basedOn w:val="874"/>
    <w:next w:val="884"/>
    <w:link w:val="874"/>
    <w:pPr>
      <w:tabs>
        <w:tab w:val="center" w:pos="4677" w:leader="none"/>
        <w:tab w:val="right" w:pos="9355" w:leader="none"/>
      </w:tabs>
    </w:pPr>
  </w:style>
  <w:style w:type="character" w:styleId="885">
    <w:name w:val="Название Знак"/>
    <w:next w:val="885"/>
    <w:link w:val="882"/>
    <w:rPr>
      <w:sz w:val="26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revision>11</cp:revision>
  <dcterms:created xsi:type="dcterms:W3CDTF">2022-03-15T12:38:00Z</dcterms:created>
  <dcterms:modified xsi:type="dcterms:W3CDTF">2025-02-27T06:28:30Z</dcterms:modified>
  <cp:version>917504</cp:version>
</cp:coreProperties>
</file>