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Утвержден на заседании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Общественного совета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при Министерстве сельского хозяйства Чувашской Республики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right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(протокол № 1 от 31.01.2025)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center"/>
        <w:spacing w:before="0" w:beforeAutospacing="0" w:after="0" w:afterAutospacing="0" w:line="274" w:lineRule="auto"/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</w:rPr>
        <w:t xml:space="preserve">Доклад о принятии мер, направленных на соблюдение требований антимонопольного законодательства (антимонопольный комплаенс) в Министерстве сельского хозяйства Чувашской Республики за 2024 год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0"/>
        <w:jc w:val="center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  <w:szCs w:val="24"/>
          <w:highlight w:val="none"/>
        </w:rPr>
      </w:r>
      <w:r>
        <w:rPr>
          <w:rFonts w:ascii="Tinos" w:hAnsi="Tinos" w:eastAsia="Tinos" w:cs="Tinos"/>
          <w:b/>
          <w:color w:val="000000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2024 году в соответ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ствии с приказом Министерства сельского хозяйства Чувашской Республики от 15 февраля 2019 года №32 «О системе внутреннего обеспечения соответствия требованиям антимонопольного законодательства (антимонопольном комплаенсе) в Министерстве сельского хозяйства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Чувашской Республики» (далее - Приказ № 32) Министерством сельского хозяйства Чувашской Республики (далее - Министерство) продолжена работа, направленная на обеспечение соответствия деятельности Министерства требованиям антимонопольного законод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ательства и профилактику нарушений требований антимонопольного законодательства в деятельности Министерства.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Так в Министерстве: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 - разработана карта рисков нарушения антимонопольного законодательства;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- установлены ключевые показатели эффективности функционирования антимонопольного комплаенса;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- утвержден План мероприятий по снижению рисков нарушения антимонопольного законодательства.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На официальном сайте Министерства на Портале органов власти Чувашской Республики в информационно-телекоммуникационной сети «Интернет» создан подраздел «Антимонопольный комплаенс», который содержит текст вышеуказанного  приказа от 15 февраля 2019 года №32 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«О системе внутреннего обеспечения соответствия требованиям антимонопольного законодательства (антимонопольном комплаенсе) в Министерстве сельского хозяйства Чувашской Республики», а также иные документы в данной области.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2024 году предложения о необходимости внесения изменений в нормативные правовые акты Чувашской Республики, разработанные Министерством, в целях устранения нарушений антимонопольного законодательства от организаций и граждан не поступали.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целях выявления и оценки рисков нарушения антимонопольного законодательства в ходе осуществления деятельности Министерством проведен анализ нарушений антимонопольного законодательства за 2024 год. В ходе проведенного анализа установлено, что в 2024 году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Управлением Федерально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й антимонопольной службы по Чувашской Республике – Чувашии в адрес Министерства  направлен  один запрос с целью привлечения специалиста Министерства к административной ответственности в связи с нарушением Федерального закона     от 5 апреля 2013 г. № 44 «О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контрактной системе в сфере 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 закупок товаров, работ, услуг для обеспечения государственных и муниципальных нужд». 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В связи с и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стечением сроков давности привлечения к административной ответственности Управлением Федеральной антимонопольной службы по Чувашской Республики – Чувашии по данному делу вынесено определение об отказе в возбуждении дела об административном правонарушении. </w:t>
      </w:r>
      <w:r>
        <w:rPr>
          <w:rFonts w:ascii="Tinos" w:hAnsi="Tinos" w:eastAsia="Tinos" w:cs="Tinos"/>
          <w:color w:val="000000"/>
          <w:sz w:val="24"/>
          <w:szCs w:val="24"/>
        </w:rPr>
      </w:r>
      <w:r>
        <w:rPr>
          <w:rFonts w:ascii="Tinos" w:hAnsi="Tinos" w:cs="Tinos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Министерством в 2024 году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зарегистрировано в Государственной службе Чувашской Республики по делам юстиции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49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нормативных право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вых актов.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color w:val="000000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соответствии с картой рисков нарушения антимонопольного законодательства в деятельности Министерства могут возникнуть следующие риски нарушения антимонопольного законодательства: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при разработке проектов нормативных правовых актов Чувашской Республики по направлениям деятельности Министерства, которые приводят или могут привести к недопущению, ограничению, устранению конкуренции;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при принятии нормативных правовых актов Чувашской Республики по направлениям деятельности Министерства, которые приводят или могут привести к недопущению, ограничению, устранению конкуренции;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при осуществлении закупок товаров, работ, услуг для государственных нужд.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целях исключения рисков нарушения антимонопольного законодательства в деятельности Министерства структурные подразделения, ответственные за разработку проектов нормативных правовых актов, проводят анализ проектов, в том числе, в части возможного влияния 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его положений на конкуренцию.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На постоянной основе отделом правового обеспечения и закупок проводится правовая экспертиза проектов нормативных правовых актов Чувашской Республики, разрабатываемых по направлениям деятельности Министерства, в том числе в целях исключения п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оложений,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Проекты нормативных правовых актов размещаются на официальном сайте regulations.cap.ru в информационно-телекоммуникационной сети «Интернет» для осуществления проведения оценки и сбора поступивших от организаций и граждан замечаний и предложений по проекту.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целях исключения нарушений антимонопольного законодательства при осуществлении закупок товаров, работ, услуг для государственных нужд сотрудники Министерства регулярно проходят повышение квалификации по программе «Контрактная система в сфере закупок това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ров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, работ, услуг для обеспечения государственных нужд». В 2024 году три специалиста министерства прошли повышение квалификации по дополнительной профессиональной программе «Управление государственными и муниципальными закупками (по новому законодательству).»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2024 году Министерством осуществлено </w:t>
      </w:r>
      <w:r>
        <w:rPr>
          <w:rFonts w:ascii="Tinos" w:hAnsi="Tinos" w:eastAsia="Tinos" w:cs="Tinos"/>
          <w:color w:val="000000"/>
          <w:sz w:val="24"/>
          <w:szCs w:val="24"/>
          <w:highlight w:val="none"/>
        </w:rPr>
        <w:t xml:space="preserve">28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 закупочных процедур на поставку товаров и услуг для нужд Министерства без проведения конкурентных процедур.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В соответствии с Приказом № 32 ключевым показателем эффективности антимонопольного комплаенса является коэффициент снижения количества нарушений антимонопольного законодательства.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Поскольку в деятельности Министерства выявлено ни одно нарушение антимонопольного законодательства, можно сделать вывод о достижении ключевого показателя эффективности антимонопольного комплаенса.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 целях снижения рисков нарушения антимонопольного законодательства Министерством 25 декабря 2024 года утвержден План мероприятий по снижению рисков нарушения антимонопольного законодательства на 2025 год.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  <w:highlight w:val="none"/>
        </w:rPr>
      </w:r>
    </w:p>
    <w:p>
      <w:pPr>
        <w:pStyle w:val="834"/>
        <w:ind w:left="0" w:firstLine="567"/>
        <w:jc w:val="both"/>
        <w:spacing w:after="360" w:line="276" w:lineRule="auto"/>
        <w:shd w:val="clear" w:color="auto" w:fill="ffffff"/>
        <w:rPr>
          <w:rFonts w:ascii="Tinos" w:hAnsi="Tinos" w:cs="Tinos"/>
          <w:color w:val="262626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Министерством определены 4 ключевые показатели эффективности функционирования антимонопольного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комплаенса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в Министерстве, которые установлены в целях снижения рисков нарушения антимонопольного законодательства: 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262626" w:themeColor="text1"/>
          <w:sz w:val="26"/>
          <w:szCs w:val="26"/>
        </w:rPr>
      </w:r>
    </w:p>
    <w:p>
      <w:pPr>
        <w:pStyle w:val="834"/>
        <w:ind w:left="0" w:firstLine="567"/>
        <w:jc w:val="both"/>
        <w:spacing w:after="360" w:line="276" w:lineRule="auto"/>
        <w:shd w:val="clear" w:color="auto" w:fill="ffffff"/>
        <w:rPr>
          <w:rFonts w:ascii="Tinos" w:hAnsi="Tinos" w:cs="Tinos"/>
          <w:color w:val="262626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коэффициент снижения количества н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а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рушений Министер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с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т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вом антимонопольного законодательства (в 2024 году вынесено 0);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262626" w:themeColor="text1"/>
          <w:sz w:val="26"/>
          <w:szCs w:val="26"/>
        </w:rPr>
      </w:r>
    </w:p>
    <w:p>
      <w:pPr>
        <w:pStyle w:val="834"/>
        <w:ind w:left="0" w:firstLine="567"/>
        <w:jc w:val="both"/>
        <w:spacing w:after="360" w:line="276" w:lineRule="auto"/>
        <w:shd w:val="clear" w:color="auto" w:fill="ffffff"/>
        <w:rPr>
          <w:rFonts w:ascii="Tinos" w:hAnsi="Tinos" w:cs="Tinos"/>
          <w:color w:val="262626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доля проектов нормативных правовых актов Чувашской Республики, разработанных Министерством, в которых выявлены риски нарушения антимонопольного законодательства (в 2024 году - 0);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262626" w:themeColor="text1"/>
          <w:sz w:val="26"/>
          <w:szCs w:val="26"/>
        </w:rPr>
      </w:r>
    </w:p>
    <w:p>
      <w:pPr>
        <w:pStyle w:val="834"/>
        <w:ind w:left="0" w:firstLine="567"/>
        <w:jc w:val="both"/>
        <w:spacing w:after="360" w:line="276" w:lineRule="auto"/>
        <w:shd w:val="clear" w:color="auto" w:fill="ffffff"/>
        <w:rPr>
          <w:rFonts w:ascii="Tinos" w:hAnsi="Tinos" w:cs="Tinos"/>
          <w:color w:val="262626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доля нормативных правовых актов Чувашской Республики, разработанных Министерством, в которых выявлены риски нарушения антимонопольного законодательства (в 2024 году - 0);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262626" w:themeColor="text1"/>
          <w:sz w:val="26"/>
          <w:szCs w:val="26"/>
        </w:rPr>
      </w:r>
    </w:p>
    <w:p>
      <w:pPr>
        <w:pStyle w:val="834"/>
        <w:ind w:left="0" w:firstLine="567"/>
        <w:jc w:val="both"/>
        <w:spacing w:after="0" w:afterAutospacing="0" w:line="276" w:lineRule="auto"/>
        <w:shd w:val="clear" w:color="auto" w:fill="ffffff"/>
        <w:rPr>
          <w:rFonts w:ascii="Tinos" w:hAnsi="Tinos" w:cs="Tinos"/>
          <w:color w:val="262626" w:themeColor="text1"/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- д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оля сотрудников Министерства,  в отношении которых проведены обучающие мероприятия по антимонопольному законодательству и антимонопольному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комплаенсу (выполнено)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.</w:t>
      </w: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262626" w:themeColor="text1"/>
          <w:sz w:val="26"/>
          <w:szCs w:val="26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 целях совершенствования дальнейшей работы по внутреннему обеспечению соответствия требованиям антимонопольно</w:t>
      </w:r>
      <w:r>
        <w:rPr>
          <w:rFonts w:ascii="Tinos" w:hAnsi="Tinos" w:eastAsia="Tinos" w:cs="Tinos"/>
          <w:color w:val="000000"/>
          <w:sz w:val="24"/>
          <w:szCs w:val="24"/>
        </w:rPr>
        <w:t xml:space="preserve">го законодательства в Министерстве предлагается: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продолжить работу по анализу правоприменительной практики обеспечения соответствия антимонопольного законодательства;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708"/>
        <w:jc w:val="both"/>
        <w:spacing w:before="0" w:beforeAutospacing="0" w:after="0" w:afterAutospacing="0" w:line="274" w:lineRule="auto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актуализировать необходимые нормативные правовые акты Министерства для реализации антимонопольного законодательства при изменении норм законодательства.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spacing w:before="0" w:beforeAutospacing="0" w:after="0" w:afterAutospacing="0" w:line="274" w:lineRule="auto"/>
        <w:rPr>
          <w:rFonts w:ascii="Tinos" w:hAnsi="Tinos" w:cs="Tinos"/>
        </w:rPr>
      </w:pP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  <w:r>
        <w:rPr>
          <w:rFonts w:ascii="Tinos" w:hAnsi="Tinos" w:cs="Tinos"/>
        </w:rPr>
      </w:r>
    </w:p>
    <w:sectPr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2025-02-03T08:21:14Z</dcterms:modified>
</cp:coreProperties>
</file>