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bookmarkStart w:id="0" w:name="_GoBack"/>
      <w:bookmarkEnd w:id="0"/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7"/>
        <w:gridCol w:w="1092"/>
        <w:gridCol w:w="4479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52C3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1304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52C3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24.11.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1304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F12CF7" w:rsidRPr="00F12CF7" w:rsidRDefault="00F12CF7" w:rsidP="00F12CF7">
      <w:pPr>
        <w:suppressAutoHyphens w:val="0"/>
        <w:spacing w:line="240" w:lineRule="auto"/>
        <w:ind w:firstLine="0"/>
        <w:rPr>
          <w:rFonts w:eastAsia="Calibri"/>
          <w:bCs/>
          <w:spacing w:val="-1"/>
          <w:w w:val="105"/>
          <w:kern w:val="0"/>
          <w:sz w:val="28"/>
          <w:szCs w:val="28"/>
          <w:lang w:eastAsia="en-US"/>
        </w:rPr>
      </w:pPr>
    </w:p>
    <w:p w:rsidR="00F12CF7" w:rsidRPr="00F12CF7" w:rsidRDefault="00F12CF7" w:rsidP="00F12CF7">
      <w:pPr>
        <w:suppressAutoHyphens w:val="0"/>
        <w:spacing w:line="240" w:lineRule="auto"/>
        <w:ind w:firstLine="0"/>
        <w:rPr>
          <w:rFonts w:eastAsia="Calibri"/>
          <w:bCs/>
          <w:spacing w:val="-1"/>
          <w:w w:val="105"/>
          <w:kern w:val="0"/>
          <w:sz w:val="28"/>
          <w:szCs w:val="28"/>
          <w:lang w:eastAsia="en-US"/>
        </w:rPr>
      </w:pPr>
    </w:p>
    <w:tbl>
      <w:tblPr>
        <w:tblStyle w:val="34"/>
        <w:tblW w:w="11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5097"/>
      </w:tblGrid>
      <w:tr w:rsidR="00F12CF7" w:rsidRPr="00F12CF7" w:rsidTr="00F12CF7">
        <w:tc>
          <w:tcPr>
            <w:tcW w:w="6771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right="2302" w:firstLine="0"/>
              <w:rPr>
                <w:rFonts w:eastAsia="Calibri"/>
                <w:spacing w:val="-1"/>
                <w:w w:val="105"/>
                <w:kern w:val="0"/>
                <w:sz w:val="28"/>
                <w:szCs w:val="28"/>
                <w:lang w:eastAsia="en-US"/>
              </w:rPr>
            </w:pPr>
            <w:r w:rsidRPr="00F12CF7">
              <w:rPr>
                <w:rFonts w:eastAsia="Calibri"/>
                <w:spacing w:val="-1"/>
                <w:w w:val="105"/>
                <w:kern w:val="0"/>
                <w:sz w:val="28"/>
                <w:szCs w:val="28"/>
                <w:lang w:eastAsia="en-US"/>
              </w:rPr>
              <w:t>Об</w:t>
            </w:r>
            <w:r w:rsidRPr="00F12CF7">
              <w:rPr>
                <w:rFonts w:eastAsia="Calibri"/>
                <w:spacing w:val="-15"/>
                <w:w w:val="105"/>
                <w:kern w:val="0"/>
                <w:sz w:val="28"/>
                <w:szCs w:val="28"/>
                <w:lang w:eastAsia="en-US"/>
              </w:rPr>
              <w:t xml:space="preserve"> </w:t>
            </w:r>
            <w:r w:rsidRPr="00F12CF7">
              <w:rPr>
                <w:rFonts w:eastAsia="Calibri"/>
                <w:spacing w:val="-1"/>
                <w:w w:val="105"/>
                <w:kern w:val="0"/>
                <w:sz w:val="28"/>
                <w:szCs w:val="28"/>
                <w:lang w:eastAsia="en-US"/>
              </w:rPr>
              <w:t>утверждении</w:t>
            </w:r>
            <w:r w:rsidRPr="00F12CF7">
              <w:rPr>
                <w:rFonts w:eastAsia="Calibri"/>
                <w:spacing w:val="-15"/>
                <w:w w:val="105"/>
                <w:kern w:val="0"/>
                <w:sz w:val="28"/>
                <w:szCs w:val="28"/>
                <w:lang w:eastAsia="en-US"/>
              </w:rPr>
              <w:t xml:space="preserve"> </w:t>
            </w:r>
            <w:r w:rsidRPr="00F12CF7">
              <w:rPr>
                <w:rFonts w:eastAsia="Calibri"/>
                <w:spacing w:val="-1"/>
                <w:w w:val="105"/>
                <w:kern w:val="0"/>
                <w:sz w:val="28"/>
                <w:szCs w:val="28"/>
                <w:lang w:eastAsia="en-US"/>
              </w:rPr>
              <w:t>Регламента сопровождения</w:t>
            </w:r>
            <w:r w:rsidRPr="00F12CF7">
              <w:rPr>
                <w:rFonts w:eastAsia="Calibri"/>
                <w:spacing w:val="-14"/>
                <w:w w:val="105"/>
                <w:kern w:val="0"/>
                <w:sz w:val="28"/>
                <w:szCs w:val="28"/>
                <w:lang w:eastAsia="en-US"/>
              </w:rPr>
              <w:t xml:space="preserve"> </w:t>
            </w:r>
            <w:r w:rsidRPr="00F12CF7">
              <w:rPr>
                <w:rFonts w:eastAsia="Calibri"/>
                <w:spacing w:val="-1"/>
                <w:w w:val="105"/>
                <w:kern w:val="0"/>
                <w:sz w:val="28"/>
                <w:szCs w:val="28"/>
                <w:lang w:eastAsia="en-US"/>
              </w:rPr>
              <w:t>инвестиционных</w:t>
            </w:r>
            <w:r w:rsidRPr="00F12CF7">
              <w:rPr>
                <w:rFonts w:eastAsia="Calibri"/>
                <w:spacing w:val="-15"/>
                <w:w w:val="105"/>
                <w:kern w:val="0"/>
                <w:sz w:val="28"/>
                <w:szCs w:val="28"/>
                <w:lang w:eastAsia="en-US"/>
              </w:rPr>
              <w:t xml:space="preserve"> </w:t>
            </w:r>
            <w:r w:rsidRPr="00F12CF7">
              <w:rPr>
                <w:rFonts w:eastAsia="Calibri"/>
                <w:w w:val="105"/>
                <w:kern w:val="0"/>
                <w:sz w:val="28"/>
                <w:szCs w:val="28"/>
                <w:lang w:eastAsia="en-US"/>
              </w:rPr>
              <w:t>проектов, реализуемых и (или) планируемых к реализации на территории Янтиковского муниципального округа</w:t>
            </w:r>
            <w:r w:rsidRPr="00F12CF7">
              <w:rPr>
                <w:rFonts w:eastAsia="Calibri"/>
                <w:spacing w:val="1"/>
                <w:w w:val="105"/>
                <w:kern w:val="0"/>
                <w:sz w:val="28"/>
                <w:szCs w:val="28"/>
                <w:lang w:eastAsia="en-US"/>
              </w:rPr>
              <w:t xml:space="preserve"> Ч</w:t>
            </w:r>
            <w:r w:rsidRPr="00F12CF7">
              <w:rPr>
                <w:rFonts w:eastAsia="Calibri"/>
                <w:w w:val="105"/>
                <w:kern w:val="0"/>
                <w:sz w:val="28"/>
                <w:szCs w:val="28"/>
                <w:lang w:eastAsia="en-US"/>
              </w:rPr>
              <w:t>увашской Республики</w:t>
            </w:r>
          </w:p>
        </w:tc>
        <w:tc>
          <w:tcPr>
            <w:tcW w:w="5097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i/>
                <w:spacing w:val="-1"/>
                <w:w w:val="105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F12CF7" w:rsidRPr="00F12CF7" w:rsidRDefault="00F12CF7" w:rsidP="00F12CF7">
      <w:pPr>
        <w:suppressAutoHyphens w:val="0"/>
        <w:spacing w:line="240" w:lineRule="auto"/>
        <w:ind w:firstLine="0"/>
        <w:rPr>
          <w:rFonts w:eastAsia="Calibri"/>
          <w:bCs/>
          <w:w w:val="105"/>
          <w:kern w:val="0"/>
          <w:sz w:val="28"/>
          <w:szCs w:val="28"/>
          <w:lang w:eastAsia="en-US"/>
        </w:rPr>
      </w:pPr>
    </w:p>
    <w:p w:rsidR="0033695A" w:rsidRPr="00F12CF7" w:rsidRDefault="0033695A" w:rsidP="00F12CF7">
      <w:pPr>
        <w:tabs>
          <w:tab w:val="left" w:pos="709"/>
        </w:tabs>
        <w:suppressAutoHyphens w:val="0"/>
        <w:spacing w:line="36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</w:p>
    <w:p w:rsidR="00F12CF7" w:rsidRPr="00F12CF7" w:rsidRDefault="00F12CF7" w:rsidP="00F12CF7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t xml:space="preserve">В соответствии с </w:t>
      </w:r>
      <w:hyperlink r:id="rId9" w:history="1">
        <w:r w:rsidRPr="00F12CF7">
          <w:rPr>
            <w:kern w:val="0"/>
            <w:sz w:val="28"/>
            <w:szCs w:val="28"/>
            <w:lang w:eastAsia="ru-RU"/>
          </w:rPr>
          <w:t>Законом</w:t>
        </w:r>
      </w:hyperlink>
      <w:r w:rsidRPr="00F12CF7">
        <w:rPr>
          <w:kern w:val="0"/>
          <w:sz w:val="28"/>
          <w:szCs w:val="28"/>
          <w:lang w:eastAsia="ru-RU"/>
        </w:rPr>
        <w:t xml:space="preserve"> Чувашской Республики от 25.05.2004 № 8 </w:t>
      </w:r>
      <w:r>
        <w:rPr>
          <w:kern w:val="0"/>
          <w:sz w:val="28"/>
          <w:szCs w:val="28"/>
          <w:lang w:eastAsia="ru-RU"/>
        </w:rPr>
        <w:t xml:space="preserve">                       </w:t>
      </w:r>
      <w:r w:rsidRPr="00F12CF7">
        <w:rPr>
          <w:kern w:val="0"/>
          <w:sz w:val="28"/>
          <w:szCs w:val="28"/>
          <w:lang w:eastAsia="ru-RU"/>
        </w:rPr>
        <w:t xml:space="preserve">«О государственной поддержке инвестиционной деятельности в Чувашской Республике», в целях стимулирования инвестиционной активности и привлечения средств инвесторов для развития экономики </w:t>
      </w:r>
      <w:r w:rsidR="0033695A">
        <w:rPr>
          <w:kern w:val="0"/>
          <w:sz w:val="28"/>
          <w:szCs w:val="28"/>
          <w:lang w:eastAsia="ru-RU"/>
        </w:rPr>
        <w:t xml:space="preserve">                             </w:t>
      </w:r>
      <w:r w:rsidRPr="00F12CF7">
        <w:rPr>
          <w:kern w:val="0"/>
          <w:sz w:val="28"/>
          <w:szCs w:val="28"/>
          <w:lang w:eastAsia="ru-RU"/>
        </w:rPr>
        <w:t xml:space="preserve">Чувашской Республики, своевременного и качественного </w:t>
      </w:r>
      <w:r w:rsidR="0033695A">
        <w:rPr>
          <w:kern w:val="0"/>
          <w:sz w:val="28"/>
          <w:szCs w:val="28"/>
          <w:lang w:eastAsia="ru-RU"/>
        </w:rPr>
        <w:t xml:space="preserve">                              </w:t>
      </w:r>
      <w:r w:rsidRPr="00F12CF7">
        <w:rPr>
          <w:kern w:val="0"/>
          <w:sz w:val="28"/>
          <w:szCs w:val="28"/>
          <w:lang w:eastAsia="ru-RU"/>
        </w:rPr>
        <w:t xml:space="preserve">исполнения инвесторами обязательств по инвестиционным </w:t>
      </w:r>
      <w:r w:rsidR="0033695A">
        <w:rPr>
          <w:kern w:val="0"/>
          <w:sz w:val="28"/>
          <w:szCs w:val="28"/>
          <w:lang w:eastAsia="ru-RU"/>
        </w:rPr>
        <w:t xml:space="preserve">                                    </w:t>
      </w:r>
      <w:r w:rsidRPr="00F12CF7">
        <w:rPr>
          <w:kern w:val="0"/>
          <w:sz w:val="28"/>
          <w:szCs w:val="28"/>
          <w:lang w:eastAsia="ru-RU"/>
        </w:rPr>
        <w:t>проектам администрация Янтиковского муниципального округа</w:t>
      </w:r>
      <w:r w:rsidR="0033695A">
        <w:rPr>
          <w:kern w:val="0"/>
          <w:sz w:val="28"/>
          <w:szCs w:val="28"/>
          <w:lang w:eastAsia="ru-RU"/>
        </w:rPr>
        <w:t xml:space="preserve">                                            </w:t>
      </w:r>
      <w:r w:rsidRPr="00F12CF7">
        <w:rPr>
          <w:kern w:val="0"/>
          <w:sz w:val="28"/>
          <w:szCs w:val="28"/>
          <w:lang w:eastAsia="ru-RU"/>
        </w:rPr>
        <w:t xml:space="preserve"> </w:t>
      </w:r>
      <w:r w:rsidRPr="00F12CF7">
        <w:rPr>
          <w:b/>
          <w:kern w:val="0"/>
          <w:sz w:val="28"/>
          <w:szCs w:val="28"/>
          <w:lang w:eastAsia="ru-RU"/>
        </w:rPr>
        <w:t>п о с т а н о в л я е т</w:t>
      </w:r>
      <w:r w:rsidRPr="00F12CF7">
        <w:rPr>
          <w:kern w:val="0"/>
          <w:sz w:val="28"/>
          <w:szCs w:val="28"/>
          <w:lang w:eastAsia="ru-RU"/>
        </w:rPr>
        <w:t xml:space="preserve">: </w:t>
      </w:r>
    </w:p>
    <w:p w:rsidR="00F12CF7" w:rsidRPr="00F12CF7" w:rsidRDefault="00F12CF7" w:rsidP="00F12CF7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t>1. Утвердить Регламент сопровождения инвестиционных проектов, реализуемых и (или) планируемых к реализации на территории Янтиковского муниципального округа Чувашской Республики (прилагается).</w:t>
      </w:r>
    </w:p>
    <w:p w:rsidR="00F12CF7" w:rsidRDefault="00F12CF7" w:rsidP="00F12CF7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t>2. Контроль за исполнением настоящего постановления возложить на начальника отдела экономики, земельных и имущественных отношений</w:t>
      </w:r>
      <w:r>
        <w:rPr>
          <w:kern w:val="0"/>
          <w:sz w:val="28"/>
          <w:szCs w:val="28"/>
          <w:lang w:eastAsia="ru-RU"/>
        </w:rPr>
        <w:t>.</w:t>
      </w:r>
    </w:p>
    <w:p w:rsidR="00F12CF7" w:rsidRPr="00F12CF7" w:rsidRDefault="00F12CF7" w:rsidP="00F12CF7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lastRenderedPageBreak/>
        <w:t>3. Настоящее постановление вступает в силу со дня его официального опубликования.</w:t>
      </w:r>
    </w:p>
    <w:p w:rsidR="00F12CF7" w:rsidRDefault="00F12CF7" w:rsidP="00F12CF7">
      <w:pPr>
        <w:suppressAutoHyphens w:val="0"/>
        <w:spacing w:line="240" w:lineRule="auto"/>
        <w:ind w:firstLine="567"/>
        <w:rPr>
          <w:kern w:val="0"/>
          <w:sz w:val="28"/>
          <w:szCs w:val="28"/>
          <w:lang w:eastAsia="ru-RU"/>
        </w:rPr>
      </w:pPr>
    </w:p>
    <w:p w:rsidR="00F12CF7" w:rsidRPr="00F12CF7" w:rsidRDefault="00F12CF7" w:rsidP="00F12CF7">
      <w:pPr>
        <w:suppressAutoHyphens w:val="0"/>
        <w:spacing w:line="240" w:lineRule="auto"/>
        <w:ind w:firstLine="567"/>
        <w:rPr>
          <w:kern w:val="0"/>
          <w:sz w:val="28"/>
          <w:szCs w:val="28"/>
          <w:lang w:eastAsia="ru-RU"/>
        </w:rPr>
      </w:pPr>
    </w:p>
    <w:p w:rsidR="00F12CF7" w:rsidRPr="00F12CF7" w:rsidRDefault="00F12CF7" w:rsidP="00F12CF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t>Глава Янтиковского</w:t>
      </w:r>
    </w:p>
    <w:p w:rsidR="00F12CF7" w:rsidRPr="00F12CF7" w:rsidRDefault="00F12CF7" w:rsidP="00F12CF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t>муниципально</w:t>
      </w:r>
      <w:r>
        <w:rPr>
          <w:kern w:val="0"/>
          <w:sz w:val="28"/>
          <w:szCs w:val="28"/>
          <w:lang w:eastAsia="ru-RU"/>
        </w:rPr>
        <w:t xml:space="preserve">го округа                                  </w:t>
      </w:r>
      <w:r w:rsidRPr="00F12CF7">
        <w:rPr>
          <w:kern w:val="0"/>
          <w:sz w:val="28"/>
          <w:szCs w:val="28"/>
          <w:lang w:eastAsia="ru-RU"/>
        </w:rPr>
        <w:t xml:space="preserve">                   </w:t>
      </w:r>
      <w:r w:rsidR="00F4322F">
        <w:rPr>
          <w:kern w:val="0"/>
          <w:sz w:val="28"/>
          <w:szCs w:val="28"/>
          <w:lang w:eastAsia="ru-RU"/>
        </w:rPr>
        <w:t xml:space="preserve">  </w:t>
      </w:r>
      <w:r w:rsidRPr="00F12CF7">
        <w:rPr>
          <w:kern w:val="0"/>
          <w:sz w:val="28"/>
          <w:szCs w:val="28"/>
          <w:lang w:eastAsia="ru-RU"/>
        </w:rPr>
        <w:t xml:space="preserve">             О.А. Ломоносов</w:t>
      </w: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C24B44" w:rsidP="008B02F7">
      <w:pPr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УТВЕРЖДЕН</w:t>
      </w:r>
    </w:p>
    <w:p w:rsidR="008B02F7" w:rsidRDefault="00A01C86" w:rsidP="008B02F7">
      <w:pPr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постановлением</w:t>
      </w:r>
      <w:r w:rsidR="008B02F7">
        <w:rPr>
          <w:kern w:val="0"/>
          <w:lang w:eastAsia="ru-RU"/>
        </w:rPr>
        <w:t xml:space="preserve"> администрации</w:t>
      </w:r>
    </w:p>
    <w:p w:rsidR="008B02F7" w:rsidRDefault="008B02F7" w:rsidP="008B02F7">
      <w:pPr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Янтиковского муниципального округа</w:t>
      </w:r>
    </w:p>
    <w:p w:rsidR="008B02F7" w:rsidRPr="00F12CF7" w:rsidRDefault="00352C36" w:rsidP="008B02F7">
      <w:pPr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rFonts w:ascii="Calibri" w:eastAsia="Calibri" w:hAnsi="Calibri"/>
          <w:kern w:val="0"/>
          <w:sz w:val="22"/>
          <w:szCs w:val="22"/>
          <w:lang w:eastAsia="ru-RU"/>
        </w:rPr>
      </w:pPr>
      <w:r>
        <w:rPr>
          <w:kern w:val="0"/>
          <w:lang w:eastAsia="ru-RU"/>
        </w:rPr>
        <w:t>от 24.11.2023 № 1304</w:t>
      </w: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rFonts w:ascii="Calibri" w:eastAsia="Calibri" w:hAnsi="Calibri"/>
          <w:kern w:val="0"/>
          <w:sz w:val="22"/>
          <w:szCs w:val="22"/>
          <w:lang w:eastAsia="ru-RU"/>
        </w:rPr>
      </w:pPr>
    </w:p>
    <w:p w:rsidR="00F12CF7" w:rsidRPr="00F12CF7" w:rsidRDefault="00F12CF7" w:rsidP="00F12CF7">
      <w:pPr>
        <w:widowControl w:val="0"/>
        <w:suppressAutoHyphens w:val="0"/>
        <w:autoSpaceDE w:val="0"/>
        <w:autoSpaceDN w:val="0"/>
        <w:spacing w:line="247" w:lineRule="exact"/>
        <w:ind w:right="-1" w:firstLine="567"/>
        <w:jc w:val="center"/>
        <w:outlineLvl w:val="0"/>
        <w:rPr>
          <w:rFonts w:eastAsia="Arial"/>
          <w:b/>
          <w:bCs/>
          <w:spacing w:val="-1"/>
          <w:w w:val="105"/>
          <w:kern w:val="0"/>
          <w:lang w:eastAsia="en-US"/>
        </w:rPr>
      </w:pPr>
      <w:r w:rsidRPr="00F12CF7">
        <w:rPr>
          <w:rFonts w:eastAsia="Calibri"/>
          <w:b/>
          <w:bCs/>
          <w:spacing w:val="-1"/>
          <w:w w:val="105"/>
          <w:kern w:val="0"/>
          <w:lang w:eastAsia="en-US"/>
        </w:rPr>
        <w:t xml:space="preserve">Регламент сопровождения инвестиционных проектов, реализуемых и (или) </w:t>
      </w:r>
      <w:r w:rsidRPr="00F12CF7">
        <w:rPr>
          <w:rFonts w:eastAsia="Arial"/>
          <w:b/>
          <w:bCs/>
          <w:spacing w:val="-1"/>
          <w:w w:val="105"/>
          <w:kern w:val="0"/>
          <w:lang w:eastAsia="en-US"/>
        </w:rPr>
        <w:t>планируемых к реализации на территории Янтиковского муниципального округа Чувашской Республики</w:t>
      </w:r>
    </w:p>
    <w:p w:rsidR="00F12CF7" w:rsidRPr="00F12CF7" w:rsidRDefault="00F12CF7" w:rsidP="00F12CF7">
      <w:pPr>
        <w:widowControl w:val="0"/>
        <w:suppressAutoHyphens w:val="0"/>
        <w:autoSpaceDE w:val="0"/>
        <w:autoSpaceDN w:val="0"/>
        <w:spacing w:before="5" w:line="240" w:lineRule="auto"/>
        <w:ind w:firstLine="0"/>
        <w:jc w:val="center"/>
        <w:rPr>
          <w:rFonts w:eastAsia="Calibri"/>
          <w:b/>
          <w:bCs/>
          <w:spacing w:val="-1"/>
          <w:w w:val="105"/>
          <w:kern w:val="0"/>
          <w:lang w:eastAsia="en-US"/>
        </w:rPr>
      </w:pPr>
    </w:p>
    <w:p w:rsidR="00F12CF7" w:rsidRPr="00F12CF7" w:rsidRDefault="00F12CF7" w:rsidP="00F12CF7">
      <w:pPr>
        <w:widowControl w:val="0"/>
        <w:numPr>
          <w:ilvl w:val="0"/>
          <w:numId w:val="17"/>
        </w:numPr>
        <w:tabs>
          <w:tab w:val="left" w:pos="2127"/>
          <w:tab w:val="left" w:pos="2410"/>
          <w:tab w:val="left" w:pos="2552"/>
          <w:tab w:val="left" w:pos="2694"/>
          <w:tab w:val="left" w:pos="3075"/>
          <w:tab w:val="left" w:pos="3261"/>
        </w:tabs>
        <w:suppressAutoHyphens w:val="0"/>
        <w:autoSpaceDE w:val="0"/>
        <w:autoSpaceDN w:val="0"/>
        <w:spacing w:after="160" w:line="240" w:lineRule="auto"/>
        <w:ind w:left="0" w:firstLine="3261"/>
        <w:jc w:val="left"/>
        <w:rPr>
          <w:rFonts w:eastAsia="Arial"/>
          <w:b/>
          <w:bCs/>
          <w:spacing w:val="-1"/>
          <w:w w:val="105"/>
          <w:kern w:val="0"/>
          <w:lang w:eastAsia="en-US"/>
        </w:rPr>
      </w:pPr>
      <w:r w:rsidRPr="00F12CF7">
        <w:rPr>
          <w:rFonts w:eastAsia="Arial"/>
          <w:b/>
          <w:bCs/>
          <w:spacing w:val="-1"/>
          <w:w w:val="105"/>
          <w:kern w:val="0"/>
          <w:lang w:eastAsia="en-US"/>
        </w:rPr>
        <w:t>Общие положения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1.1. Настоящий Регламент сопровождения инвестиционных проектов, реализуемых и (или) планируемых к реализации на территории Янтиковского муниципального округа Чувашской Республики (далее – Регламент), разработан в соответствии </w:t>
      </w:r>
      <w:hyperlink r:id="rId10" w:history="1">
        <w:r w:rsidRPr="00F12CF7">
          <w:rPr>
            <w:kern w:val="0"/>
            <w:lang w:eastAsia="ru-RU"/>
          </w:rPr>
          <w:t>Законом</w:t>
        </w:r>
      </w:hyperlink>
      <w:r w:rsidRPr="00F12CF7">
        <w:rPr>
          <w:kern w:val="0"/>
          <w:lang w:eastAsia="ru-RU"/>
        </w:rPr>
        <w:t xml:space="preserve"> Чувашской Республики от 25.05.2004 № 8 «О государственной поддержке инвестиционной деятельности в Чувашской Республике» (далее – Закон).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1.2. Сопровождение инвестиционных проектов, реализуемых и (или) планируемых к реализации на территории Янтиковского муниципального округа Чувашской Республики осуществляется по принципу «одного окна».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1.3. Специализированной организацией Чувашской Республики по сопровождению инвестиционных проектов является Автономная некоммерческая организация «Агентство инвестиционного развития Чувашской Республики» (далее – Специализированная организация).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Для целей настоящего Регламента используются термины и понятия в соответствии с действующим законодательством, а также следующие определения: 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инвестор – субъект инвестиционной деятельности, осуществляющий вложение собственных и привлеченных средств в форме инвестиций в соответствии с законодательством Российской Федерации и Чувашской Республики и обеспечивающий их целевое использование в ходе осуществления инвестиционной деятельности на территории Янтиковского муниципального округа Чувашской Республики;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инициатор инвестиционного проекта – физическое или юридическое лицо, предлагающее к реализации инвестиционный проект на территории Янтиковского муниципального округа Чувашской Республики;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субъект инвестиционной деятельности – физические и юридические лица, в том числе иностранные, а также государственные органы, органы местного самоуправления, иностранные государства и международные организации, выступающие в качестве инвесторов, заказчиков, подрядчиков, пользователей объектов капитальных вложений, и другие лица;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инвестиционный проект – программа инвестиционной деятельности инвестора, имеющая конкретную цель, определенные сроки осуществления, ресурсы, а также бизнес-план и необходимую документацию, разрабатываемую в соответствии с действующим законодательством;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инвестиционный портал Чувашской Республики – специализированный интернет-сайт об инвестиционной деятельности на территории Чувашской Республики в информационно-коммуникационной сети Интернет: investchr.ru;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реестр инвестиционных проектов – перечень инвестиционных проектов, планируемых и (или) реализуемых на территории Чувашской Республики, находящихся на сопровождении Специализированной организации по принципу «одного окна».</w:t>
      </w:r>
    </w:p>
    <w:p w:rsidR="00F12CF7" w:rsidRPr="00F12CF7" w:rsidRDefault="00F12CF7" w:rsidP="008B02F7">
      <w:pPr>
        <w:tabs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widowControl w:val="0"/>
        <w:numPr>
          <w:ilvl w:val="0"/>
          <w:numId w:val="17"/>
        </w:numPr>
        <w:suppressAutoHyphens w:val="0"/>
        <w:autoSpaceDE w:val="0"/>
        <w:autoSpaceDN w:val="0"/>
        <w:spacing w:before="4" w:after="160" w:line="240" w:lineRule="auto"/>
        <w:ind w:firstLine="64"/>
        <w:jc w:val="left"/>
        <w:rPr>
          <w:rFonts w:eastAsia="Arial"/>
          <w:b/>
          <w:bCs/>
          <w:spacing w:val="-1"/>
          <w:w w:val="105"/>
          <w:kern w:val="0"/>
          <w:lang w:eastAsia="en-US"/>
        </w:rPr>
      </w:pPr>
      <w:r w:rsidRPr="00F12CF7">
        <w:rPr>
          <w:rFonts w:eastAsia="Arial"/>
          <w:b/>
          <w:bCs/>
          <w:spacing w:val="-1"/>
          <w:w w:val="105"/>
          <w:kern w:val="0"/>
          <w:lang w:eastAsia="en-US"/>
        </w:rPr>
        <w:t>Формы и цели сопровождения инвестиционных проектов</w:t>
      </w:r>
    </w:p>
    <w:p w:rsidR="00F12CF7" w:rsidRPr="00F12CF7" w:rsidRDefault="00F12CF7" w:rsidP="008B02F7">
      <w:pPr>
        <w:widowControl w:val="0"/>
        <w:suppressAutoHyphens w:val="0"/>
        <w:autoSpaceDE w:val="0"/>
        <w:autoSpaceDN w:val="0"/>
        <w:spacing w:before="4" w:line="240" w:lineRule="auto"/>
        <w:ind w:left="1277"/>
        <w:jc w:val="center"/>
        <w:rPr>
          <w:rFonts w:eastAsia="Arial"/>
          <w:b/>
          <w:bCs/>
          <w:spacing w:val="-1"/>
          <w:w w:val="105"/>
          <w:kern w:val="0"/>
          <w:lang w:eastAsia="en-US"/>
        </w:rPr>
      </w:pPr>
    </w:p>
    <w:p w:rsidR="00F12CF7" w:rsidRPr="00F12CF7" w:rsidRDefault="00F12CF7" w:rsidP="008B02F7">
      <w:pPr>
        <w:tabs>
          <w:tab w:val="left" w:pos="709"/>
          <w:tab w:val="left" w:pos="851"/>
          <w:tab w:val="left" w:pos="1134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2.1. Потенциальный инвестор вправе обратиться в Специализированную организацию по номеру телефона 8(8352)70-96-60, через «Единое окно» для инвесторов, а также через «личный кабинет инвестора» с заявлением о содействии в сопровождении инвестиционного проекта.</w:t>
      </w:r>
    </w:p>
    <w:p w:rsidR="00F12CF7" w:rsidRPr="00F12CF7" w:rsidRDefault="00F12CF7" w:rsidP="008B02F7">
      <w:pPr>
        <w:tabs>
          <w:tab w:val="left" w:pos="851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Официальный адрес размещения «Единого окна», «личного кабинета инвестора» на инвестиционном портале Чувашской Республики – </w:t>
      </w:r>
      <w:hyperlink r:id="rId11" w:history="1">
        <w:r w:rsidRPr="00F12CF7">
          <w:rPr>
            <w:kern w:val="0"/>
            <w:lang w:eastAsia="ru-RU"/>
          </w:rPr>
          <w:t>Инвестиционный портал Чувашской Республики (investchr.ru)</w:t>
        </w:r>
      </w:hyperlink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2.2. Сопровождение инвестиционных проектов, реализуемых и (или) планируемых к реализации на территории Янтиковского муниципального округа Чувашской Республики, осуществляется в форме консультационного, информационного, а также организационного содействия инвестору, направленного на реализацию инвестиционного проекта и достижения инвестором следующих целей: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ускоренное рассмотрение вопросов, возникающих в ходе реализации проекта;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контроль за своевременным получением инвестором необходимых согласований и разрешений;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содействие в создании инфраструктуры бизнеса;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оперативную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подготовку соглашений в инвестиционной сфере в соответствии с законодательством Чувашской Республики.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2.3. В целях сопровождения инвестиционных проектов Специализированная организация на протяжении всего срока реализации инвестиционных проектов: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1" w:name="Par52"/>
      <w:bookmarkEnd w:id="1"/>
      <w:r w:rsidRPr="00F12CF7">
        <w:rPr>
          <w:kern w:val="0"/>
          <w:lang w:eastAsia="ru-RU"/>
        </w:rPr>
        <w:t>рассматривает обращения инвесторов по вопросам реализации инвестиционных проектов;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представляет по запросу инвесторов, заинтересованных в реализации или реализующих инвестиционные проекты, информацию об условиях осуществления инвестиционной деятельности на территории Янтиковского муниципального округа Чувашской Республики (за исключением сведений, составляющих государственную и иную охраняемую законом тайну);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взаимодействует по вопросам сопровождения инвестиционных проектов</w:t>
      </w:r>
      <w:r w:rsidRPr="00F12CF7">
        <w:rPr>
          <w:kern w:val="0"/>
          <w:lang w:eastAsia="ru-RU"/>
        </w:rPr>
        <w:br/>
        <w:t>с органами исполнительной власти Чувашской Республики, органами местного самоуправления Чувашской Республики, ресурсоснабжающими организациями, кредитно-финансовыми учреждениями, институтами развития и иными организациями, являющимися субъектами инвестиционной деятельности;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осуществляет поиск возможного финансирования для реализации инвестиционных проектов по запросам, поступившим от инициаторов инвестиционных проектов;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организует проведение переговоров, рабочих встреч с органами исполнительной власти Чувашской Республики и органами местного самоуправления Чувашской Республики для рассмотрения вопросов, связанных с реализацией инвестиционных проектов;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осуществляет содействие в подборе инвестиционной площадки;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оказывает иную поддержку реализации инвестиционных проектов</w:t>
      </w:r>
      <w:r w:rsidRPr="00F12CF7">
        <w:rPr>
          <w:kern w:val="0"/>
          <w:lang w:eastAsia="ru-RU"/>
        </w:rPr>
        <w:br/>
        <w:t>в соответствии с действующим законодательством.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2.5. Специализированная организация может представлять интересы инвестора при взаимодействии со всеми субъектами инвестиционной деятельности.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after="160" w:line="259" w:lineRule="auto"/>
        <w:jc w:val="center"/>
        <w:outlineLvl w:val="1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 xml:space="preserve">3. Регламент сопровождения инвестиционных проектов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3.1. Основанием для сопровождения инвестиционного проекта по принципу «одного окна» и включения его в реестр инвестиционных проектов Чувашской Республики, является положительное заключение Специализированной организации по итогам анализа представленных инвестором в Специализированную организацию заявки на сопровождение инвестиционного проекта и иных документов, необходимых для оценки инвестиционного проекта.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Инвестор несет ответственность за полноту и достоверность представленных данных, расчетов и обоснований. </w:t>
      </w:r>
    </w:p>
    <w:p w:rsidR="00F12CF7" w:rsidRPr="00F12CF7" w:rsidRDefault="00F12CF7" w:rsidP="008B02F7">
      <w:pPr>
        <w:tabs>
          <w:tab w:val="left" w:pos="1134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3.2. Сопровождение инвестиционного проекта по принципу «одного окна» отказывается в следующих случаях: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инвестором не заполнена заявка на инвестиционном портале Чувашской Республике либо заявка заполнена не в полном объеме;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по итогам заполненного чек-листа инвестор набрал менее 40 баллов в соответствии с п. 3.3.;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инвестор находится в стадии банкротства или ликвидации;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в Специализированную организацию поступили сведения о том, что инвестор при реализации инвестиционного проекта намеревается осуществлять либо осуществляет деятельность, противоречащую законодательству Российской Федерации и Чувашской Республики;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наличие признаков ликвидации или банкротства, а также введённых в отношении организации процедура банкротства в установленном законодательством Российской Федерации порядке;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отсутствие информации об инвесторе в Едином государственном реестре юридических лиц или Едином государственном реестре индивидуальных предпринимателей.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3.3. В течение 3 рабочих дней со дня поступления заявки Специализированная организация информирует инвестора о предоставляемых услугах и принимает решение о сопровождении инвестиционного проекта либо об отказе в сопровождении инвестиционного проекта по итогам заполненного чек-листа (приложение № 1 к Регламенту).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При положительном решении о сопровождении инвестиционного проекта итоговая сумма баллов должна составлять не менее 40 баллов из максимального допустимого количества баллов – 63.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 принятом решении Специализированная организация извещает инвестора в течение 1 рабочего дня со дня принятия такого решения через «личный кабинет инвестора».</w:t>
      </w:r>
    </w:p>
    <w:p w:rsidR="00F12CF7" w:rsidRPr="00F12CF7" w:rsidRDefault="00F12CF7" w:rsidP="008B02F7">
      <w:pPr>
        <w:tabs>
          <w:tab w:val="left" w:pos="851"/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3.4. В случае принятия Специализированной организацией решения о сопровождении инвестиционного проекта в течение 2 рабочих дней назначается ответственное лицо (менеджер) и через «личный кабинет инвестора» направляет проект соглашения о намерениях при реализации инвестиционного проекта на территории Янтиковского муниципального округа Чувашской Республики, а также разработанную совместно с потенциальным инвестором дорожную карту по реализации инвестиционного проекта (приложение № 2 к Регламенту). </w:t>
      </w:r>
    </w:p>
    <w:p w:rsidR="00F12CF7" w:rsidRPr="00F12CF7" w:rsidRDefault="00F12CF7" w:rsidP="008B02F7">
      <w:pPr>
        <w:tabs>
          <w:tab w:val="left" w:pos="851"/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3.5. Специализированная организация при необходимости проводит предварительные переговоры с инвестором, инициатором инвестиционного проекта по вопросам реализации инвестиционного проекта.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3.6. В случае отсутствия у инвестора бизнес-плана, финансовой модели и иных относящихся к реализации инвестиционного проекта документов, Специализированная организация может оказать консультационную поддержку по вопросам их разработки.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3.7.</w:t>
      </w:r>
      <w:r w:rsidRPr="00F12CF7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Pr="00F12CF7">
        <w:rPr>
          <w:kern w:val="0"/>
          <w:lang w:eastAsia="ru-RU"/>
        </w:rPr>
        <w:t xml:space="preserve">Сопровождение инвестиционных проектов, реализация которых предусмотрена в рамках заключенных соглашений о намерениях при реализации инвестиционных проектов на территории Янтиковского муниципального округа Чувашской Республики, а также подбор инвестиционных площадок для реализации инвестиционного проекта осуществляется Специализированной организацией на безвозмездной основе.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Перечень платных услуг, предоставляемых Специализированной организацией, утверждается приказом исполнительного директора Специализированной организацией.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numPr>
          <w:ilvl w:val="0"/>
          <w:numId w:val="18"/>
        </w:numPr>
        <w:suppressAutoHyphens w:val="0"/>
        <w:spacing w:after="160" w:line="240" w:lineRule="auto"/>
        <w:ind w:firstLine="273"/>
        <w:jc w:val="left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>Мониторинг реализации инвестиционных проектов</w:t>
      </w:r>
    </w:p>
    <w:p w:rsidR="00F12CF7" w:rsidRPr="00F12CF7" w:rsidRDefault="00F12CF7" w:rsidP="008B02F7">
      <w:pPr>
        <w:suppressAutoHyphens w:val="0"/>
        <w:spacing w:line="240" w:lineRule="auto"/>
        <w:ind w:left="360"/>
        <w:jc w:val="center"/>
        <w:rPr>
          <w:b/>
          <w:bCs/>
          <w:kern w:val="0"/>
          <w:lang w:eastAsia="ru-RU"/>
        </w:rPr>
      </w:pP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4.1. Специализированная организация в целях мониторинга реализации инвестиционных проектов: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ведет реестр инвестиционных проектов, находящихся на сопровождении по принципу «одного окна» и по согласованию с инвесторами размещает сведения об инвестиционных проектах на Инвестиционном портале Чувашской Республики;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ведет мониторинг результатов взаимодействия с инвесторами, в том числе по достигнутым показателям реализации инвестиционных проектов.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4.2. В целях осуществления мониторинга реализации инвестиционных проектов инвестор, в отношение которого принято решение о сопровождении инвестиционного проекта, ежеквартально не позднее 15 числа месяца, следующего за отчетным кварталом, направляет сведения в адрес Специализированной организации о ходе реализации инвестиционного проекта по форме согласно приложению № 3 к Регламенту.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4.3. Инвестор обязан в течение 10 календарных дней со дня вступления в законную силу решения суда о признании инвестора банкротом либо о ликвидации инвестора в качестве юридического лица, или со дня принятия индивидуальным предпринимателем или учредителями (участниками) либо органом инвестора, уполномоченным на то учредительными документами, решения о ликвидации, сообщить о таком решении в Специализированный организацию.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numPr>
          <w:ilvl w:val="0"/>
          <w:numId w:val="18"/>
        </w:numPr>
        <w:suppressAutoHyphens w:val="0"/>
        <w:spacing w:after="160" w:line="240" w:lineRule="auto"/>
        <w:ind w:firstLine="709"/>
        <w:jc w:val="left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>Прекращение сопровождения инвестиционного проекта</w:t>
      </w:r>
    </w:p>
    <w:p w:rsidR="00F12CF7" w:rsidRPr="00F12CF7" w:rsidRDefault="00F12CF7" w:rsidP="008B02F7">
      <w:pPr>
        <w:suppressAutoHyphens w:val="0"/>
        <w:spacing w:line="240" w:lineRule="auto"/>
        <w:ind w:left="360"/>
        <w:jc w:val="center"/>
        <w:rPr>
          <w:kern w:val="0"/>
          <w:lang w:eastAsia="ru-RU"/>
        </w:rPr>
      </w:pPr>
    </w:p>
    <w:p w:rsidR="00F12CF7" w:rsidRPr="00F12CF7" w:rsidRDefault="00F12CF7" w:rsidP="008B02F7">
      <w:pPr>
        <w:numPr>
          <w:ilvl w:val="1"/>
          <w:numId w:val="18"/>
        </w:numPr>
        <w:tabs>
          <w:tab w:val="left" w:pos="993"/>
        </w:tabs>
        <w:suppressAutoHyphens w:val="0"/>
        <w:spacing w:after="160" w:line="240" w:lineRule="auto"/>
        <w:ind w:left="0" w:firstLine="709"/>
        <w:jc w:val="left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Сопровождение инвестиционного проекта прекращается в следующих случаях: </w:t>
      </w:r>
    </w:p>
    <w:p w:rsidR="00F12CF7" w:rsidRPr="00F12CF7" w:rsidRDefault="00F12CF7" w:rsidP="008B02F7">
      <w:pPr>
        <w:tabs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отказа инвестора от сопровождения инвестиционного проекта, выраженного в письменной форме;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освоения капитальных вложений по инвестиционному проекту в полном объеме;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ведения в отношении инвестора процедуры банкротства;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нахождения инвестора в стадии ликвидации; </w:t>
      </w:r>
    </w:p>
    <w:p w:rsidR="00F12CF7" w:rsidRPr="00F12CF7" w:rsidRDefault="00F12CF7" w:rsidP="008B02F7">
      <w:pPr>
        <w:suppressAutoHyphens w:val="0"/>
        <w:spacing w:after="160" w:line="259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неоднократного (два и более раза) непредставления инвестором сведений о ходе реализации инвестиционного проекта.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tabs>
          <w:tab w:val="left" w:pos="3206"/>
        </w:tabs>
        <w:suppressAutoHyphens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tbl>
      <w:tblPr>
        <w:tblpPr w:leftFromText="180" w:rightFromText="180" w:vertAnchor="page" w:horzAnchor="margin" w:tblpY="17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9"/>
        <w:gridCol w:w="998"/>
        <w:gridCol w:w="1378"/>
      </w:tblGrid>
      <w:tr w:rsidR="008B02F7" w:rsidRPr="00F12CF7" w:rsidTr="008B02F7">
        <w:trPr>
          <w:trHeight w:val="552"/>
        </w:trPr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Приложение № 1</w:t>
            </w:r>
          </w:p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Чек-лист проекта_______________________</w:t>
            </w:r>
          </w:p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tcBorders>
              <w:top w:val="nil"/>
            </w:tcBorders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left="-110" w:firstLine="11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№</w:t>
            </w:r>
          </w:p>
        </w:tc>
        <w:tc>
          <w:tcPr>
            <w:tcW w:w="6809" w:type="dxa"/>
            <w:tcBorders>
              <w:top w:val="nil"/>
            </w:tcBorders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Параметр оценки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Балл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 xml:space="preserve">Отметка </w:t>
            </w: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Степень финансовой устойчивости проекта, предусмотренного бизнес-планом (возможность его финансирования с учетом заявленных средств (собственных, заемных), источников финансирования и условий предоставления заявленных средств (включая сроки, объемы и процентные ставки)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Финансирование (собственное и привлеченное) на 100% подтверждено выпиской со счетов, справкой об оборотах, годовой отчетностью. Заемное – кредитным договором, письмом из банка и т.п.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Финансирование (собственное и привлеченное) подтверждено частично (в размере более 70% от стоимости проекта)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7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Финансирование (собственное и привлеченное) подтверждено частично (в размере от 50% до 70% от стоимости проекта)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Финансирование (собственное и привлеченное) подтверждено частично (в размере от 30% до 50% от стоимости проекта)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Финансирование не подтверждено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2.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Отсутствие рисков реализации проекта, связанных с инициатором проекта и группой компаний, учредителями, в т.ч. рисков, связанных с деловой репутацией, правовых и т.д.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Рисков не выявлено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Выявлены умеренные риски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Выявлены существенные риски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Степень экологичности производства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Классы опасности производства и отходов производства</w:t>
            </w:r>
            <w:r w:rsidRPr="00F12CF7">
              <w:rPr>
                <w:kern w:val="0"/>
                <w:lang w:eastAsia="ru-RU"/>
              </w:rPr>
              <w:br/>
              <w:t>не выше IV-V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Классы опасности производства и отходов производства</w:t>
            </w:r>
            <w:r w:rsidRPr="00F12CF7">
              <w:rPr>
                <w:kern w:val="0"/>
                <w:lang w:eastAsia="ru-RU"/>
              </w:rPr>
              <w:br/>
              <w:t>не выше III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Классы опасности производства и/или отходов производства: I-II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4.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Значимость проекта для региона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Соответствие стратегии социально-экономического развития</w:t>
            </w:r>
            <w:r w:rsidRPr="00F12CF7">
              <w:rPr>
                <w:kern w:val="0"/>
                <w:lang w:eastAsia="ru-RU"/>
              </w:rPr>
              <w:br/>
              <w:t xml:space="preserve">до 2035 года 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Несоответствие проекта стратегиям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5.</w:t>
            </w: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Опыт реализации заявителем проектов в сфере деятельности, предусмотренной бизнес-планом проекта, с учетом их количества и объемов осуществленных инвестиций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Отсутствия опыта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6.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Уровень проработки маркетинговой стратегии, включая анализ рынка сбыта, конкурентных преимуществ и механизма продвижения производимых заявителем товаров (выполняемых работ, оказываемых услуг), предусмотренных бизнес-планом проекта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Наличие проработанной маркетинговой стратегии, содержащей анализ рынка сбыта, конкурентных преимуществ и механизма продвижения товаров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Маркетинговая стратегия проработана частично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Маркетинговая стратегия не проработана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7.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Наличие необходимой для обеспечения деятельности заявителя, предусмотренной бизнес-планом проекта, площадки для реализации проекта, а также инженерной, коммунальной, транспортной и иной инфраструктуры с учетом существующей загрузки мощностей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Площадка находится в распоряжении инициатора проекта,</w:t>
            </w:r>
            <w:r w:rsidRPr="00F12CF7">
              <w:rPr>
                <w:kern w:val="0"/>
                <w:lang w:eastAsia="ru-RU"/>
              </w:rPr>
              <w:br/>
              <w:t>ее состояние удовлетворяет требованиям проекта, полностью обеспечена инфраструктурой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Площадка не обеспечена необходимой инфраструктурой, недостающие объекты планируются к строительству, сроки</w:t>
            </w:r>
            <w:r w:rsidRPr="00F12CF7">
              <w:rPr>
                <w:kern w:val="0"/>
                <w:lang w:eastAsia="ru-RU"/>
              </w:rPr>
              <w:br/>
              <w:t>их строительства соответствуют требованиям и срокам реализации этапов проекта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Площадка не выбрана, либо сроки строительства инфраструктурных объектов не соответствуют требованиям и срокам реализации этапов проекта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8.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Наличие кадров с профессиональными знаниями и квалификацией, необходимыми</w:t>
            </w:r>
            <w:r w:rsidRPr="00F12CF7">
              <w:rPr>
                <w:kern w:val="0"/>
                <w:lang w:eastAsia="ru-RU"/>
              </w:rPr>
              <w:br/>
              <w:t>для реализации проекта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Наличие в полном объеме кадров с профессиональными знаниями и квалификацией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Отсутствие кадров с профессиональными знаниями и квалификацией, но при этом наличие проработанной стратегии привлечения кадровых ресурсов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Отсутствие кадров с профессиональными знаниями</w:t>
            </w:r>
            <w:r w:rsidRPr="00F12CF7">
              <w:rPr>
                <w:kern w:val="0"/>
                <w:lang w:eastAsia="ru-RU"/>
              </w:rPr>
              <w:br/>
              <w:t>и квалификацией, отсутствие проработанной стратегии привлечения кадровых ресурсов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right="-117"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9.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Создание рабочих мест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Создание рабочих мест, в том числе высококвалифицированные рабочие места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8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Сохранение рабочих мест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Сокращение рабочих мест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7371" w:type="dxa"/>
            <w:gridSpan w:val="2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Итоговая сумма баллов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ind w:right="-143"/>
        <w:jc w:val="right"/>
        <w:rPr>
          <w:kern w:val="0"/>
          <w:lang w:eastAsia="ru-RU"/>
        </w:rPr>
      </w:pPr>
      <w:r w:rsidRPr="00F12CF7">
        <w:rPr>
          <w:kern w:val="0"/>
          <w:lang w:eastAsia="ru-RU"/>
        </w:rPr>
        <w:t>Приложение № 2</w:t>
      </w:r>
    </w:p>
    <w:p w:rsidR="00F12CF7" w:rsidRPr="00F12CF7" w:rsidRDefault="00F12C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2968"/>
        </w:tabs>
        <w:suppressAutoHyphens w:val="0"/>
        <w:spacing w:after="160" w:line="259" w:lineRule="auto"/>
        <w:ind w:firstLine="0"/>
        <w:jc w:val="center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>ДОРОЖНАЯ КАРТА</w:t>
      </w:r>
    </w:p>
    <w:p w:rsidR="00F12CF7" w:rsidRPr="00F12CF7" w:rsidRDefault="00F12CF7" w:rsidP="00F12CF7">
      <w:pPr>
        <w:tabs>
          <w:tab w:val="left" w:pos="2968"/>
        </w:tabs>
        <w:suppressAutoHyphens w:val="0"/>
        <w:spacing w:after="160" w:line="259" w:lineRule="auto"/>
        <w:ind w:firstLine="0"/>
        <w:jc w:val="center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 xml:space="preserve"> по реализации инвестиционного проекта «__________________»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557"/>
        <w:gridCol w:w="3407"/>
        <w:gridCol w:w="1775"/>
        <w:gridCol w:w="1775"/>
        <w:gridCol w:w="1853"/>
      </w:tblGrid>
      <w:tr w:rsidR="00F12CF7" w:rsidRPr="00F12CF7" w:rsidTr="00C8385B">
        <w:tc>
          <w:tcPr>
            <w:tcW w:w="55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№</w:t>
            </w:r>
          </w:p>
        </w:tc>
        <w:tc>
          <w:tcPr>
            <w:tcW w:w="340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17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Ответственные</w:t>
            </w:r>
          </w:p>
        </w:tc>
        <w:tc>
          <w:tcPr>
            <w:tcW w:w="1775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 xml:space="preserve">Планируемые сроки проведения мероприятия </w:t>
            </w:r>
          </w:p>
        </w:tc>
        <w:tc>
          <w:tcPr>
            <w:tcW w:w="18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Результат работ</w:t>
            </w:r>
          </w:p>
        </w:tc>
      </w:tr>
      <w:tr w:rsidR="00F12CF7" w:rsidRPr="00F12CF7" w:rsidTr="00C8385B">
        <w:tc>
          <w:tcPr>
            <w:tcW w:w="55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1.</w:t>
            </w:r>
          </w:p>
        </w:tc>
        <w:tc>
          <w:tcPr>
            <w:tcW w:w="340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7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775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8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12CF7" w:rsidRPr="00F12CF7" w:rsidTr="00C8385B">
        <w:tc>
          <w:tcPr>
            <w:tcW w:w="55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…</w:t>
            </w:r>
          </w:p>
        </w:tc>
        <w:tc>
          <w:tcPr>
            <w:tcW w:w="340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7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775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8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  <w:r w:rsidRPr="00F12CF7">
        <w:rPr>
          <w:kern w:val="0"/>
          <w:lang w:eastAsia="ru-RU"/>
        </w:rPr>
        <w:t>Приложение № 3</w:t>
      </w:r>
    </w:p>
    <w:p w:rsidR="00F12CF7" w:rsidRPr="00F12CF7" w:rsidRDefault="00F12C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F12CF7" w:rsidRPr="00F12CF7" w:rsidRDefault="00F12CF7" w:rsidP="00F12CF7">
      <w:pPr>
        <w:suppressAutoHyphens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>Информация</w:t>
      </w:r>
    </w:p>
    <w:p w:rsidR="00F12CF7" w:rsidRPr="00F12CF7" w:rsidRDefault="00F12CF7" w:rsidP="00F12CF7">
      <w:pPr>
        <w:suppressAutoHyphens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>о ходе реализации инвестиционного проекта «___________________»</w:t>
      </w: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tbl>
      <w:tblPr>
        <w:tblStyle w:val="34"/>
        <w:tblW w:w="0" w:type="auto"/>
        <w:tblInd w:w="108" w:type="dxa"/>
        <w:tblLook w:val="04A0" w:firstRow="1" w:lastRow="0" w:firstColumn="1" w:lastColumn="0" w:noHBand="0" w:noVBand="1"/>
      </w:tblPr>
      <w:tblGrid>
        <w:gridCol w:w="454"/>
        <w:gridCol w:w="3176"/>
        <w:gridCol w:w="1644"/>
        <w:gridCol w:w="1984"/>
        <w:gridCol w:w="2381"/>
      </w:tblGrid>
      <w:tr w:rsidR="00F12CF7" w:rsidRPr="00F12CF7" w:rsidTr="008B02F7">
        <w:trPr>
          <w:trHeight w:val="470"/>
        </w:trPr>
        <w:tc>
          <w:tcPr>
            <w:tcW w:w="454" w:type="dxa"/>
            <w:vMerge w:val="restart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№</w:t>
            </w:r>
          </w:p>
        </w:tc>
        <w:tc>
          <w:tcPr>
            <w:tcW w:w="3176" w:type="dxa"/>
            <w:vMerge w:val="restart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6009" w:type="dxa"/>
            <w:gridSpan w:val="3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Ежеквартально</w:t>
            </w:r>
          </w:p>
        </w:tc>
      </w:tr>
      <w:tr w:rsidR="00F12CF7" w:rsidRPr="00F12CF7" w:rsidTr="008B02F7">
        <w:trPr>
          <w:trHeight w:val="288"/>
        </w:trPr>
        <w:tc>
          <w:tcPr>
            <w:tcW w:w="454" w:type="dxa"/>
            <w:vMerge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176" w:type="dxa"/>
            <w:vMerge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Инвестиции, млн. рублей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Кол-во созданных рабочих мест, ед.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Сумма налоговых поступлений в бюджеты всех уровней, млн. рублей</w:t>
            </w:r>
          </w:p>
        </w:tc>
      </w:tr>
      <w:tr w:rsidR="00F12CF7" w:rsidRPr="00F12CF7" w:rsidTr="008B02F7">
        <w:tc>
          <w:tcPr>
            <w:tcW w:w="454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1.</w:t>
            </w:r>
          </w:p>
        </w:tc>
        <w:tc>
          <w:tcPr>
            <w:tcW w:w="3176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644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2381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351857" w:rsidRPr="00F12CF7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F12CF7" w:rsidSect="00F12C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014133"/>
    <w:multiLevelType w:val="multilevel"/>
    <w:tmpl w:val="C2FCEE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3695A"/>
    <w:rsid w:val="00340920"/>
    <w:rsid w:val="00345E3E"/>
    <w:rsid w:val="003460CE"/>
    <w:rsid w:val="00347BCC"/>
    <w:rsid w:val="00351857"/>
    <w:rsid w:val="00352C36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4053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2F7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1C86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4B44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050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12CF7"/>
    <w:rsid w:val="00F202B2"/>
    <w:rsid w:val="00F26DEF"/>
    <w:rsid w:val="00F37CFA"/>
    <w:rsid w:val="00F422FB"/>
    <w:rsid w:val="00F4322F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5:docId w15:val="{8C9AA8C2-1435-421B-AB37-25140577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F1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vestch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143517&amp;dst=100373&amp;field=134&amp;date=29.07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43517&amp;dst=100373&amp;field=134&amp;date=29.07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762A-C37C-4583-B2D9-23EDC2F3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Начальник отдела экономики, земельных и имущественных отношений Янтиковского МО</cp:lastModifiedBy>
  <cp:revision>2</cp:revision>
  <cp:lastPrinted>2023-11-27T10:21:00Z</cp:lastPrinted>
  <dcterms:created xsi:type="dcterms:W3CDTF">2023-12-06T08:11:00Z</dcterms:created>
  <dcterms:modified xsi:type="dcterms:W3CDTF">2023-12-06T08:11:00Z</dcterms:modified>
</cp:coreProperties>
</file>