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Минэкономразвития России от 20.07.2020 N 435</w:t>
              <w:br/>
              <w:t xml:space="preserve">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финансами",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</w:t>
              <w:br/>
              <w:t xml:space="preserve">(Зарегистрировано в Минюсте России 20.08.2020 N 59344)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2020 г. N 59344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июля 2020 г. N 435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КОНКУРСНОЙ ЗАЯВКИ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ОБРАЗОВАНИЙ, ПРЕДСТАВЛЯЕМОЙ ДЛЯ УЧАСТИЯ</w:t>
      </w:r>
    </w:p>
    <w:p>
      <w:pPr>
        <w:pStyle w:val="2"/>
        <w:jc w:val="center"/>
      </w:pPr>
      <w:r>
        <w:rPr>
          <w:sz w:val="20"/>
        </w:rPr>
        <w:t xml:space="preserve">ВО ВСЕРОССИЙСКОМ КОНКУРСЕ "ЛУЧШАЯ МУНИЦИПАЛЬНАЯ ПРАКТИКА"</w:t>
      </w:r>
    </w:p>
    <w:p>
      <w:pPr>
        <w:pStyle w:val="2"/>
        <w:jc w:val="center"/>
      </w:pPr>
      <w:r>
        <w:rPr>
          <w:sz w:val="20"/>
        </w:rPr>
        <w:t xml:space="preserve">ПО НОМИНАЦИИ "МУНИЦИПАЛЬНАЯ ЭКОНОМИЧЕСКАЯ ПОЛИТИКА</w:t>
      </w:r>
    </w:p>
    <w:p>
      <w:pPr>
        <w:pStyle w:val="2"/>
        <w:jc w:val="center"/>
      </w:pPr>
      <w:r>
        <w:rPr>
          <w:sz w:val="20"/>
        </w:rPr>
        <w:t xml:space="preserve">И УПРАВЛЕНИЕ МУНИЦИПАЛЬНЫМИ ФИНАНСАМИ", И МЕТОДИКИ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ВО ВСЕРОССИЙСКОМ КОНКУРСЕ</w:t>
      </w:r>
    </w:p>
    <w:p>
      <w:pPr>
        <w:pStyle w:val="2"/>
        <w:jc w:val="center"/>
      </w:pPr>
      <w:r>
        <w:rPr>
          <w:sz w:val="20"/>
        </w:rPr>
        <w:t xml:space="preserve">"ЛУЧШАЯ МУНИЦИПАЛЬНАЯ ПРАКТИКА" ПО НОМИНАЦИИ</w:t>
      </w:r>
    </w:p>
    <w:p>
      <w:pPr>
        <w:pStyle w:val="2"/>
        <w:jc w:val="center"/>
      </w:pPr>
      <w:r>
        <w:rPr>
          <w:sz w:val="20"/>
        </w:rPr>
        <w:t xml:space="preserve">"МУНИЦИПАЛЬНАЯ ЭКОНОМИЧЕСКАЯ ПОЛИТИКА</w:t>
      </w:r>
    </w:p>
    <w:p>
      <w:pPr>
        <w:pStyle w:val="2"/>
        <w:jc w:val="center"/>
      </w:pPr>
      <w:r>
        <w:rPr>
          <w:sz w:val="20"/>
        </w:rPr>
        <w:t xml:space="preserve">И УПРАВЛЕНИЕ МУНИЦИПАЛЬНЫМИ ФИНАНСАМИ"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2020, N 23, ст. 3650),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w:history="0" w:anchor="P40" w:tooltip="                             Конкурсная заявка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w:history="0" w:anchor="P746" w:tooltip="МЕТОДИКА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экономразвития России от 09.12.2016 N 798 &quot;Об утверждении формы конкурсной заявки муниципальных образований, представляемой для участия во Всероссийском конкурсе &quot;Лучшая муниципальная практика&quot; по номинации &quot;муниципальная экономическая политика и управление муниципальными финансами&quot;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муниципальная экономическая политика и управление муници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Минэкономразвития России от 9 декабря 2016 г. N 798 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(зарегистрирован Минюстом России 11 января 2017 г., регистрационный N 45158).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декабря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М.Г.РЕШЕТНИКОВ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20.07.2020 N 435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1"/>
        <w:jc w:val="both"/>
      </w:pPr>
      <w:r>
        <w:rPr>
          <w:sz w:val="20"/>
        </w:rPr>
        <w:t xml:space="preserve">                             Конкурсная заявка</w:t>
      </w:r>
    </w:p>
    <w:p>
      <w:pPr>
        <w:pStyle w:val="1"/>
        <w:jc w:val="both"/>
      </w:pPr>
      <w:r>
        <w:rPr>
          <w:sz w:val="20"/>
        </w:rPr>
        <w:t xml:space="preserve">           муниципальных образований, представляемая для участия</w:t>
      </w:r>
    </w:p>
    <w:p>
      <w:pPr>
        <w:pStyle w:val="1"/>
        <w:jc w:val="both"/>
      </w:pPr>
      <w:r>
        <w:rPr>
          <w:sz w:val="20"/>
        </w:rPr>
        <w:t xml:space="preserve">         во Всероссийском конкурсе "Лучшая муниципальная практика"</w:t>
      </w:r>
    </w:p>
    <w:p>
      <w:pPr>
        <w:pStyle w:val="1"/>
        <w:jc w:val="both"/>
      </w:pPr>
      <w:r>
        <w:rPr>
          <w:sz w:val="20"/>
        </w:rPr>
        <w:t xml:space="preserve">            по номинации "муниципальная экономическая политика</w:t>
      </w:r>
    </w:p>
    <w:p>
      <w:pPr>
        <w:pStyle w:val="1"/>
        <w:jc w:val="both"/>
      </w:pPr>
      <w:r>
        <w:rPr>
          <w:sz w:val="20"/>
        </w:rPr>
        <w:t xml:space="preserve">                  и управление муниципальными финансами"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городского округа (городского округа с внутригородским</w:t>
      </w:r>
    </w:p>
    <w:p>
      <w:pPr>
        <w:pStyle w:val="1"/>
        <w:jc w:val="both"/>
      </w:pPr>
      <w:r>
        <w:rPr>
          <w:sz w:val="20"/>
        </w:rPr>
        <w:t xml:space="preserve">          делением)/городского поселения/сельского поселения) </w:t>
      </w:r>
      <w:hyperlink w:history="0" w:anchor="P721" w:tooltip="&lt;1&gt; Для городского поселения, сельского поселения также указывается наименование муниципального района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 категории) </w:t>
      </w:r>
      <w:hyperlink w:history="0" w:anchor="P722" w:tooltip="&lt;2&gt; В зависимости от вида категории муниципального образования указывается &quot;городские округа (городские округа с внутригородским делением) и городские поселения&quot;; &quot;сельские поселения&quot;).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6746"/>
        <w:gridCol w:w="164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сведений </w:t>
            </w:r>
            <w:hyperlink w:history="0" w:anchor="P723" w:tooltip="&lt;3&gt; Не заполняется при отсутствии соответствующих сведений в отношении позиций 5 - 9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на 1 января года, соответствующего году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bookmarkStart w:id="74" w:name="P74"/>
          <w:bookmarkEnd w:id="74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Объем муниципального долга, тыс. рублей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Объем дефицита (профицита) бюджета муниципального образования, тыс. рублей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объема дефицита (профицита)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bookmarkStart w:id="98" w:name="P98"/>
          <w:bookmarkEnd w:id="98"/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Объем кредиторской задолженности муниципального образования, тыс. рублей</w:t>
            </w:r>
          </w:p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том числе просроченной кредиторской задолженности: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1"/>
        <w:jc w:val="both"/>
      </w:pPr>
      <w:r>
        <w:rPr>
          <w:sz w:val="20"/>
        </w:rPr>
        <w:t xml:space="preserve">           Раздел I. Описание практик муниципального образования</w:t>
      </w:r>
    </w:p>
    <w:p>
      <w:pPr>
        <w:pStyle w:val="1"/>
        <w:jc w:val="both"/>
      </w:pPr>
      <w:r>
        <w:rPr>
          <w:sz w:val="20"/>
        </w:rPr>
      </w:r>
    </w:p>
    <w:bookmarkStart w:id="113" w:name="P113"/>
    <w:bookmarkEnd w:id="113"/>
    <w:p>
      <w:pPr>
        <w:pStyle w:val="1"/>
        <w:jc w:val="both"/>
      </w:pPr>
      <w:r>
        <w:rPr>
          <w:sz w:val="20"/>
        </w:rPr>
        <w:t xml:space="preserve">         Подраздел I. Практика муниципального образования в сфере</w:t>
      </w:r>
    </w:p>
    <w:p>
      <w:pPr>
        <w:pStyle w:val="1"/>
        <w:jc w:val="both"/>
      </w:pPr>
      <w:r>
        <w:rPr>
          <w:sz w:val="20"/>
        </w:rPr>
        <w:t xml:space="preserve">                  "муниципальная экономическая политика"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293"/>
        <w:gridCol w:w="1984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направления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Описание муниципальной практики по одному из следующих направлений: система стратегического управления; развитие муниципально-частного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history="0" w:anchor="P158" w:tooltip="раздел II &quot;Управление муниципальными финансами&quot;">
              <w:r>
                <w:rPr>
                  <w:sz w:val="20"/>
                  <w:color w:val="0000ff"/>
                </w:rPr>
                <w:t xml:space="preserve">разделом II</w:t>
              </w:r>
            </w:hyperlink>
            <w:r>
              <w:rPr>
                <w:sz w:val="20"/>
              </w:rPr>
              <w:t xml:space="preserve"> "Управление муниципальными финансами" и </w:t>
            </w:r>
            <w:hyperlink w:history="0" w:anchor="P460" w:tooltip="раздел III &quot;Муниципальная экономическая политика&quot;">
              <w:r>
                <w:rPr>
                  <w:sz w:val="20"/>
                  <w:color w:val="0000ff"/>
                </w:rPr>
                <w:t xml:space="preserve">разделом III</w:t>
              </w:r>
            </w:hyperlink>
            <w:r>
              <w:rPr>
                <w:sz w:val="20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Презентационные материалы (не более 10 слайдов)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32" w:name="P132"/>
    <w:bookmarkEnd w:id="132"/>
    <w:p>
      <w:pPr>
        <w:pStyle w:val="1"/>
        <w:jc w:val="both"/>
      </w:pPr>
      <w:r>
        <w:rPr>
          <w:sz w:val="20"/>
        </w:rPr>
        <w:t xml:space="preserve">             Подраздел II. Практика муниципального образования</w:t>
      </w:r>
    </w:p>
    <w:p>
      <w:pPr>
        <w:pStyle w:val="1"/>
        <w:jc w:val="both"/>
      </w:pPr>
      <w:r>
        <w:rPr>
          <w:sz w:val="20"/>
        </w:rPr>
        <w:t xml:space="preserve">               в сфере "управление муниципальными финансами"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293"/>
        <w:gridCol w:w="1984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направления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Описание муниципальной практики по одному из следующих направлений: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history="0" w:anchor="P158" w:tooltip="раздел II &quot;Управление муниципальными финансами&quot;">
              <w:r>
                <w:rPr>
                  <w:sz w:val="20"/>
                  <w:color w:val="0000ff"/>
                </w:rPr>
                <w:t xml:space="preserve">разделом II</w:t>
              </w:r>
            </w:hyperlink>
            <w:r>
              <w:rPr>
                <w:sz w:val="20"/>
              </w:rPr>
              <w:t xml:space="preserve"> "Управление муниципальными финансами" и </w:t>
            </w:r>
            <w:hyperlink w:history="0" w:anchor="P460" w:tooltip="раздел III &quot;Муниципальная экономическая политика&quot;">
              <w:r>
                <w:rPr>
                  <w:sz w:val="20"/>
                  <w:color w:val="0000ff"/>
                </w:rPr>
                <w:t xml:space="preserve">разделом III</w:t>
              </w:r>
            </w:hyperlink>
            <w:r>
              <w:rPr>
                <w:sz w:val="20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Презентационные материалы (не более 10 слайдов)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Показатели, характеризующие деятельность</w:t>
      </w:r>
    </w:p>
    <w:p>
      <w:pPr>
        <w:pStyle w:val="1"/>
        <w:jc w:val="both"/>
      </w:pPr>
      <w:r>
        <w:rPr>
          <w:sz w:val="20"/>
        </w:rPr>
        <w:t xml:space="preserve">                      органа местного самоуправления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6"/>
        <w:gridCol w:w="1134"/>
        <w:gridCol w:w="107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Исходные данные </w:t>
            </w:r>
            <w:hyperlink w:history="0" w:anchor="P724" w:tooltip="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</w:t>
            </w:r>
            <w:hyperlink w:history="0" w:anchor="P724" w:tooltip="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gridSpan w:val="4"/>
            <w:tcW w:w="9071" w:type="dxa"/>
          </w:tcPr>
          <w:bookmarkStart w:id="158" w:name="P158"/>
          <w:bookmarkEnd w:id="158"/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раздел II "Управление муниципальными финансами"</w:t>
            </w:r>
          </w:p>
        </w:tc>
      </w:tr>
      <w:tr>
        <w:tc>
          <w:tcPr>
            <w:gridSpan w:val="4"/>
            <w:tcW w:w="9071" w:type="dxa"/>
          </w:tcPr>
          <w:bookmarkStart w:id="159" w:name="P159"/>
          <w:bookmarkEnd w:id="159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 Показатели, характеризующие качество управления бюджетными доходами и расходами</w:t>
            </w:r>
          </w:p>
        </w:tc>
      </w:tr>
      <w:tr>
        <w:tc>
          <w:tcPr>
            <w:tcW w:w="624" w:type="dxa"/>
            <w:vAlign w:val="center"/>
          </w:tcPr>
          <w:bookmarkStart w:id="160" w:name="P160"/>
          <w:bookmarkEnd w:id="160"/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3114675" cy="2571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11i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</w:t>
            </w:r>
            <w:r>
              <w:rPr>
                <w:sz w:val="20"/>
              </w:rPr>
              <w:t xml:space="preserve">; A</w:t>
            </w:r>
            <w:r>
              <w:rPr>
                <w:sz w:val="20"/>
                <w:vertAlign w:val="subscript"/>
              </w:rPr>
              <w:t xml:space="preserve">in-1</w:t>
            </w:r>
            <w:r>
              <w:rPr>
                <w:sz w:val="20"/>
              </w:rPr>
              <w:t xml:space="preserve">; A</w:t>
            </w:r>
            <w:r>
              <w:rPr>
                <w:sz w:val="20"/>
                <w:vertAlign w:val="subscript"/>
              </w:rPr>
              <w:t xml:space="preserve">in-2</w:t>
            </w:r>
            <w:r>
              <w:rPr>
                <w:sz w:val="20"/>
              </w:rPr>
              <w:t xml:space="preserve">; A</w:t>
            </w:r>
            <w:r>
              <w:rPr>
                <w:sz w:val="20"/>
                <w:vertAlign w:val="subscript"/>
              </w:rPr>
              <w:t xml:space="preserve">in-3</w:t>
            </w:r>
            <w:r>
              <w:rPr>
                <w:sz w:val="20"/>
              </w:rPr>
              <w:t xml:space="preserve"> - объем налоговых доходов бюджета i-го муниципального образования, поступивших по единым нормативам отчислений, установленным Бюджетным </w:t>
            </w:r>
            <w:hyperlink w:history="0" r:id="rId10" w:tooltip="&quot;Бюджетный кодекс Российской Федерации&quot; от 31.07.1998 N 145-ФЗ (ред. от 28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 (Собрание законодательства Российской Федерации, 1998, N 31, ст. 3823; 2020, N 24, ст. 3747), соответственно, в ____ г., ____ г., ____ г. и ____ г.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in-1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in-2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in-3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12i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12i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3114675" cy="2571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13i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</w:t>
            </w:r>
            <w:r>
              <w:rPr>
                <w:sz w:val="20"/>
              </w:rPr>
              <w:t xml:space="preserve">; A</w:t>
            </w:r>
            <w:r>
              <w:rPr>
                <w:sz w:val="20"/>
                <w:vertAlign w:val="subscript"/>
              </w:rPr>
              <w:t xml:space="preserve">in-1</w:t>
            </w:r>
            <w:r>
              <w:rPr>
                <w:sz w:val="20"/>
              </w:rPr>
              <w:t xml:space="preserve">; A</w:t>
            </w:r>
            <w:r>
              <w:rPr>
                <w:sz w:val="20"/>
                <w:vertAlign w:val="subscript"/>
              </w:rPr>
              <w:t xml:space="preserve">in-2</w:t>
            </w:r>
            <w:r>
              <w:rPr>
                <w:sz w:val="20"/>
              </w:rPr>
              <w:t xml:space="preserve">; A</w:t>
            </w:r>
            <w:r>
              <w:rPr>
                <w:sz w:val="20"/>
                <w:vertAlign w:val="subscript"/>
              </w:rPr>
              <w:t xml:space="preserve">in-3</w:t>
            </w:r>
            <w:r>
              <w:rPr>
                <w:sz w:val="20"/>
              </w:rPr>
              <w:t xml:space="preserve"> - объем неналоговых доходов бюджета i-го муниципального образования, поступивших в бюджет муниципального образования, соответственно, в ____ г., ____ г., ____ г. и ____ г.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in-1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in-2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in-3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198" w:name="P198"/>
          <w:bookmarkEnd w:id="198"/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14i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14i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10" w:name="P210"/>
          <w:bookmarkEnd w:id="210"/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15i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15i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22" w:name="P222"/>
          <w:bookmarkEnd w:id="222"/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16i</w:t>
            </w:r>
            <w:r>
              <w:rPr>
                <w:sz w:val="20"/>
              </w:rPr>
              <w:t xml:space="preserve"> = (A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) / (C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D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),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16i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C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среднемесячная начисленная заработная плата по полному кругу организаций по i-му муниципальному образованию в среднем за отчетный финансовый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D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среднемесячная начисленная заработная плата по полному кругу организаций по i-му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C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D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38" w:name="P238"/>
          <w:bookmarkEnd w:id="238"/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17i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17i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субсидий, предоставленных из бюджета i-го 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50" w:name="P250"/>
          <w:bookmarkEnd w:id="250"/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средств самообложения граждан и (или) инициативного бюджетирования в объеме собственных доходов местного бюджета,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18i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18i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средств самообложения граждан и (или) инициативного бюджетирования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62" w:name="P262"/>
          <w:bookmarkEnd w:id="262"/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объема расходных обязательств муниципального образования, не связанных с решением вопросов местного значения и исполнением полномочий по указанным вопросам, к объему расходных обязательств по вопросам местного значения </w:t>
            </w:r>
            <w:hyperlink w:history="0" w:anchor="P725" w:tooltip="&lt;5&gt; Информация из реестра расходных обязательств муниципального образования, предусмотренного статьей 87 Бюджетного кодекса Российской Федерации (Собрание законодательства Российской Федерации, 1998, N 31, ст. 3823; 2019, N 31, ст. 4466)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19i</w:t>
            </w:r>
            <w:r>
              <w:rPr>
                <w:sz w:val="20"/>
              </w:rPr>
              <w:t xml:space="preserve"> = (A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) /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19i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Ai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Bi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 (без учета объема расходных обязательств, осуществляемых за счет субвенций)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74" w:name="P274"/>
          <w:bookmarkEnd w:id="274"/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недополученных доходов по местным налогам в результате действия налоговых льгот, установленных представительным органом местного самоуправления муниципального образования в соответствии с Налоговым </w:t>
            </w:r>
            <w:hyperlink w:history="0" r:id="rId12" w:tooltip="&quot;Налоговый кодекс Российской Федерации (часть первая)&quot; от 31.07.1998 N 146-ФЗ (ред. от 18.03.2023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 (Собрание законодательства Российской Федерации, 1998, N 31, ст. 3824; 2020, N 14, ст. 2032), к общему объему поступлений по местным налогам,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110i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110i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Ai - объем недополученных доходов по местным налогам в результате действия налоговых льгот, установленных представительными органами местного самоуправления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Bi - общий объем доходов от поступлений по местным налогам в i-м муниципальном образовании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86" w:name="P286"/>
          <w:bookmarkEnd w:id="286"/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Эффективность управления финансовыми вложениями, осуществляемыми за счет средств местного бюджета,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111i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111i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Ai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i-му муниципальному образованию,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Bi - балансовая стоимость акций, находящихся в собственности i-го муниципального образования, и иных форм участия в капитале хозяйственных товариществ и обществ на начало отчетного финансового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298" w:name="P298"/>
          <w:bookmarkEnd w:id="298"/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организациями, в общем объеме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112i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112i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Ai - объем расходов бюджета i-го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Bi - расходы бюджета i-го муниципального образования на финансовое обеспечение предоставления услуг в сфере образования, культуры, физической культуры и спорта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310" w:name="P310"/>
          <w:bookmarkEnd w:id="310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2. Показатели, характеризующие качество управления муниципальным долгом </w:t>
            </w:r>
            <w:hyperlink w:history="0" w:anchor="P726" w:tooltip="&lt;6&gt; В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показателей 2.1 - 2.4 устанавливаются равными 1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624" w:type="dxa"/>
            <w:vAlign w:val="center"/>
          </w:tcPr>
          <w:bookmarkStart w:id="311" w:name="P311"/>
          <w:bookmarkEnd w:id="311"/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21i</w:t>
            </w:r>
            <w:r>
              <w:rPr>
                <w:sz w:val="20"/>
              </w:rPr>
              <w:t xml:space="preserve"> = (A</w:t>
            </w:r>
            <w:r>
              <w:rPr>
                <w:sz w:val="20"/>
                <w:vertAlign w:val="subscript"/>
              </w:rPr>
              <w:t xml:space="preserve">maxi</w:t>
            </w:r>
            <w:r>
              <w:rPr>
                <w:sz w:val="20"/>
              </w:rPr>
              <w:t xml:space="preserve"> - A</w:t>
            </w:r>
            <w:r>
              <w:rPr>
                <w:sz w:val="20"/>
                <w:vertAlign w:val="subscript"/>
              </w:rPr>
              <w:t xml:space="preserve">mini</w:t>
            </w:r>
            <w:r>
              <w:rPr>
                <w:sz w:val="20"/>
              </w:rPr>
              <w:t xml:space="preserve">) / A</w:t>
            </w:r>
            <w:r>
              <w:rPr>
                <w:sz w:val="20"/>
                <w:vertAlign w:val="subscript"/>
              </w:rPr>
              <w:t xml:space="preserve">si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21i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maxi</w:t>
            </w:r>
            <w:r>
              <w:rPr>
                <w:sz w:val="20"/>
              </w:rP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mini</w:t>
            </w:r>
            <w:r>
              <w:rPr>
                <w:sz w:val="20"/>
              </w:rP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si</w:t>
            </w:r>
            <w:r>
              <w:rPr>
                <w:sz w:val="20"/>
              </w:rP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maxi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mini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si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25" w:name="P325"/>
          <w:bookmarkEnd w:id="325"/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22i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22i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37" w:name="P337"/>
          <w:bookmarkEnd w:id="337"/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Объем просроченной задолженности по долговым обязательствам муниципального образования, тыс. руб. </w:t>
            </w:r>
            <w:hyperlink w:history="0" w:anchor="P727" w:tooltip="&lt;7&gt; Указывается источник информации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41" w:name="P341"/>
          <w:bookmarkEnd w:id="341"/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24i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24i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353" w:name="P353"/>
          <w:bookmarkEnd w:id="353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3. Показатели, характеризующие качество бюджетного планирования и исполнения бюджета</w:t>
            </w:r>
          </w:p>
        </w:tc>
      </w:tr>
      <w:tr>
        <w:tc>
          <w:tcPr>
            <w:tcW w:w="624" w:type="dxa"/>
            <w:vAlign w:val="center"/>
          </w:tcPr>
          <w:bookmarkStart w:id="354" w:name="P354"/>
          <w:bookmarkEnd w:id="354"/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58" w:name="P358"/>
          <w:bookmarkEnd w:id="358"/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поступивших доходов бюджета муниципального образования по доходам без учета безвозмездных поступлений от бюджетов бюджетной системы Российской Федерации к объему доходов, первоначально утвержденному решением о местном бюджете,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32i</w:t>
            </w:r>
            <w:r>
              <w:rPr>
                <w:sz w:val="20"/>
              </w:rPr>
              <w:t xml:space="preserve"> = |A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|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32i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Ai - объем доходов, поступивших в бюджет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Bi - первоначально утвержденный решением о бюджете i-го муниципального образования объем доходов местного бюджета на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70" w:name="P370"/>
          <w:bookmarkEnd w:id="370"/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Исполнение бюджета муниципального образования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33i</w:t>
            </w:r>
            <w:r>
              <w:rPr>
                <w:sz w:val="20"/>
              </w:rPr>
              <w:t xml:space="preserve"> = |A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|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33i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82" w:name="P382"/>
          <w:bookmarkEnd w:id="382"/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w:history="0" w:anchor="P729" w:tooltip="&lt;9&gt; При расчете показателя используются данные из отчетов об исполнении местного бюджета за I, II, III кварталы отчетного финансового года и годового отчета об исполнении местного бюджета за отчетный финансовый год.">
              <w:r>
                <w:rPr>
                  <w:sz w:val="20"/>
                  <w:color w:val="0000ff"/>
                </w:rPr>
                <w:t xml:space="preserve">&lt;9&gt;</w:t>
              </w:r>
            </w:hyperlink>
            <w:r>
              <w:rPr>
                <w:sz w:val="20"/>
              </w:rPr>
              <w:t xml:space="preserve">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34i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4i</w:t>
            </w:r>
            <w:r>
              <w:rPr>
                <w:sz w:val="20"/>
              </w:rPr>
              <w:t xml:space="preserve"> / ((A</w:t>
            </w:r>
            <w:r>
              <w:rPr>
                <w:sz w:val="20"/>
                <w:vertAlign w:val="subscript"/>
              </w:rPr>
              <w:t xml:space="preserve">3i</w:t>
            </w:r>
            <w:r>
              <w:rPr>
                <w:sz w:val="20"/>
              </w:rPr>
              <w:t xml:space="preserve"> + A</w:t>
            </w:r>
            <w:r>
              <w:rPr>
                <w:sz w:val="20"/>
                <w:vertAlign w:val="subscript"/>
              </w:rPr>
              <w:t xml:space="preserve">2i</w:t>
            </w:r>
            <w:r>
              <w:rPr>
                <w:sz w:val="20"/>
              </w:rPr>
              <w:t xml:space="preserve"> + A</w:t>
            </w:r>
            <w:r>
              <w:rPr>
                <w:sz w:val="20"/>
                <w:vertAlign w:val="subscript"/>
              </w:rPr>
              <w:t xml:space="preserve">1i</w:t>
            </w:r>
            <w:r>
              <w:rPr>
                <w:sz w:val="20"/>
              </w:rPr>
              <w:t xml:space="preserve">) / 3),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34i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1i</w:t>
            </w:r>
            <w:r>
              <w:rPr>
                <w:sz w:val="20"/>
              </w:rPr>
              <w:t xml:space="preserve">, A</w:t>
            </w:r>
            <w:r>
              <w:rPr>
                <w:sz w:val="20"/>
                <w:vertAlign w:val="subscript"/>
              </w:rPr>
              <w:t xml:space="preserve">2i</w:t>
            </w:r>
            <w:r>
              <w:rPr>
                <w:sz w:val="20"/>
              </w:rPr>
              <w:t xml:space="preserve">, A</w:t>
            </w:r>
            <w:r>
              <w:rPr>
                <w:sz w:val="20"/>
                <w:vertAlign w:val="subscript"/>
              </w:rPr>
              <w:t xml:space="preserve">3i</w:t>
            </w:r>
            <w:r>
              <w:rPr>
                <w:sz w:val="20"/>
              </w:rPr>
              <w:t xml:space="preserve">, A</w:t>
            </w:r>
            <w:r>
              <w:rPr>
                <w:sz w:val="20"/>
                <w:vertAlign w:val="subscript"/>
              </w:rPr>
              <w:t xml:space="preserve">4i</w:t>
            </w:r>
            <w:r>
              <w:rPr>
                <w:sz w:val="20"/>
              </w:rP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1i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2i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3i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4i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95" w:name="P395"/>
          <w:bookmarkEnd w:id="395"/>
          <w:p>
            <w:pPr>
              <w:pStyle w:val="0"/>
              <w:jc w:val="center"/>
            </w:pPr>
            <w:r>
              <w:rPr>
                <w:sz w:val="20"/>
              </w:rPr>
              <w:t xml:space="preserve">3.5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399" w:name="P399"/>
          <w:bookmarkEnd w:id="399"/>
          <w:p>
            <w:pPr>
              <w:pStyle w:val="0"/>
              <w:jc w:val="center"/>
            </w:pPr>
            <w:r>
              <w:rPr>
                <w:sz w:val="20"/>
              </w:rPr>
              <w:t xml:space="preserve">3.6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403" w:name="P403"/>
          <w:bookmarkEnd w:id="403"/>
          <w:p>
            <w:pPr>
              <w:pStyle w:val="0"/>
              <w:jc w:val="center"/>
            </w:pPr>
            <w:r>
              <w:rPr>
                <w:sz w:val="20"/>
              </w:rPr>
              <w:t xml:space="preserve">3.7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</w:t>
            </w:r>
            <w:r>
              <w:rPr>
                <w:sz w:val="20"/>
              </w:rPr>
              <w:t xml:space="preserve">www.bus.gov.ru</w:t>
            </w:r>
            <w:r>
              <w:rPr>
                <w:sz w:val="20"/>
              </w:rPr>
              <w:t xml:space="preserve"> в информационно-телекоммуникационной сети "Интернет" (далее - Интернет),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37i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37i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количество муниципальных учреждений i-го муниципального образования, информация о результатах деятельности которых размещена на официальном сайте </w:t>
            </w:r>
            <w:r>
              <w:rPr>
                <w:sz w:val="20"/>
              </w:rPr>
              <w:t xml:space="preserve">www.bus.gov.ru</w:t>
            </w:r>
            <w:r>
              <w:rPr>
                <w:sz w:val="20"/>
              </w:rPr>
              <w:t xml:space="preserve"> в Интернете;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415" w:name="P415"/>
          <w:bookmarkEnd w:id="415"/>
          <w:p>
            <w:pPr>
              <w:pStyle w:val="0"/>
              <w:jc w:val="center"/>
            </w:pPr>
            <w:r>
              <w:rPr>
                <w:sz w:val="20"/>
              </w:rPr>
              <w:t xml:space="preserve">3.8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инфографики)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419" w:name="P419"/>
          <w:bookmarkEnd w:id="419"/>
          <w:p>
            <w:pPr>
              <w:pStyle w:val="0"/>
              <w:jc w:val="center"/>
            </w:pPr>
            <w:r>
              <w:rPr>
                <w:sz w:val="20"/>
              </w:rPr>
              <w:t xml:space="preserve">3.9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Проведение оценки качества финансового менеджмента главных распорядителей средств бюджета муниципального образования и формирование их ежегодного рейтинга на основе методики, утвержденной муниципальным правовым актом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23" w:name="P423"/>
          <w:bookmarkEnd w:id="423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4. Показатели, характеризующие кадровый состав финансового органа муниципального образования</w:t>
            </w:r>
          </w:p>
        </w:tc>
      </w:tr>
      <w:tr>
        <w:tc>
          <w:tcPr>
            <w:tcW w:w="624" w:type="dxa"/>
            <w:vAlign w:val="center"/>
          </w:tcPr>
          <w:bookmarkStart w:id="424" w:name="P424"/>
          <w:bookmarkEnd w:id="424"/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41i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41i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42i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42i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bookmarkStart w:id="448" w:name="P448"/>
          <w:bookmarkEnd w:id="448"/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сотрудников, работающих в финансовом органе муниципального образования более 3 лет,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43i</w:t>
            </w:r>
            <w:r>
              <w:rPr>
                <w:sz w:val="20"/>
              </w:rPr>
              <w:t xml:space="preserve"> = 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43i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количество на 1 января текущего года сотрудников финансового органа, работающих в финансовом органе более 3 лет;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60" w:name="P460"/>
          <w:bookmarkEnd w:id="460"/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раздел III "Муниципальная экономическая политика"</w:t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61" w:name="P461"/>
          <w:bookmarkEnd w:id="461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</w:tr>
      <w:tr>
        <w:tc>
          <w:tcPr>
            <w:tcW w:w="624" w:type="dxa"/>
          </w:tcPr>
          <w:bookmarkStart w:id="462" w:name="P462"/>
          <w:bookmarkEnd w:id="462"/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плана мероприятий по реализации стратегии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478" w:name="P478"/>
          <w:bookmarkEnd w:id="478"/>
          <w:p>
            <w:pPr>
              <w:pStyle w:val="0"/>
              <w:jc w:val="center"/>
            </w:pPr>
            <w:r>
              <w:rPr>
                <w:sz w:val="20"/>
              </w:rPr>
              <w:t xml:space="preserve">5.5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82" w:name="P482"/>
          <w:bookmarkEnd w:id="482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6. Показатели, характеризующие лучшее муниципальное образование по уровню развития муниципально-частного партнерства (МЧП) и опыту реализации проектов МЧП в социальной сфере</w:t>
            </w:r>
          </w:p>
        </w:tc>
      </w:tr>
      <w:tr>
        <w:tc>
          <w:tcPr>
            <w:tcW w:w="624" w:type="dxa"/>
          </w:tcPr>
          <w:bookmarkStart w:id="483" w:name="P483"/>
          <w:bookmarkEnd w:id="483"/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в органах местного самоуправления специалистов, ранее участвующих в рассмотрении и реализации проектов МЧП </w:t>
            </w:r>
            <w:hyperlink w:history="0" w:anchor="P731" w:tooltip="&lt;11&gt; Указывается информация в формате &quot;да/(нет)&quot;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">
              <w:r>
                <w:rPr>
                  <w:sz w:val="20"/>
                  <w:color w:val="0000ff"/>
                </w:rPr>
                <w:t xml:space="preserve">&lt;11&gt;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495" w:name="P495"/>
          <w:bookmarkEnd w:id="495"/>
          <w:p>
            <w:pPr>
              <w:pStyle w:val="0"/>
              <w:jc w:val="center"/>
            </w:pPr>
            <w:r>
              <w:rPr>
                <w:sz w:val="20"/>
              </w:rPr>
              <w:t xml:space="preserve">6.4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льготных условий (налоговые льготы, иные меры поддержки частных партнеров)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Опыт реализации проектов МЧП в муниципальном образовании </w:t>
            </w:r>
            <w:hyperlink w:history="0" w:anchor="P732" w:tooltip="&lt;12&gt; Сведения предоставляются не более чем по 5 проектам, отдельно по каждому проекту.">
              <w:r>
                <w:rPr>
                  <w:sz w:val="20"/>
                  <w:color w:val="0000ff"/>
                </w:rPr>
                <w:t xml:space="preserve">&lt;12&gt;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03" w:name="P503"/>
          <w:bookmarkEnd w:id="503"/>
          <w:p>
            <w:pPr>
              <w:pStyle w:val="0"/>
              <w:jc w:val="center"/>
            </w:pPr>
            <w:r>
              <w:rPr>
                <w:sz w:val="20"/>
              </w:rPr>
              <w:t xml:space="preserve">6.5.1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Проект реализуется на основании Федерального </w:t>
            </w:r>
            <w:hyperlink w:history="0" r:id="rId13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2019 N 30, ст. 4140) или Федерального </w:t>
            </w:r>
            <w:hyperlink w:history="0" r:id="rId14" w:tooltip="Федеральный закон от 21.07.2005 N 115-ФЗ (ред. от 29.12.2022) &quot;О концессионных соглашениях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21 июля 2005 г. N 115-ФЗ "О концессионных соглашениях" (Собрание законодательства Российской Федерации, 2005, N 30, ст. 3126; 2018, N 53, ст. 8451) </w:t>
            </w:r>
            <w:hyperlink w:history="0" w:anchor="P733" w:tooltip="&lt;13&gt; Указывается информация в формате &quot;да/(нет)&quot;, в случае отрицательного ответа приводятся реквизиты правового акта муниципального образования.">
              <w:r>
                <w:rPr>
                  <w:sz w:val="20"/>
                  <w:color w:val="0000ff"/>
                </w:rPr>
                <w:t xml:space="preserve">&lt;13&gt;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07" w:name="P507"/>
          <w:bookmarkEnd w:id="507"/>
          <w:p>
            <w:pPr>
              <w:pStyle w:val="0"/>
              <w:jc w:val="center"/>
            </w:pPr>
            <w:r>
              <w:rPr>
                <w:sz w:val="20"/>
              </w:rPr>
              <w:t xml:space="preserve">6.5.2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Стадия реализации проекта МЧП: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эксплуатация;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строительство и (или) реконструкция (ремонт);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финансовое и коммерческое закрытие;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конкурсные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принято решение о заключении соглашения о реализации проекта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16" w:name="P516"/>
          <w:bookmarkEnd w:id="516"/>
          <w:p>
            <w:pPr>
              <w:pStyle w:val="0"/>
              <w:jc w:val="center"/>
            </w:pPr>
            <w:r>
              <w:rPr>
                <w:sz w:val="20"/>
              </w:rPr>
              <w:t xml:space="preserve">6.5.3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частных инвестиций в общей стоимости проекта МЧП, %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20" w:name="P520"/>
          <w:bookmarkEnd w:id="520"/>
          <w:p>
            <w:pPr>
              <w:pStyle w:val="0"/>
              <w:jc w:val="center"/>
            </w:pPr>
            <w:r>
              <w:rPr>
                <w:sz w:val="20"/>
              </w:rPr>
              <w:t xml:space="preserve">6.5.4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Срок реализации проекта МЧП (срок действия КС)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524" w:name="P524"/>
          <w:bookmarkEnd w:id="524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>
        <w:tc>
          <w:tcPr>
            <w:tcW w:w="624" w:type="dxa"/>
          </w:tcPr>
          <w:bookmarkStart w:id="525" w:name="P525"/>
          <w:bookmarkEnd w:id="525"/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16 - 65 лет, женщины 16 - 60 лет), рассчитываемое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71i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занят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эк. актив.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71i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занят</w:t>
            </w:r>
            <w:r>
              <w:rPr>
                <w:sz w:val="20"/>
              </w:rPr>
              <w:t xml:space="preserve"> - число занятых в экономике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эк. актив.</w:t>
            </w:r>
            <w:r>
              <w:rPr>
                <w:sz w:val="20"/>
              </w:rPr>
              <w:t xml:space="preserve"> - численность населения муниципального образования в трудоспособном возрасте (мужчины 16 - 65 лет, женщины 16 - 60 лет)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занят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эк. актив.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37" w:name="P537"/>
          <w:bookmarkEnd w:id="537"/>
          <w:p>
            <w:pPr>
              <w:pStyle w:val="0"/>
              <w:jc w:val="center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Коэффициент напряженности на рынке труда на 1 января года подачи заявки,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72i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безработ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вак. мест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72i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безработ</w:t>
            </w:r>
            <w:r>
              <w:rPr>
                <w:sz w:val="20"/>
              </w:rPr>
              <w:t xml:space="preserve"> - число незанятых граждан, зарегистрированных в службах занятости;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вак. мест</w:t>
            </w:r>
            <w:r>
              <w:rPr>
                <w:sz w:val="20"/>
              </w:rPr>
              <w:t xml:space="preserve"> - вакантные рабочие места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безработ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вак. мест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49" w:name="P549"/>
          <w:bookmarkEnd w:id="549"/>
          <w:p>
            <w:pPr>
              <w:pStyle w:val="0"/>
              <w:jc w:val="center"/>
            </w:pPr>
            <w:r>
              <w:rPr>
                <w:sz w:val="20"/>
              </w:rPr>
              <w:t xml:space="preserve">7.3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73i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задолж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опл. труд.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73i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задолж</w:t>
            </w:r>
            <w:r>
              <w:rPr>
                <w:sz w:val="20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опл. труд.</w:t>
            </w:r>
            <w:r>
              <w:rPr>
                <w:sz w:val="20"/>
              </w:rP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задолж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опл. труд.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61" w:name="P561"/>
          <w:bookmarkEnd w:id="561"/>
          <w:p>
            <w:pPr>
              <w:pStyle w:val="0"/>
              <w:jc w:val="center"/>
            </w:pPr>
            <w:r>
              <w:rPr>
                <w:sz w:val="20"/>
              </w:rPr>
              <w:t xml:space="preserve">7.4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Прирост высокопроизводительных рабочих мест (процентов к предыдущему году),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74i</w:t>
            </w:r>
            <w:r>
              <w:rPr>
                <w:sz w:val="20"/>
              </w:rPr>
              <w:t xml:space="preserve"> = ВПРМ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/ ВПРМ</w:t>
            </w:r>
            <w:r>
              <w:rPr>
                <w:sz w:val="20"/>
                <w:vertAlign w:val="subscript"/>
              </w:rPr>
              <w:t xml:space="preserve">i-1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74i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ВПРМ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- количество высокопроизводительных рабочих мест за отчетный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ВПРМ</w:t>
            </w:r>
            <w:r>
              <w:rPr>
                <w:sz w:val="20"/>
                <w:vertAlign w:val="subscript"/>
              </w:rPr>
              <w:t xml:space="preserve">i-1</w:t>
            </w:r>
            <w:r>
              <w:rPr>
                <w:sz w:val="20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ВПРМ</w:t>
            </w:r>
            <w:r>
              <w:rPr>
                <w:sz w:val="20"/>
                <w:vertAlign w:val="subscript"/>
              </w:rPr>
              <w:t xml:space="preserve">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ВПРМ</w:t>
            </w:r>
            <w:r>
              <w:rPr>
                <w:sz w:val="20"/>
                <w:vertAlign w:val="subscript"/>
              </w:rPr>
              <w:t xml:space="preserve">i-1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Наличие действующей муниципальной программы поддержки и развития МСП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577" w:name="P577"/>
          <w:bookmarkEnd w:id="577"/>
          <w:p>
            <w:pPr>
              <w:pStyle w:val="0"/>
              <w:jc w:val="center"/>
            </w:pPr>
            <w:r>
              <w:rPr>
                <w:sz w:val="20"/>
              </w:rPr>
              <w:t xml:space="preserve">7.6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76i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инвест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нас.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76i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инвест</w:t>
            </w:r>
            <w:r>
              <w:rPr>
                <w:sz w:val="20"/>
              </w:rPr>
              <w:t xml:space="preserve"> - объем инвестиций в основной капитал (за исключением бюджетных средств);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инвест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7.7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position w:val="-29"/>
              </w:rPr>
              <w:drawing>
                <wp:inline distT="0" distB="0" distL="0" distR="0">
                  <wp:extent cx="1628775" cy="504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77i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</w:t>
            </w:r>
            <w:r>
              <w:rPr>
                <w:sz w:val="20"/>
              </w:rPr>
              <w:t xml:space="preserve"> - количество субъектов МСП за отчетный период;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j-1</w:t>
            </w:r>
            <w:r>
              <w:rPr>
                <w:sz w:val="20"/>
              </w:rPr>
              <w:t xml:space="preserve"> - количество субъектов МСП за год, предшествующий отчетному;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j-2</w:t>
            </w:r>
            <w:r>
              <w:rPr>
                <w:sz w:val="20"/>
              </w:rPr>
              <w:t xml:space="preserve"> - количество субъектов МСП за год, предшествующий на 2 года отчетному;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j-3</w:t>
            </w:r>
            <w:r>
              <w:rPr>
                <w:sz w:val="20"/>
              </w:rPr>
              <w:t xml:space="preserve"> - количество субъектов МСП за год, предшествующий на 3 года отчетному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j-1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j-2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j-3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7.8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Рост среднегодовой численности занятых в экономике за отчетный год по сравнению с уровнем года, предшествующего отчетному,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78i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зан i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зан i-1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78i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зан i</w:t>
            </w:r>
            <w:r>
              <w:rPr>
                <w:sz w:val="20"/>
              </w:rPr>
              <w:t xml:space="preserve"> - среднегодовая численности занятых в экономике за отчетный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зан i-1</w:t>
            </w:r>
            <w:r>
              <w:rPr>
                <w:sz w:val="20"/>
              </w:rPr>
              <w:t xml:space="preserve"> - среднегодовая численности занятых в экономике за предыдущий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зан 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зан i-1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7.9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79i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мсп i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мсп i-1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79i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 i</w:t>
            </w:r>
            <w:r>
              <w:rPr>
                <w:sz w:val="20"/>
              </w:rPr>
              <w:t xml:space="preserve"> - оборот малых и средних предприятий за отчетный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 i-1</w:t>
            </w:r>
            <w:r>
              <w:rPr>
                <w:sz w:val="20"/>
              </w:rP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 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 i-1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7.10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710i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мсп поддержка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мсп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710i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 поддержка</w:t>
            </w:r>
            <w:r>
              <w:rPr>
                <w:sz w:val="20"/>
              </w:rPr>
              <w:t xml:space="preserve"> - количество субъектов МСП в рамках муниципальной программы развития МСП;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</w:t>
            </w:r>
            <w:r>
              <w:rPr>
                <w:sz w:val="20"/>
              </w:rP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 поддержка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мсп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711i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расх. бюджета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711i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расх. бюджета</w:t>
            </w:r>
            <w:r>
              <w:rPr>
                <w:sz w:val="20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расх. бюджета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653" w:name="P653"/>
          <w:bookmarkEnd w:id="653"/>
          <w:p>
            <w:pPr>
              <w:pStyle w:val="0"/>
              <w:jc w:val="center"/>
            </w:pPr>
            <w:r>
              <w:rPr>
                <w:sz w:val="20"/>
              </w:rPr>
              <w:t xml:space="preserve">7.12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history="0" w:anchor="P734" w:tooltip="&lt;14&gt; Опрос проводится в соответствии с постановлением Правительства Российской Федерации от 17 декабря 2012 г. N 1317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и подпунктом &quot;и&quot; пункта 2 Указа Президента Российской Федерации от 7 мая 2012 г. N 601 &quot;Об основных направлениях совершенствования системы государственного управления&quot; (Собрание законодатель..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position w:val="-20"/>
              </w:rPr>
              <w:drawing>
                <wp:inline distT="0" distB="0" distL="0" distR="0">
                  <wp:extent cx="1228725" cy="390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опрошенных);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2</w:t>
            </w:r>
            <w:r>
              <w:rPr>
                <w:sz w:val="20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3</w:t>
            </w:r>
            <w:r>
              <w:rPr>
                <w:sz w:val="20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опрошенных)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2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A</w:t>
            </w:r>
            <w:r>
              <w:rPr>
                <w:sz w:val="20"/>
                <w:vertAlign w:val="subscript"/>
              </w:rPr>
              <w:t xml:space="preserve">3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666" w:name="P666"/>
          <w:bookmarkEnd w:id="666"/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8. Показатели, характеризующие повышение уровня транспортной доступности</w:t>
            </w:r>
          </w:p>
        </w:tc>
      </w:tr>
      <w:tr>
        <w:tc>
          <w:tcPr>
            <w:tcW w:w="624" w:type="dxa"/>
          </w:tcPr>
          <w:bookmarkStart w:id="667" w:name="P667"/>
          <w:bookmarkEnd w:id="667"/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81i</w:t>
            </w:r>
            <w:r>
              <w:rPr>
                <w:sz w:val="20"/>
              </w:rPr>
              <w:t xml:space="preserve"> = L</w:t>
            </w:r>
            <w:r>
              <w:rPr>
                <w:sz w:val="20"/>
                <w:vertAlign w:val="subscript"/>
              </w:rPr>
              <w:t xml:space="preserve">дор.отв.треб i</w:t>
            </w:r>
            <w:r>
              <w:rPr>
                <w:sz w:val="20"/>
              </w:rPr>
              <w:t xml:space="preserve"> / L</w:t>
            </w:r>
            <w:r>
              <w:rPr>
                <w:sz w:val="20"/>
                <w:vertAlign w:val="subscript"/>
              </w:rPr>
              <w:t xml:space="preserve">дор. ответ.треб i-1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81i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L</w:t>
            </w:r>
            <w:r>
              <w:rPr>
                <w:sz w:val="20"/>
                <w:vertAlign w:val="subscript"/>
              </w:rPr>
              <w:t xml:space="preserve">дор.отв.треб i</w:t>
            </w:r>
            <w:r>
              <w:rPr>
                <w:sz w:val="20"/>
              </w:rP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L</w:t>
            </w:r>
            <w:r>
              <w:rPr>
                <w:sz w:val="20"/>
                <w:vertAlign w:val="subscript"/>
              </w:rPr>
              <w:t xml:space="preserve">дор. ответ.треб i-1</w:t>
            </w:r>
            <w:r>
              <w:rPr>
                <w:sz w:val="20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L</w:t>
            </w:r>
            <w:r>
              <w:rPr>
                <w:sz w:val="20"/>
                <w:vertAlign w:val="subscript"/>
              </w:rPr>
              <w:t xml:space="preserve">дор.отв.треб i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L</w:t>
            </w:r>
            <w:r>
              <w:rPr>
                <w:sz w:val="20"/>
                <w:vertAlign w:val="subscript"/>
              </w:rPr>
              <w:t xml:space="preserve">дор. ответ.треб i-1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679" w:name="P679"/>
          <w:bookmarkEnd w:id="679"/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82i</w:t>
            </w:r>
            <w:r>
              <w:rPr>
                <w:sz w:val="20"/>
              </w:rPr>
              <w:t xml:space="preserve"> = L</w:t>
            </w:r>
            <w:r>
              <w:rPr>
                <w:sz w:val="20"/>
                <w:vertAlign w:val="subscript"/>
              </w:rPr>
              <w:t xml:space="preserve">дор.ненорм.</w:t>
            </w:r>
            <w:r>
              <w:rPr>
                <w:sz w:val="20"/>
              </w:rPr>
              <w:t xml:space="preserve"> / L,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82i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L</w:t>
            </w:r>
            <w:r>
              <w:rPr>
                <w:sz w:val="20"/>
                <w:vertAlign w:val="subscript"/>
              </w:rPr>
              <w:t xml:space="preserve">дор.ненорм</w:t>
            </w:r>
            <w:r>
              <w:rPr>
                <w:sz w:val="20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L - общая протяженность автомобильных дорог общего пользования местного значения, км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L</w:t>
            </w:r>
            <w:r>
              <w:rPr>
                <w:sz w:val="20"/>
                <w:vertAlign w:val="subscript"/>
              </w:rPr>
              <w:t xml:space="preserve">дор.ненорм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L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bookmarkStart w:id="691" w:name="P691"/>
          <w:bookmarkEnd w:id="691"/>
          <w:p>
            <w:pPr>
              <w:pStyle w:val="0"/>
              <w:jc w:val="center"/>
            </w:pPr>
            <w:r>
              <w:rPr>
                <w:sz w:val="20"/>
              </w:rPr>
              <w:t xml:space="preserve">8.3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83i</w:t>
            </w:r>
            <w:r>
              <w:rPr>
                <w:sz w:val="20"/>
              </w:rPr>
              <w:t xml:space="preserve"> = V</w:t>
            </w:r>
            <w:r>
              <w:rPr>
                <w:sz w:val="20"/>
                <w:vertAlign w:val="subscript"/>
              </w:rPr>
              <w:t xml:space="preserve">расх.</w:t>
            </w:r>
            <w:r>
              <w:rPr>
                <w:sz w:val="20"/>
              </w:rPr>
              <w:t xml:space="preserve"> / 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U</w:t>
            </w:r>
            <w:r>
              <w:rPr>
                <w:sz w:val="20"/>
                <w:vertAlign w:val="subscript"/>
              </w:rPr>
              <w:t xml:space="preserve">83i</w:t>
            </w:r>
            <w:r>
              <w:rPr>
                <w:sz w:val="20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расх.</w:t>
            </w:r>
            <w:r>
              <w:rPr>
                <w:sz w:val="20"/>
              </w:rPr>
              <w:t xml:space="preserve"> - общий объем расходов бюджета муниципального образования на дорожное хозяйство;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расх</w:t>
            </w:r>
            <w:r>
              <w:rPr>
                <w:sz w:val="20"/>
              </w:rPr>
              <w:t xml:space="preserve"> =</w:t>
            </w:r>
          </w:p>
          <w:p>
            <w:pPr>
              <w:pStyle w:val="0"/>
            </w:pPr>
            <w:r>
              <w:rPr>
                <w:sz w:val="20"/>
              </w:rPr>
              <w:t xml:space="preserve">V</w:t>
            </w:r>
            <w:r>
              <w:rPr>
                <w:sz w:val="20"/>
                <w:vertAlign w:val="subscript"/>
              </w:rPr>
              <w:t xml:space="preserve">нас</w:t>
            </w:r>
            <w:r>
              <w:rPr>
                <w:sz w:val="20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 представленной  в  составе  конкурсной заявки информации</w:t>
      </w:r>
    </w:p>
    <w:p>
      <w:pPr>
        <w:pStyle w:val="1"/>
        <w:jc w:val="both"/>
      </w:pPr>
      <w:r>
        <w:rPr>
          <w:sz w:val="20"/>
        </w:rPr>
        <w:t xml:space="preserve">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Глава муниципального образования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(дата)                 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СОГЛАСОВАНО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должности визирующего должностного лица) </w:t>
      </w:r>
      <w:hyperlink w:history="0" w:anchor="P735" w:tooltip="&lt;15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федеральную конкурсную комиссию по организации и проведению Всероссийского конкурса &quot;Лучшая муниципальная практика&quot; (далее - Комиссия).">
        <w:r>
          <w:rPr>
            <w:sz w:val="20"/>
            <w:color w:val="0000ff"/>
          </w:rPr>
          <w:t xml:space="preserve">&lt;15&gt;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Подпись                               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21" w:name="P721"/>
    <w:bookmarkEnd w:id="7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Для городского поселения, сельского поселения также указывается наименование муниципального района.</w:t>
      </w:r>
    </w:p>
    <w:bookmarkStart w:id="722" w:name="P722"/>
    <w:bookmarkEnd w:id="7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bookmarkStart w:id="723" w:name="P723"/>
    <w:bookmarkEnd w:id="7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 заполняется при отсутствии соответствующих сведений в отношении </w:t>
      </w:r>
      <w:hyperlink w:history="0" w:anchor="P74" w:tooltip="5">
        <w:r>
          <w:rPr>
            <w:sz w:val="20"/>
            <w:color w:val="0000ff"/>
          </w:rPr>
          <w:t xml:space="preserve">позиций 5</w:t>
        </w:r>
      </w:hyperlink>
      <w:r>
        <w:rPr>
          <w:sz w:val="20"/>
        </w:rPr>
        <w:t xml:space="preserve"> - </w:t>
      </w:r>
      <w:hyperlink w:history="0" w:anchor="P98" w:tooltip="9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.</w:t>
      </w:r>
    </w:p>
    <w:bookmarkStart w:id="724" w:name="P724"/>
    <w:bookmarkEnd w:id="7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</w:t>
      </w:r>
    </w:p>
    <w:bookmarkStart w:id="725" w:name="P725"/>
    <w:bookmarkEnd w:id="7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Информация из реестра расходных обязательств муниципального образования, предусмотренного </w:t>
      </w:r>
      <w:hyperlink w:history="0" r:id="rId1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статьей 87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31, ст. 4466).</w:t>
      </w:r>
    </w:p>
    <w:bookmarkStart w:id="726" w:name="P726"/>
    <w:bookmarkEnd w:id="7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В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w:history="0" w:anchor="P311" w:tooltip="2.1">
        <w:r>
          <w:rPr>
            <w:sz w:val="20"/>
            <w:color w:val="0000ff"/>
          </w:rPr>
          <w:t xml:space="preserve">показателей 2.1</w:t>
        </w:r>
      </w:hyperlink>
      <w:r>
        <w:rPr>
          <w:sz w:val="20"/>
        </w:rPr>
        <w:t xml:space="preserve"> - </w:t>
      </w:r>
      <w:hyperlink w:history="0" w:anchor="P341" w:tooltip="2.4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устанавливаются равными 1.</w:t>
      </w:r>
    </w:p>
    <w:bookmarkStart w:id="727" w:name="P727"/>
    <w:bookmarkEnd w:id="7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Указывается источник информации.</w:t>
      </w:r>
    </w:p>
    <w:bookmarkStart w:id="728" w:name="P728"/>
    <w:bookmarkEnd w:id="7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Указывается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bookmarkStart w:id="729" w:name="P729"/>
    <w:bookmarkEnd w:id="7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При расчете показателя используются данные из отчетов об исполнении местного бюджета за I, II, III кварталы отчетного финансового года и годового отчета об исполнении местного бюджета за отчетный финансовый год.</w:t>
      </w:r>
    </w:p>
    <w:bookmarkStart w:id="730" w:name="P730"/>
    <w:bookmarkEnd w:id="7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Указывается информация в формате "да/(нет)", в случае положительного ответа приводятся ссылки на соответствующие страницы в Интернете и (или) в средствах массовой информации.</w:t>
      </w:r>
    </w:p>
    <w:bookmarkStart w:id="731" w:name="P731"/>
    <w:bookmarkEnd w:id="7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Указывается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bookmarkStart w:id="732" w:name="P732"/>
    <w:bookmarkEnd w:id="7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Сведения предоставляются не более чем по 5 проектам, отдельно по каждому проекту.</w:t>
      </w:r>
    </w:p>
    <w:bookmarkStart w:id="733" w:name="P733"/>
    <w:bookmarkEnd w:id="7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Указывается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bookmarkStart w:id="734" w:name="P734"/>
    <w:bookmarkEnd w:id="7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Опрос проводится в соответствии с </w:t>
      </w:r>
      <w:hyperlink w:history="0" r:id="rId18" w:tooltip="Постановление Правительства РФ от 17.12.2012 N 1317 (ред. от 30.06.2021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муниципальных, городских округов и муниципальных районов&quot; и подпункта &quot;и&quot; пункта 2 Указа Президента Российской Федерации от 7 мая 2012 г. N 601 &quot;Об основных направлениях совершенствования системы государственного управления&quot; (вместе с &quot;Методикой мониторинга эффективности деятельн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подпунктом "и" пункта 2 Указа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52, ст. 7490; 2018, N 35, ст. 5547).</w:t>
      </w:r>
    </w:p>
    <w:bookmarkStart w:id="735" w:name="P735"/>
    <w:bookmarkEnd w:id="7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w:history="0" r:id="rId19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2020, N 23, ст. 3650),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организации, уполномоченным действовать от ее имени без доверенности.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20.07.2020 N 435</w:t>
      </w:r>
    </w:p>
    <w:p>
      <w:pPr>
        <w:pStyle w:val="0"/>
        <w:jc w:val="both"/>
      </w:pPr>
      <w:r>
        <w:rPr>
          <w:sz w:val="20"/>
        </w:rPr>
      </w:r>
    </w:p>
    <w:bookmarkStart w:id="746" w:name="P746"/>
    <w:bookmarkEnd w:id="746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ВО ВСЕРОССИЙСКОМ КОНКУРСЕ</w:t>
      </w:r>
    </w:p>
    <w:p>
      <w:pPr>
        <w:pStyle w:val="2"/>
        <w:jc w:val="center"/>
      </w:pPr>
      <w:r>
        <w:rPr>
          <w:sz w:val="20"/>
        </w:rPr>
        <w:t xml:space="preserve">"ЛУЧШАЯ МУНИЦИПАЛЬНАЯ ПРАКТИКА" ПО НОМИНАЦИИ</w:t>
      </w:r>
    </w:p>
    <w:p>
      <w:pPr>
        <w:pStyle w:val="2"/>
        <w:jc w:val="center"/>
      </w:pPr>
      <w:r>
        <w:rPr>
          <w:sz w:val="20"/>
        </w:rPr>
        <w:t xml:space="preserve">"МУНИЦИПАЛЬНАЯ ЭКОНОМИЧЕСКАЯ ПОЛИТИКА И УПРАВЛЕНИЕ</w:t>
      </w:r>
    </w:p>
    <w:p>
      <w:pPr>
        <w:pStyle w:val="2"/>
        <w:jc w:val="center"/>
      </w:pPr>
      <w:r>
        <w:rPr>
          <w:sz w:val="20"/>
        </w:rPr>
        <w:t xml:space="preserve">МУНИЦИПАЛЬНЫМИ ФИНАНСАМИ"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Настоящей Методикой определяется порядок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Оценка конкурсных заявок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Подкомиссия оценивает конкурсные заявки путем присвоения баллов каждому разделу конкурсной заявки на основании индексов, определяемых в соответствии с </w:t>
      </w:r>
      <w:hyperlink w:history="0" w:anchor="P765" w:tooltip="5. Индексы определяются с учетом следующего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настоящей Методики. Максимальное количество баллов, которое может быть присвоено конкурсной заявке, - 100.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>
      <w:pPr>
        <w:pStyle w:val="0"/>
        <w:spacing w:before="200" w:line-rule="auto"/>
        <w:ind w:firstLine="540"/>
        <w:jc w:val="both"/>
      </w:pPr>
      <w:hyperlink w:history="0" w:anchor="P111" w:tooltip="           Раздел I. Описание практик муниципального образования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"Описание практик муниципального образования" (далее - Раздел I) - до 20 баллов;</w:t>
      </w:r>
    </w:p>
    <w:p>
      <w:pPr>
        <w:pStyle w:val="0"/>
        <w:spacing w:before="200" w:line-rule="auto"/>
        <w:ind w:firstLine="540"/>
        <w:jc w:val="both"/>
      </w:pPr>
      <w:hyperlink w:history="0" w:anchor="P158" w:tooltip="раздел II &quot;Управление муниципальными финансами&quot;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"Управление муниципальными финансами" (далее - Раздел II) - до 40 баллов;</w:t>
      </w:r>
    </w:p>
    <w:p>
      <w:pPr>
        <w:pStyle w:val="0"/>
        <w:spacing w:before="200" w:line-rule="auto"/>
        <w:ind w:firstLine="540"/>
        <w:jc w:val="both"/>
      </w:pPr>
      <w:hyperlink w:history="0" w:anchor="P460" w:tooltip="раздел III &quot;Муниципальная экономическая политика&quot;">
        <w:r>
          <w:rPr>
            <w:sz w:val="20"/>
            <w:color w:val="0000ff"/>
          </w:rPr>
          <w:t xml:space="preserve">раздел III</w:t>
        </w:r>
      </w:hyperlink>
      <w:r>
        <w:rPr>
          <w:sz w:val="20"/>
        </w:rPr>
        <w:t xml:space="preserve"> "Муниципальная экономическая политика" (далее - Раздел III) - до 40 баллов.</w:t>
      </w:r>
    </w:p>
    <w:bookmarkStart w:id="765" w:name="P765"/>
    <w:bookmarkEnd w:id="7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Индексы определяются с учетом следующего:</w:t>
      </w:r>
    </w:p>
    <w:bookmarkStart w:id="766" w:name="P766"/>
    <w:bookmarkEnd w:id="7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показателям, предусмотренным </w:t>
      </w:r>
      <w:hyperlink w:history="0" w:anchor="P354" w:tooltip="3.1">
        <w:r>
          <w:rPr>
            <w:sz w:val="20"/>
            <w:color w:val="0000ff"/>
          </w:rPr>
          <w:t xml:space="preserve">пунктами 3.1</w:t>
        </w:r>
      </w:hyperlink>
      <w:r>
        <w:rPr>
          <w:sz w:val="20"/>
        </w:rPr>
        <w:t xml:space="preserve">, </w:t>
      </w:r>
      <w:hyperlink w:history="0" w:anchor="P395" w:tooltip="3.5">
        <w:r>
          <w:rPr>
            <w:sz w:val="20"/>
            <w:color w:val="0000ff"/>
          </w:rPr>
          <w:t xml:space="preserve">3.5</w:t>
        </w:r>
      </w:hyperlink>
      <w:r>
        <w:rPr>
          <w:sz w:val="20"/>
        </w:rPr>
        <w:t xml:space="preserve">, </w:t>
      </w:r>
      <w:hyperlink w:history="0" w:anchor="P399" w:tooltip="3.6">
        <w:r>
          <w:rPr>
            <w:sz w:val="20"/>
            <w:color w:val="0000ff"/>
          </w:rPr>
          <w:t xml:space="preserve">3.6</w:t>
        </w:r>
      </w:hyperlink>
      <w:r>
        <w:rPr>
          <w:sz w:val="20"/>
        </w:rPr>
        <w:t xml:space="preserve">, </w:t>
      </w:r>
      <w:hyperlink w:history="0" w:anchor="P415" w:tooltip="3.8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, </w:t>
      </w:r>
      <w:hyperlink w:history="0" w:anchor="P419" w:tooltip="3.9">
        <w:r>
          <w:rPr>
            <w:sz w:val="20"/>
            <w:color w:val="0000ff"/>
          </w:rPr>
          <w:t xml:space="preserve">3.9</w:t>
        </w:r>
      </w:hyperlink>
      <w:r>
        <w:rPr>
          <w:sz w:val="20"/>
        </w:rPr>
        <w:t xml:space="preserve">, </w:t>
      </w:r>
      <w:hyperlink w:history="0" w:anchor="P462" w:tooltip="5.1">
        <w:r>
          <w:rPr>
            <w:sz w:val="20"/>
            <w:color w:val="0000ff"/>
          </w:rPr>
          <w:t xml:space="preserve">5.1</w:t>
        </w:r>
      </w:hyperlink>
      <w:r>
        <w:rPr>
          <w:sz w:val="20"/>
        </w:rPr>
        <w:t xml:space="preserve"> - </w:t>
      </w:r>
      <w:hyperlink w:history="0" w:anchor="P478" w:tooltip="5.5">
        <w:r>
          <w:rPr>
            <w:sz w:val="20"/>
            <w:color w:val="0000ff"/>
          </w:rPr>
          <w:t xml:space="preserve">5.5</w:t>
        </w:r>
      </w:hyperlink>
      <w:r>
        <w:rPr>
          <w:sz w:val="20"/>
        </w:rPr>
        <w:t xml:space="preserve">, 7.5 конкурсной заявки, в случае положительного ответа присваивается индекс 1, в случае отрицательного - 0;</w:t>
      </w:r>
    </w:p>
    <w:bookmarkStart w:id="767" w:name="P767"/>
    <w:bookmarkEnd w:id="7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показателям, предусмотренным </w:t>
      </w:r>
      <w:hyperlink w:history="0" w:anchor="P483" w:tooltip="6.1">
        <w:r>
          <w:rPr>
            <w:sz w:val="20"/>
            <w:color w:val="0000ff"/>
          </w:rPr>
          <w:t xml:space="preserve">пунктами 6.1</w:t>
        </w:r>
      </w:hyperlink>
      <w:r>
        <w:rPr>
          <w:sz w:val="20"/>
        </w:rPr>
        <w:t xml:space="preserve"> - </w:t>
      </w:r>
      <w:hyperlink w:history="0" w:anchor="P495" w:tooltip="6.4">
        <w:r>
          <w:rPr>
            <w:sz w:val="20"/>
            <w:color w:val="0000ff"/>
          </w:rPr>
          <w:t xml:space="preserve">6.4</w:t>
        </w:r>
      </w:hyperlink>
      <w:r>
        <w:rPr>
          <w:sz w:val="20"/>
        </w:rPr>
        <w:t xml:space="preserve"> конкурсной заявки, в случае положительного ответа присваивается индекс 1,75, в случае отрицательного - 0;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показателю, предусмотренному </w:t>
      </w:r>
      <w:hyperlink w:history="0" w:anchor="P503" w:tooltip="6.5.1">
        <w:r>
          <w:rPr>
            <w:sz w:val="20"/>
            <w:color w:val="0000ff"/>
          </w:rPr>
          <w:t xml:space="preserve">пунктом 6.5.1</w:t>
        </w:r>
      </w:hyperlink>
      <w:r>
        <w:rPr>
          <w:sz w:val="20"/>
        </w:rPr>
        <w:t xml:space="preserve"> конкурсной заявки, присваивается индекс 1 в случае, если проект муниципально-частного партнерства (МЧП) реализуется на основании Федерального </w:t>
      </w:r>
      <w:hyperlink w:history="0" r:id="rId20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2019 N 30, ст. 4140) или Федерального </w:t>
      </w:r>
      <w:hyperlink w:history="0" r:id="rId21" w:tooltip="Федеральный закон от 21.07.2005 N 115-ФЗ (ред. от 29.12.2022) &quot;О концессионных соглашения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июля 2005 г. N 115-ФЗ "О концессионных соглашениях" (Собрание законодательства Российской Федерации, 2005, N 30, ст. 3126; 2018, N 53, ст. 8451)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показателю, предусмотренному </w:t>
      </w:r>
      <w:hyperlink w:history="0" w:anchor="P507" w:tooltip="6.5.2">
        <w:r>
          <w:rPr>
            <w:sz w:val="20"/>
            <w:color w:val="0000ff"/>
          </w:rPr>
          <w:t xml:space="preserve">пунктом 6.5.2</w:t>
        </w:r>
      </w:hyperlink>
      <w:r>
        <w:rPr>
          <w:sz w:val="20"/>
        </w:rPr>
        <w:t xml:space="preserve">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показателю, предусмотренному </w:t>
      </w:r>
      <w:hyperlink w:history="0" w:anchor="P516" w:tooltip="6.5.3">
        <w:r>
          <w:rPr>
            <w:sz w:val="20"/>
            <w:color w:val="0000ff"/>
          </w:rPr>
          <w:t xml:space="preserve">пунктом 6.5.3</w:t>
        </w:r>
      </w:hyperlink>
      <w:r>
        <w:rPr>
          <w:sz w:val="20"/>
        </w:rPr>
        <w:t xml:space="preserve">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показателю, предусмотренному </w:t>
      </w:r>
      <w:hyperlink w:history="0" w:anchor="P520" w:tooltip="6.5.4">
        <w:r>
          <w:rPr>
            <w:sz w:val="20"/>
            <w:color w:val="0000ff"/>
          </w:rPr>
          <w:t xml:space="preserve">пунктом 6.5.4</w:t>
        </w:r>
      </w:hyperlink>
      <w:r>
        <w:rPr>
          <w:sz w:val="20"/>
        </w:rPr>
        <w:t xml:space="preserve"> конкурсной заявки, индекс присваивается в зависимости от срока реализации проекта МЧП (срока действия концессионного соглашения): менее 3 лет - 0,1; от 3 до 5 лет - 0,3; от 5 до 10 лет - 0,6; от 10 до 15 лет - 0,85; от 15 лет до 20 - 1; более 20 - 1,5;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 показателям, предусмотренным </w:t>
      </w:r>
      <w:hyperlink w:history="0" w:anchor="P160" w:tooltip="1.1">
        <w:r>
          <w:rPr>
            <w:sz w:val="20"/>
            <w:color w:val="0000ff"/>
          </w:rPr>
          <w:t xml:space="preserve">пунктами 1.1</w:t>
        </w:r>
      </w:hyperlink>
      <w:r>
        <w:rPr>
          <w:sz w:val="20"/>
        </w:rPr>
        <w:t xml:space="preserve"> - </w:t>
      </w:r>
      <w:hyperlink w:history="0" w:anchor="P198" w:tooltip="1.4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, </w:t>
      </w:r>
      <w:hyperlink w:history="0" w:anchor="P238" w:tooltip="1.7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, </w:t>
      </w:r>
      <w:hyperlink w:history="0" w:anchor="P250" w:tooltip="1.8">
        <w:r>
          <w:rPr>
            <w:sz w:val="20"/>
            <w:color w:val="0000ff"/>
          </w:rPr>
          <w:t xml:space="preserve">1.8</w:t>
        </w:r>
      </w:hyperlink>
      <w:r>
        <w:rPr>
          <w:sz w:val="20"/>
        </w:rPr>
        <w:t xml:space="preserve">, </w:t>
      </w:r>
      <w:hyperlink w:history="0" w:anchor="P262" w:tooltip="1.9">
        <w:r>
          <w:rPr>
            <w:sz w:val="20"/>
            <w:color w:val="0000ff"/>
          </w:rPr>
          <w:t xml:space="preserve">1.9</w:t>
        </w:r>
      </w:hyperlink>
      <w:r>
        <w:rPr>
          <w:sz w:val="20"/>
        </w:rPr>
        <w:t xml:space="preserve">, </w:t>
      </w:r>
      <w:hyperlink w:history="0" w:anchor="P286" w:tooltip="1.11">
        <w:r>
          <w:rPr>
            <w:sz w:val="20"/>
            <w:color w:val="0000ff"/>
          </w:rPr>
          <w:t xml:space="preserve">1.11</w:t>
        </w:r>
      </w:hyperlink>
      <w:r>
        <w:rPr>
          <w:sz w:val="20"/>
        </w:rPr>
        <w:t xml:space="preserve">, </w:t>
      </w:r>
      <w:hyperlink w:history="0" w:anchor="P298" w:tooltip="1.12">
        <w:r>
          <w:rPr>
            <w:sz w:val="20"/>
            <w:color w:val="0000ff"/>
          </w:rPr>
          <w:t xml:space="preserve">1.12</w:t>
        </w:r>
      </w:hyperlink>
      <w:r>
        <w:rPr>
          <w:sz w:val="20"/>
        </w:rPr>
        <w:t xml:space="preserve">, </w:t>
      </w:r>
      <w:hyperlink w:history="0" w:anchor="P325" w:tooltip="2.2">
        <w:r>
          <w:rPr>
            <w:sz w:val="20"/>
            <w:color w:val="0000ff"/>
          </w:rPr>
          <w:t xml:space="preserve">2.2</w:t>
        </w:r>
      </w:hyperlink>
      <w:r>
        <w:rPr>
          <w:sz w:val="20"/>
        </w:rPr>
        <w:t xml:space="preserve">, </w:t>
      </w:r>
      <w:hyperlink w:history="0" w:anchor="P403" w:tooltip="3.7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, </w:t>
      </w:r>
      <w:hyperlink w:history="0" w:anchor="P424" w:tooltip="4.1">
        <w:r>
          <w:rPr>
            <w:sz w:val="20"/>
            <w:color w:val="0000ff"/>
          </w:rPr>
          <w:t xml:space="preserve">4.1</w:t>
        </w:r>
      </w:hyperlink>
      <w:r>
        <w:rPr>
          <w:sz w:val="20"/>
        </w:rPr>
        <w:t xml:space="preserve"> - </w:t>
      </w:r>
      <w:hyperlink w:history="0" w:anchor="P448" w:tooltip="4.3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w:anchor="P525" w:tooltip="7.1">
        <w:r>
          <w:rPr>
            <w:sz w:val="20"/>
            <w:color w:val="0000ff"/>
          </w:rPr>
          <w:t xml:space="preserve">7.1</w:t>
        </w:r>
      </w:hyperlink>
      <w:r>
        <w:rPr>
          <w:sz w:val="20"/>
        </w:rPr>
        <w:t xml:space="preserve">, </w:t>
      </w:r>
      <w:hyperlink w:history="0" w:anchor="P561" w:tooltip="7.4">
        <w:r>
          <w:rPr>
            <w:sz w:val="20"/>
            <w:color w:val="0000ff"/>
          </w:rPr>
          <w:t xml:space="preserve">7.4</w:t>
        </w:r>
      </w:hyperlink>
      <w:r>
        <w:rPr>
          <w:sz w:val="20"/>
        </w:rPr>
        <w:t xml:space="preserve">, </w:t>
      </w:r>
      <w:hyperlink w:history="0" w:anchor="P577" w:tooltip="7.6">
        <w:r>
          <w:rPr>
            <w:sz w:val="20"/>
            <w:color w:val="0000ff"/>
          </w:rPr>
          <w:t xml:space="preserve">7.6</w:t>
        </w:r>
      </w:hyperlink>
      <w:r>
        <w:rPr>
          <w:sz w:val="20"/>
        </w:rPr>
        <w:t xml:space="preserve"> - </w:t>
      </w:r>
      <w:hyperlink w:history="0" w:anchor="P653" w:tooltip="7.12">
        <w:r>
          <w:rPr>
            <w:sz w:val="20"/>
            <w:color w:val="0000ff"/>
          </w:rPr>
          <w:t xml:space="preserve">7.12</w:t>
        </w:r>
      </w:hyperlink>
      <w:r>
        <w:rPr>
          <w:sz w:val="20"/>
        </w:rPr>
        <w:t xml:space="preserve">, </w:t>
      </w:r>
      <w:hyperlink w:history="0" w:anchor="P667" w:tooltip="8.1">
        <w:r>
          <w:rPr>
            <w:sz w:val="20"/>
            <w:color w:val="0000ff"/>
          </w:rPr>
          <w:t xml:space="preserve">8.1</w:t>
        </w:r>
      </w:hyperlink>
      <w:r>
        <w:rPr>
          <w:sz w:val="20"/>
        </w:rPr>
        <w:t xml:space="preserve">, </w:t>
      </w:r>
      <w:hyperlink w:history="0" w:anchor="P691" w:tooltip="8.3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 конкурсной заявки, применяется индекс, рассчитываемый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ni</w:t>
      </w:r>
      <w:r>
        <w:rPr>
          <w:sz w:val="20"/>
        </w:rPr>
        <w:t xml:space="preserve"> = (Ui - Umin) / (Umax - Umin),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ni</w:t>
      </w:r>
      <w:r>
        <w:rPr>
          <w:sz w:val="20"/>
        </w:rPr>
        <w:t xml:space="preserve"> - индекс соответствующего показателя по i-му муниципальному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Ui - значение соответствующего показателя в 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Umin - минимальное значение соответствующего показателя в муниципальных образованиях;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Umax - максимальное значение соответствующего показателя в муниципальных образованиях;</w:t>
      </w:r>
    </w:p>
    <w:bookmarkStart w:id="781" w:name="P781"/>
    <w:bookmarkEnd w:id="7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 показателям, предусмотренным </w:t>
      </w:r>
      <w:hyperlink w:history="0" w:anchor="P210" w:tooltip="1.5">
        <w:r>
          <w:rPr>
            <w:sz w:val="20"/>
            <w:color w:val="0000ff"/>
          </w:rPr>
          <w:t xml:space="preserve">пунктами 1.5</w:t>
        </w:r>
      </w:hyperlink>
      <w:r>
        <w:rPr>
          <w:sz w:val="20"/>
        </w:rPr>
        <w:t xml:space="preserve">, </w:t>
      </w:r>
      <w:hyperlink w:history="0" w:anchor="P222" w:tooltip="1.6">
        <w:r>
          <w:rPr>
            <w:sz w:val="20"/>
            <w:color w:val="0000ff"/>
          </w:rPr>
          <w:t xml:space="preserve">1.6</w:t>
        </w:r>
      </w:hyperlink>
      <w:r>
        <w:rPr>
          <w:sz w:val="20"/>
        </w:rPr>
        <w:t xml:space="preserve">, </w:t>
      </w:r>
      <w:hyperlink w:history="0" w:anchor="P274" w:tooltip="1.10">
        <w:r>
          <w:rPr>
            <w:sz w:val="20"/>
            <w:color w:val="0000ff"/>
          </w:rPr>
          <w:t xml:space="preserve">1.10</w:t>
        </w:r>
      </w:hyperlink>
      <w:r>
        <w:rPr>
          <w:sz w:val="20"/>
        </w:rPr>
        <w:t xml:space="preserve">, </w:t>
      </w:r>
      <w:hyperlink w:history="0" w:anchor="P311" w:tooltip="2.1">
        <w:r>
          <w:rPr>
            <w:sz w:val="20"/>
            <w:color w:val="0000ff"/>
          </w:rPr>
          <w:t xml:space="preserve">2.1</w:t>
        </w:r>
      </w:hyperlink>
      <w:r>
        <w:rPr>
          <w:sz w:val="20"/>
        </w:rPr>
        <w:t xml:space="preserve">, </w:t>
      </w:r>
      <w:hyperlink w:history="0" w:anchor="P337" w:tooltip="2.3">
        <w:r>
          <w:rPr>
            <w:sz w:val="20"/>
            <w:color w:val="0000ff"/>
          </w:rPr>
          <w:t xml:space="preserve">2.3</w:t>
        </w:r>
      </w:hyperlink>
      <w:r>
        <w:rPr>
          <w:sz w:val="20"/>
        </w:rPr>
        <w:t xml:space="preserve">, </w:t>
      </w:r>
      <w:hyperlink w:history="0" w:anchor="P341" w:tooltip="2.4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, </w:t>
      </w:r>
      <w:hyperlink w:history="0" w:anchor="P358" w:tooltip="3.2">
        <w:r>
          <w:rPr>
            <w:sz w:val="20"/>
            <w:color w:val="0000ff"/>
          </w:rPr>
          <w:t xml:space="preserve">3.2</w:t>
        </w:r>
      </w:hyperlink>
      <w:r>
        <w:rPr>
          <w:sz w:val="20"/>
        </w:rPr>
        <w:t xml:space="preserve">, </w:t>
      </w:r>
      <w:hyperlink w:history="0" w:anchor="P370" w:tooltip="3.3">
        <w:r>
          <w:rPr>
            <w:sz w:val="20"/>
            <w:color w:val="0000ff"/>
          </w:rPr>
          <w:t xml:space="preserve">3.3</w:t>
        </w:r>
      </w:hyperlink>
      <w:r>
        <w:rPr>
          <w:sz w:val="20"/>
        </w:rPr>
        <w:t xml:space="preserve">, </w:t>
      </w:r>
      <w:hyperlink w:history="0" w:anchor="P382" w:tooltip="3.4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, </w:t>
      </w:r>
      <w:hyperlink w:history="0" w:anchor="P537" w:tooltip="7.2">
        <w:r>
          <w:rPr>
            <w:sz w:val="20"/>
            <w:color w:val="0000ff"/>
          </w:rPr>
          <w:t xml:space="preserve">7.2</w:t>
        </w:r>
      </w:hyperlink>
      <w:r>
        <w:rPr>
          <w:sz w:val="20"/>
        </w:rPr>
        <w:t xml:space="preserve">, </w:t>
      </w:r>
      <w:hyperlink w:history="0" w:anchor="P549" w:tooltip="7.3">
        <w:r>
          <w:rPr>
            <w:sz w:val="20"/>
            <w:color w:val="0000ff"/>
          </w:rPr>
          <w:t xml:space="preserve">7.3</w:t>
        </w:r>
      </w:hyperlink>
      <w:r>
        <w:rPr>
          <w:sz w:val="20"/>
        </w:rPr>
        <w:t xml:space="preserve">, </w:t>
      </w:r>
      <w:hyperlink w:history="0" w:anchor="P679" w:tooltip="8.2">
        <w:r>
          <w:rPr>
            <w:sz w:val="20"/>
            <w:color w:val="0000ff"/>
          </w:rPr>
          <w:t xml:space="preserve">8.2</w:t>
        </w:r>
      </w:hyperlink>
      <w:r>
        <w:rPr>
          <w:sz w:val="20"/>
        </w:rPr>
        <w:t xml:space="preserve"> конкурсной заявки, применяется индекс, рассчитываемый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ni</w:t>
      </w:r>
      <w:r>
        <w:rPr>
          <w:sz w:val="20"/>
        </w:rPr>
        <w:t xml:space="preserve"> = (Umax - Ui) / (Umax - Umin),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ni</w:t>
      </w:r>
      <w:r>
        <w:rPr>
          <w:sz w:val="20"/>
        </w:rPr>
        <w:t xml:space="preserve"> - индекс соответствующего показателя по i-му муниципальному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Ui - значение соответствующего показателя в 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Umin - минимальное значение соответствующего показателя в муниципальных образованиях;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Umax - максимальное значение соответствующего показателя в муниципальных образованиях.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Итоговая сумма баллов конкурсной заявки определяется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Oi = Ind</w:t>
      </w:r>
      <w:r>
        <w:rPr>
          <w:sz w:val="20"/>
          <w:vertAlign w:val="subscript"/>
        </w:rPr>
        <w:t xml:space="preserve">I(i)</w:t>
      </w:r>
      <w:r>
        <w:rPr>
          <w:sz w:val="20"/>
        </w:rPr>
        <w:t xml:space="preserve"> + Ind</w:t>
      </w:r>
      <w:r>
        <w:rPr>
          <w:sz w:val="20"/>
          <w:vertAlign w:val="subscript"/>
        </w:rPr>
        <w:t xml:space="preserve">II(i)</w:t>
      </w:r>
      <w:r>
        <w:rPr>
          <w:sz w:val="20"/>
        </w:rPr>
        <w:t xml:space="preserve"> + Ind</w:t>
      </w:r>
      <w:r>
        <w:rPr>
          <w:sz w:val="20"/>
          <w:vertAlign w:val="subscript"/>
        </w:rPr>
        <w:t xml:space="preserve">III(i)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Oi - итоговая сумма баллов конкурсной заявки по i-му муниципальному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I(i)</w:t>
      </w:r>
      <w:r>
        <w:rPr>
          <w:sz w:val="20"/>
        </w:rPr>
        <w:t xml:space="preserve"> - итоговая сумма баллов по </w:t>
      </w:r>
      <w:hyperlink w:history="0" w:anchor="P111" w:tooltip="           Раздел I. Описание практик муниципального образования">
        <w:r>
          <w:rPr>
            <w:sz w:val="20"/>
            <w:color w:val="0000ff"/>
          </w:rPr>
          <w:t xml:space="preserve">Разделу I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II(i)</w:t>
      </w:r>
      <w:r>
        <w:rPr>
          <w:sz w:val="20"/>
        </w:rPr>
        <w:t xml:space="preserve"> - итоговая сумма баллов по </w:t>
      </w:r>
      <w:hyperlink w:history="0" w:anchor="P158" w:tooltip="раздел II &quot;Управление муниципальными финансами&quot;">
        <w:r>
          <w:rPr>
            <w:sz w:val="20"/>
            <w:color w:val="0000ff"/>
          </w:rPr>
          <w:t xml:space="preserve">Разделу II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III(i)</w:t>
      </w:r>
      <w:r>
        <w:rPr>
          <w:sz w:val="20"/>
        </w:rPr>
        <w:t xml:space="preserve"> - итоговая сумма баллов по </w:t>
      </w:r>
      <w:hyperlink w:history="0" w:anchor="P460" w:tooltip="раздел III &quot;Муниципальная экономическая политика&quot;">
        <w:r>
          <w:rPr>
            <w:sz w:val="20"/>
            <w:color w:val="0000ff"/>
          </w:rPr>
          <w:t xml:space="preserve">Разделу III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Итоговая сумма баллов по </w:t>
      </w:r>
      <w:hyperlink w:history="0" w:anchor="P111" w:tooltip="           Раздел I. Описание практик муниципального образования">
        <w:r>
          <w:rPr>
            <w:sz w:val="20"/>
            <w:color w:val="0000ff"/>
          </w:rPr>
          <w:t xml:space="preserve">Разделу I</w:t>
        </w:r>
      </w:hyperlink>
      <w:r>
        <w:rPr>
          <w:sz w:val="20"/>
        </w:rPr>
        <w:t xml:space="preserve"> формируется исходя из следующих критериев, каждому из которых присваивается количество баллов от 0 до 2:</w:t>
      </w:r>
    </w:p>
    <w:bookmarkStart w:id="800" w:name="P800"/>
    <w:bookmarkEnd w:id="8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способствование повышению эффективности управления муниципальными финансами;</w:t>
      </w:r>
    </w:p>
    <w:bookmarkStart w:id="801" w:name="P801"/>
    <w:bookmarkEnd w:id="8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history="0" w:anchor="P113" w:tooltip="         Подраздел I. Практика муниципального образования в сфере">
        <w:r>
          <w:rPr>
            <w:sz w:val="20"/>
            <w:color w:val="0000ff"/>
          </w:rPr>
          <w:t xml:space="preserve">подраздела I</w:t>
        </w:r>
      </w:hyperlink>
      <w:r>
        <w:rPr>
          <w:sz w:val="20"/>
        </w:rPr>
        <w:t xml:space="preserve"> "Практика муниципального образования в сфере "муниципальная экономическая политика" (далее - Подраздел I);</w:t>
      </w:r>
    </w:p>
    <w:bookmarkStart w:id="802" w:name="P802"/>
    <w:bookmarkEnd w:id="8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bookmarkStart w:id="803" w:name="P803"/>
    <w:bookmarkEnd w:id="8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наличие положительной динамики соответствующих показателей (применяется в отношении </w:t>
      </w:r>
      <w:hyperlink w:history="0" w:anchor="P113" w:tooltip="         Подраздел I. Практика муниципального образования в сфере">
        <w:r>
          <w:rPr>
            <w:sz w:val="20"/>
            <w:color w:val="0000ff"/>
          </w:rPr>
          <w:t xml:space="preserve">Подраздела I</w:t>
        </w:r>
      </w:hyperlink>
      <w:r>
        <w:rPr>
          <w:sz w:val="20"/>
        </w:rPr>
        <w:t xml:space="preserve">);</w:t>
      </w:r>
    </w:p>
    <w:bookmarkStart w:id="805" w:name="P805"/>
    <w:bookmarkEnd w:id="8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способствование развитию муниципальной экономической политики;</w:t>
      </w:r>
    </w:p>
    <w:bookmarkStart w:id="806" w:name="P806"/>
    <w:bookmarkEnd w:id="8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history="0" w:anchor="P132" w:tooltip="             Подраздел II. Практика муниципального образования">
        <w:r>
          <w:rPr>
            <w:sz w:val="20"/>
            <w:color w:val="0000ff"/>
          </w:rPr>
          <w:t xml:space="preserve">подраздела II</w:t>
        </w:r>
      </w:hyperlink>
      <w:r>
        <w:rPr>
          <w:sz w:val="20"/>
        </w:rPr>
        <w:t xml:space="preserve"> "Практика муниципального образования в сфере "управление муниципальными финансами" (далее - Подраздел II);</w:t>
      </w:r>
    </w:p>
    <w:bookmarkStart w:id="807" w:name="P807"/>
    <w:bookmarkEnd w:id="8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bookmarkStart w:id="808" w:name="P808"/>
    <w:bookmarkEnd w:id="8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содействие улучшению социально-экономического развития муниципального образования;</w:t>
      </w:r>
    </w:p>
    <w:bookmarkStart w:id="809" w:name="P809"/>
    <w:bookmarkEnd w:id="8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наличие положительной динамики соответствующих показателей (применяется в отношении </w:t>
      </w:r>
      <w:hyperlink w:history="0" w:anchor="P132" w:tooltip="             Подраздел II. Практика муниципального образования">
        <w:r>
          <w:rPr>
            <w:sz w:val="20"/>
            <w:color w:val="0000ff"/>
          </w:rPr>
          <w:t xml:space="preserve">Подраздела II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Итоговая сумма баллов по </w:t>
      </w:r>
      <w:hyperlink w:history="0" w:anchor="P111" w:tooltip="           Раздел I. Описание практик муниципального образования">
        <w:r>
          <w:rPr>
            <w:sz w:val="20"/>
            <w:color w:val="0000ff"/>
          </w:rPr>
          <w:t xml:space="preserve">Разделу I</w:t>
        </w:r>
      </w:hyperlink>
      <w:r>
        <w:rPr>
          <w:sz w:val="20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41"/>
        </w:rPr>
        <w:drawing>
          <wp:inline distT="0" distB="0" distL="0" distR="0">
            <wp:extent cx="1533525" cy="647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I(i)</w:t>
      </w:r>
      <w:r>
        <w:rPr>
          <w:sz w:val="20"/>
        </w:rPr>
        <w:t xml:space="preserve"> - итоговая сумма баллов по i-му муниципальному образованию по </w:t>
      </w:r>
      <w:hyperlink w:history="0" w:anchor="P111" w:tooltip="           Раздел I. Описание практик муниципального образования">
        <w:r>
          <w:rPr>
            <w:sz w:val="20"/>
            <w:color w:val="0000ff"/>
          </w:rPr>
          <w:t xml:space="preserve">Разделу I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a,b</w:t>
      </w:r>
      <w:r>
        <w:rPr>
          <w:sz w:val="20"/>
        </w:rPr>
        <w:t xml:space="preserve"> - количество членов подкомиссии, оценивших заявку по </w:t>
      </w:r>
      <w:hyperlink w:history="0" w:anchor="P113" w:tooltip="         Подраздел I. Практика муниципального образования в сфере">
        <w:r>
          <w:rPr>
            <w:sz w:val="20"/>
            <w:color w:val="0000ff"/>
          </w:rPr>
          <w:t xml:space="preserve">подразделам I</w:t>
        </w:r>
      </w:hyperlink>
      <w:r>
        <w:rPr>
          <w:sz w:val="20"/>
        </w:rPr>
        <w:t xml:space="preserve"> и </w:t>
      </w:r>
      <w:hyperlink w:history="0" w:anchor="P132" w:tooltip="             Подраздел II. Практика муниципального образования">
        <w:r>
          <w:rPr>
            <w:sz w:val="20"/>
            <w:color w:val="0000ff"/>
          </w:rPr>
          <w:t xml:space="preserve">II</w:t>
        </w:r>
      </w:hyperlink>
      <w:r>
        <w:rPr>
          <w:sz w:val="20"/>
        </w:rPr>
        <w:t xml:space="preserve">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position w:val="-23"/>
        </w:rPr>
        <w:drawing>
          <wp:inline distT="0" distB="0" distL="0" distR="0">
            <wp:extent cx="4667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800" w:tooltip="а) способствование повышению эффективности управления муниципальными финансами;">
        <w:r>
          <w:rPr>
            <w:sz w:val="20"/>
            <w:color w:val="0000ff"/>
          </w:rPr>
          <w:t xml:space="preserve">подпунктам "а"</w:t>
        </w:r>
      </w:hyperlink>
      <w:r>
        <w:rPr>
          <w:sz w:val="20"/>
        </w:rPr>
        <w:t xml:space="preserve">, </w:t>
      </w:r>
      <w:hyperlink w:history="0" w:anchor="P802" w:tooltip="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803" w:tooltip="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806" w:tooltip="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подраздела II &quot;Практика муниципального образования в сфере &quot;управление муниципальными финансами&quot; (далее - Подраздел II);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 и </w:t>
      </w:r>
      <w:hyperlink w:history="0" w:anchor="P809" w:tooltip="к) наличие положительной динамики соответствующих показателей (применяется в отношении Подраздела II).">
        <w:r>
          <w:rPr>
            <w:sz w:val="20"/>
            <w:color w:val="0000ff"/>
          </w:rPr>
          <w:t xml:space="preserve">"к" пункта 7</w:t>
        </w:r>
      </w:hyperlink>
      <w:r>
        <w:rPr>
          <w:sz w:val="20"/>
        </w:rPr>
        <w:t xml:space="preserve">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position w:val="-23"/>
        </w:rPr>
        <w:drawing>
          <wp:inline distT="0" distB="0" distL="0" distR="0">
            <wp:extent cx="457200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801" w:tooltip="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подраздела I &quot;Практика муниципального образования в сфере &quot;муниципальная экономическая политика&quot; (далее - Подраздел I);">
        <w:r>
          <w:rPr>
            <w:sz w:val="20"/>
            <w:color w:val="0000ff"/>
          </w:rPr>
          <w:t xml:space="preserve">подпунктам "б"</w:t>
        </w:r>
      </w:hyperlink>
      <w:r>
        <w:rPr>
          <w:sz w:val="20"/>
        </w:rPr>
        <w:t xml:space="preserve">, </w:t>
      </w:r>
      <w:hyperlink w:history="0" w:anchor="P803" w:tooltip="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, </w:t>
      </w:r>
      <w:hyperlink w:history="0" w:anchor="P805" w:tooltip="е) способствование развитию муниципальной экономической политики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, </w:t>
      </w:r>
      <w:hyperlink w:history="0" w:anchor="P807" w:tooltip="з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 и </w:t>
      </w:r>
      <w:hyperlink w:history="0" w:anchor="P808" w:tooltip="и) содействие улучшению социально-экономического развития муниципального образования;">
        <w:r>
          <w:rPr>
            <w:sz w:val="20"/>
            <w:color w:val="0000ff"/>
          </w:rPr>
          <w:t xml:space="preserve">"и" пункта 7</w:t>
        </w:r>
      </w:hyperlink>
      <w:r>
        <w:rPr>
          <w:sz w:val="20"/>
        </w:rPr>
        <w:t xml:space="preserve"> настоящей Методики.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Итоговая сумма баллов по </w:t>
      </w:r>
      <w:hyperlink w:history="0" w:anchor="P158" w:tooltip="раздел II &quot;Управление муниципальными финансами&quot;">
        <w:r>
          <w:rPr>
            <w:sz w:val="20"/>
            <w:color w:val="0000ff"/>
          </w:rPr>
          <w:t xml:space="preserve">Разделу II</w:t>
        </w:r>
      </w:hyperlink>
      <w:r>
        <w:rPr>
          <w:sz w:val="20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II(i)</w:t>
      </w:r>
      <w:r>
        <w:rPr>
          <w:sz w:val="20"/>
        </w:rPr>
        <w:t xml:space="preserve"> = 20 x div</w:t>
      </w:r>
      <w:r>
        <w:rPr>
          <w:sz w:val="20"/>
          <w:vertAlign w:val="subscript"/>
        </w:rPr>
        <w:t xml:space="preserve">II1(i)</w:t>
      </w:r>
      <w:r>
        <w:rPr>
          <w:sz w:val="20"/>
        </w:rPr>
        <w:t xml:space="preserve"> + 6 x div</w:t>
      </w:r>
      <w:r>
        <w:rPr>
          <w:sz w:val="20"/>
          <w:vertAlign w:val="subscript"/>
        </w:rPr>
        <w:t xml:space="preserve">II2(i)</w:t>
      </w:r>
      <w:r>
        <w:rPr>
          <w:sz w:val="20"/>
        </w:rPr>
        <w:t xml:space="preserve"> + 10 x div</w:t>
      </w:r>
      <w:r>
        <w:rPr>
          <w:sz w:val="20"/>
          <w:vertAlign w:val="subscript"/>
        </w:rPr>
        <w:t xml:space="preserve">II3(i)</w:t>
      </w:r>
      <w:r>
        <w:rPr>
          <w:sz w:val="20"/>
        </w:rPr>
        <w:t xml:space="preserve"> + 4 x div</w:t>
      </w:r>
      <w:r>
        <w:rPr>
          <w:sz w:val="20"/>
          <w:vertAlign w:val="subscript"/>
        </w:rPr>
        <w:t xml:space="preserve">II4(i)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II(i)</w:t>
      </w:r>
      <w:r>
        <w:rPr>
          <w:sz w:val="20"/>
        </w:rPr>
        <w:t xml:space="preserve"> - итоговая сумма баллов по i-му муниципальному образованию по </w:t>
      </w:r>
      <w:hyperlink w:history="0" w:anchor="P158" w:tooltip="раздел II &quot;Управление муниципальными финансами&quot;">
        <w:r>
          <w:rPr>
            <w:sz w:val="20"/>
            <w:color w:val="0000ff"/>
          </w:rPr>
          <w:t xml:space="preserve">Разделу II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II1(i)</w:t>
      </w:r>
      <w:r>
        <w:rPr>
          <w:sz w:val="20"/>
        </w:rPr>
        <w:t xml:space="preserve"> - итоговая сумма коэффициентов по </w:t>
      </w:r>
      <w:hyperlink w:history="0" w:anchor="P159" w:tooltip="1. Показатели, характеризующие качество управления бюджетными доходами и расходами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качество управления бюджетными доходами и расходами" Раздела 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II1(i)</w:t>
      </w:r>
      <w:r>
        <w:rPr>
          <w:sz w:val="20"/>
        </w:rPr>
        <w:t xml:space="preserve"> = 0,15 x U</w:t>
      </w:r>
      <w:r>
        <w:rPr>
          <w:sz w:val="20"/>
          <w:vertAlign w:val="subscript"/>
        </w:rPr>
        <w:t xml:space="preserve">11i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12i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13i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14i</w:t>
      </w:r>
      <w:r>
        <w:rPr>
          <w:sz w:val="20"/>
        </w:rPr>
        <w:t xml:space="preserve"> + 0,15 x U</w:t>
      </w:r>
      <w:r>
        <w:rPr>
          <w:sz w:val="20"/>
          <w:vertAlign w:val="subscript"/>
        </w:rPr>
        <w:t xml:space="preserve">15i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16i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17i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18i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19i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110i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111i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112i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11i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112i</w:t>
      </w:r>
      <w:r>
        <w:rPr>
          <w:sz w:val="20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0"/>
            <w:color w:val="0000ff"/>
          </w:rPr>
          <w:t xml:space="preserve">подпунктами "з"</w:t>
        </w:r>
      </w:hyperlink>
      <w:r>
        <w:rPr>
          <w:sz w:val="20"/>
        </w:rPr>
        <w:t xml:space="preserve"> и "и" пункта 5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II2(i)</w:t>
      </w:r>
      <w:r>
        <w:rPr>
          <w:sz w:val="20"/>
        </w:rPr>
        <w:t xml:space="preserve"> - итоговая сумма коэффициентов по </w:t>
      </w:r>
      <w:hyperlink w:history="0" w:anchor="P310" w:tooltip="2. Показатели, характеризующие качество управления муниципальным долгом &lt;6&gt;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качество управления муниципальным долгом" Раздела 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II2(i)</w:t>
      </w:r>
      <w:r>
        <w:rPr>
          <w:sz w:val="20"/>
        </w:rPr>
        <w:t xml:space="preserve"> = 0,2 x U</w:t>
      </w:r>
      <w:r>
        <w:rPr>
          <w:sz w:val="20"/>
          <w:vertAlign w:val="subscript"/>
        </w:rPr>
        <w:t xml:space="preserve">21i</w:t>
      </w:r>
      <w:r>
        <w:rPr>
          <w:sz w:val="20"/>
        </w:rPr>
        <w:t xml:space="preserve"> + 0,2 x U</w:t>
      </w:r>
      <w:r>
        <w:rPr>
          <w:sz w:val="20"/>
          <w:vertAlign w:val="subscript"/>
        </w:rPr>
        <w:t xml:space="preserve">22i</w:t>
      </w:r>
      <w:r>
        <w:rPr>
          <w:sz w:val="20"/>
        </w:rPr>
        <w:t xml:space="preserve"> + 0,4 x U</w:t>
      </w:r>
      <w:r>
        <w:rPr>
          <w:sz w:val="20"/>
          <w:vertAlign w:val="subscript"/>
        </w:rPr>
        <w:t xml:space="preserve">23i</w:t>
      </w:r>
      <w:r>
        <w:rPr>
          <w:sz w:val="20"/>
        </w:rPr>
        <w:t xml:space="preserve"> +</w:t>
      </w:r>
    </w:p>
    <w:p>
      <w:pPr>
        <w:pStyle w:val="0"/>
        <w:jc w:val="center"/>
      </w:pPr>
      <w:r>
        <w:rPr>
          <w:sz w:val="20"/>
        </w:rPr>
        <w:t xml:space="preserve">+ 0,2 x U</w:t>
      </w:r>
      <w:r>
        <w:rPr>
          <w:sz w:val="20"/>
          <w:vertAlign w:val="subscript"/>
        </w:rPr>
        <w:t xml:space="preserve">24i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21i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24i</w:t>
      </w:r>
      <w:r>
        <w:rPr>
          <w:sz w:val="20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0"/>
            <w:color w:val="0000ff"/>
          </w:rPr>
          <w:t xml:space="preserve">подпунктами "з"</w:t>
        </w:r>
      </w:hyperlink>
      <w:r>
        <w:rPr>
          <w:sz w:val="20"/>
        </w:rPr>
        <w:t xml:space="preserve"> и "и" пункта 5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II3(i)</w:t>
      </w:r>
      <w:r>
        <w:rPr>
          <w:sz w:val="20"/>
        </w:rPr>
        <w:t xml:space="preserve"> - итоговая сумма коэффициентов по </w:t>
      </w:r>
      <w:hyperlink w:history="0" w:anchor="P353" w:tooltip="3. Показатели, характеризующие качество бюджетного планирования и исполнения бюджета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качество бюджетного планирования и исполнения бюджета" Раздела 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II3(i)</w:t>
      </w:r>
      <w:r>
        <w:rPr>
          <w:sz w:val="20"/>
        </w:rPr>
        <w:t xml:space="preserve"> = 0,1 x U</w:t>
      </w:r>
      <w:r>
        <w:rPr>
          <w:sz w:val="20"/>
          <w:vertAlign w:val="subscript"/>
        </w:rPr>
        <w:t xml:space="preserve">31i</w:t>
      </w:r>
      <w:r>
        <w:rPr>
          <w:sz w:val="20"/>
        </w:rPr>
        <w:t xml:space="preserve"> + 0,25 x U</w:t>
      </w:r>
      <w:r>
        <w:rPr>
          <w:sz w:val="20"/>
          <w:vertAlign w:val="subscript"/>
        </w:rPr>
        <w:t xml:space="preserve">32i</w:t>
      </w:r>
      <w:r>
        <w:rPr>
          <w:sz w:val="20"/>
        </w:rPr>
        <w:t xml:space="preserve"> + 0,15 x U</w:t>
      </w:r>
      <w:r>
        <w:rPr>
          <w:sz w:val="20"/>
          <w:vertAlign w:val="subscript"/>
        </w:rPr>
        <w:t xml:space="preserve">33i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34i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35i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36i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37i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38i</w:t>
      </w:r>
      <w:r>
        <w:rPr>
          <w:sz w:val="20"/>
        </w:rPr>
        <w:t xml:space="preserve"> + 0,1 x U</w:t>
      </w:r>
      <w:r>
        <w:rPr>
          <w:sz w:val="20"/>
          <w:vertAlign w:val="subscript"/>
        </w:rPr>
        <w:t xml:space="preserve">39i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31i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39i</w:t>
      </w:r>
      <w:r>
        <w:rPr>
          <w:sz w:val="20"/>
        </w:rPr>
        <w:t xml:space="preserve"> - индексы, определяемые в соответствии с </w:t>
      </w:r>
      <w:hyperlink w:history="0" w:anchor="P766" w:tooltip="а) показателям, предусмотренным пунктами 3.1, 3.5, 3.6, 3.8, 3.9, 5.1 - 5.5, 7.5 конкурсной заявки, в случае положительного ответа присваивается индекс 1, в случае отрицательного - 0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 и "и" пункта 5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II4(i)</w:t>
      </w:r>
      <w:r>
        <w:rPr>
          <w:sz w:val="20"/>
        </w:rPr>
        <w:t xml:space="preserve"> - итоговая сумма коэффициентов по </w:t>
      </w:r>
      <w:hyperlink w:history="0" w:anchor="P423" w:tooltip="4. Показатели, характеризующие кадровый состав финансового органа муниципального образования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II4(i)</w:t>
      </w:r>
      <w:r>
        <w:rPr>
          <w:sz w:val="20"/>
        </w:rPr>
        <w:t xml:space="preserve"> = 0,5 x U</w:t>
      </w:r>
      <w:r>
        <w:rPr>
          <w:sz w:val="20"/>
          <w:vertAlign w:val="subscript"/>
        </w:rPr>
        <w:t xml:space="preserve">41i</w:t>
      </w:r>
      <w:r>
        <w:rPr>
          <w:sz w:val="20"/>
        </w:rPr>
        <w:t xml:space="preserve"> + 0,2 x U</w:t>
      </w:r>
      <w:r>
        <w:rPr>
          <w:sz w:val="20"/>
          <w:vertAlign w:val="subscript"/>
        </w:rPr>
        <w:t xml:space="preserve">42i</w:t>
      </w:r>
      <w:r>
        <w:rPr>
          <w:sz w:val="20"/>
        </w:rPr>
        <w:t xml:space="preserve"> + 0,3 x U</w:t>
      </w:r>
      <w:r>
        <w:rPr>
          <w:sz w:val="20"/>
          <w:vertAlign w:val="subscript"/>
        </w:rPr>
        <w:t xml:space="preserve">43i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41i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43i</w:t>
      </w:r>
      <w:r>
        <w:rPr>
          <w:sz w:val="20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0"/>
            <w:color w:val="0000ff"/>
          </w:rPr>
          <w:t xml:space="preserve">подпунктом "з" пункта 5</w:t>
        </w:r>
      </w:hyperlink>
      <w:r>
        <w:rPr>
          <w:sz w:val="20"/>
        </w:rPr>
        <w:t xml:space="preserve"> настоящей Методики.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Итоговая сумма баллов по </w:t>
      </w:r>
      <w:hyperlink w:history="0" w:anchor="P460" w:tooltip="раздел III &quot;Муниципальная экономическая политика&quot;">
        <w:r>
          <w:rPr>
            <w:sz w:val="20"/>
            <w:color w:val="0000ff"/>
          </w:rPr>
          <w:t xml:space="preserve">Разделу III</w:t>
        </w:r>
      </w:hyperlink>
      <w:r>
        <w:rPr>
          <w:sz w:val="20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III(i)</w:t>
      </w:r>
      <w:r>
        <w:rPr>
          <w:sz w:val="20"/>
        </w:rPr>
        <w:t xml:space="preserve"> = 5 x div</w:t>
      </w:r>
      <w:r>
        <w:rPr>
          <w:sz w:val="20"/>
          <w:vertAlign w:val="subscript"/>
        </w:rPr>
        <w:t xml:space="preserve">III5(i)</w:t>
      </w:r>
      <w:r>
        <w:rPr>
          <w:sz w:val="20"/>
        </w:rPr>
        <w:t xml:space="preserve"> + 5 x div</w:t>
      </w:r>
      <w:r>
        <w:rPr>
          <w:sz w:val="20"/>
          <w:vertAlign w:val="subscript"/>
        </w:rPr>
        <w:t xml:space="preserve">III6(i)</w:t>
      </w:r>
      <w:r>
        <w:rPr>
          <w:sz w:val="20"/>
        </w:rPr>
        <w:t xml:space="preserve"> +</w:t>
      </w:r>
    </w:p>
    <w:p>
      <w:pPr>
        <w:pStyle w:val="0"/>
        <w:jc w:val="center"/>
      </w:pPr>
      <w:r>
        <w:rPr>
          <w:sz w:val="20"/>
        </w:rPr>
        <w:t xml:space="preserve">+ 20 x div</w:t>
      </w:r>
      <w:r>
        <w:rPr>
          <w:sz w:val="20"/>
          <w:vertAlign w:val="subscript"/>
        </w:rPr>
        <w:t xml:space="preserve">III7(i)</w:t>
      </w:r>
      <w:r>
        <w:rPr>
          <w:sz w:val="20"/>
        </w:rPr>
        <w:t xml:space="preserve"> + 10 x div</w:t>
      </w:r>
      <w:r>
        <w:rPr>
          <w:sz w:val="20"/>
          <w:vertAlign w:val="subscript"/>
        </w:rPr>
        <w:t xml:space="preserve">III8(i)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Ind</w:t>
      </w:r>
      <w:r>
        <w:rPr>
          <w:sz w:val="20"/>
          <w:vertAlign w:val="subscript"/>
        </w:rPr>
        <w:t xml:space="preserve">III(i)</w:t>
      </w:r>
      <w:r>
        <w:rPr>
          <w:sz w:val="20"/>
        </w:rPr>
        <w:t xml:space="preserve"> - итоговая сумма баллов по i-му муниципальному образованию по </w:t>
      </w:r>
      <w:hyperlink w:history="0" w:anchor="P460" w:tooltip="раздел III &quot;Муниципальная экономическая политика&quot;">
        <w:r>
          <w:rPr>
            <w:sz w:val="20"/>
            <w:color w:val="0000ff"/>
          </w:rPr>
          <w:t xml:space="preserve">Разделу III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III5(i)</w:t>
      </w:r>
      <w:r>
        <w:rPr>
          <w:sz w:val="20"/>
        </w:rPr>
        <w:t xml:space="preserve"> - итоговая сумма коэффициентов по </w:t>
      </w:r>
      <w:hyperlink w:history="0" w:anchor="P461" w:tooltip="5. Показатели, характеризующие лучшую практику формирования системы стратегического управления муниципальным образованием &lt;8&gt;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III5(i)</w:t>
      </w:r>
      <w:r>
        <w:rPr>
          <w:sz w:val="20"/>
        </w:rPr>
        <w:t xml:space="preserve"> = 0,2 x (U</w:t>
      </w:r>
      <w:r>
        <w:rPr>
          <w:sz w:val="20"/>
          <w:vertAlign w:val="subscript"/>
        </w:rPr>
        <w:t xml:space="preserve">51i</w:t>
      </w:r>
      <w:r>
        <w:rPr>
          <w:sz w:val="20"/>
        </w:rPr>
        <w:t xml:space="preserve"> + U</w:t>
      </w:r>
      <w:r>
        <w:rPr>
          <w:sz w:val="20"/>
          <w:vertAlign w:val="subscript"/>
        </w:rPr>
        <w:t xml:space="preserve">52i</w:t>
      </w:r>
      <w:r>
        <w:rPr>
          <w:sz w:val="20"/>
        </w:rPr>
        <w:t xml:space="preserve"> + U</w:t>
      </w:r>
      <w:r>
        <w:rPr>
          <w:sz w:val="20"/>
          <w:vertAlign w:val="subscript"/>
        </w:rPr>
        <w:t xml:space="preserve">53i</w:t>
      </w:r>
      <w:r>
        <w:rPr>
          <w:sz w:val="20"/>
        </w:rPr>
        <w:t xml:space="preserve"> + U</w:t>
      </w:r>
      <w:r>
        <w:rPr>
          <w:sz w:val="20"/>
          <w:vertAlign w:val="subscript"/>
        </w:rPr>
        <w:t xml:space="preserve">54i</w:t>
      </w:r>
      <w:r>
        <w:rPr>
          <w:sz w:val="20"/>
        </w:rPr>
        <w:t xml:space="preserve"> + U</w:t>
      </w:r>
      <w:r>
        <w:rPr>
          <w:sz w:val="20"/>
          <w:vertAlign w:val="subscript"/>
        </w:rPr>
        <w:t xml:space="preserve">54i</w:t>
      </w:r>
      <w:r>
        <w:rPr>
          <w:sz w:val="20"/>
        </w:rPr>
        <w:t xml:space="preserve">),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51i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54i</w:t>
      </w:r>
      <w:r>
        <w:rPr>
          <w:sz w:val="20"/>
        </w:rPr>
        <w:t xml:space="preserve"> - индексы, определяемые в соответствии с </w:t>
      </w:r>
      <w:hyperlink w:history="0" w:anchor="P766" w:tooltip="а) показателям, предусмотренным пунктами 3.1, 3.5, 3.6, 3.8, 3.9, 5.1 - 5.5, 7.5 конкурсной заявки, в случае положительного ответа присваивается индекс 1, в случае отрицательного - 0;">
        <w:r>
          <w:rPr>
            <w:sz w:val="20"/>
            <w:color w:val="0000ff"/>
          </w:rPr>
          <w:t xml:space="preserve">подпунктом "а" пункта 5</w:t>
        </w:r>
      </w:hyperlink>
      <w:r>
        <w:rPr>
          <w:sz w:val="20"/>
        </w:rPr>
        <w:t xml:space="preserve">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III6(i)</w:t>
      </w:r>
      <w:r>
        <w:rPr>
          <w:sz w:val="20"/>
        </w:rPr>
        <w:t xml:space="preserve"> - итоговая сумма коэффициентов по </w:t>
      </w:r>
      <w:hyperlink w:history="0" w:anchor="P482" w:tooltip="6. Показатели, характеризующие лучшее муниципальное образование по уровню развития муниципально-частного партнерства (МЧП) и опыту реализации проектов МЧП в социальной сфере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III6(i)</w:t>
      </w:r>
      <w:r>
        <w:rPr>
          <w:sz w:val="20"/>
        </w:rPr>
        <w:t xml:space="preserve"> = 0,04 x d</w:t>
      </w:r>
      <w:r>
        <w:rPr>
          <w:sz w:val="20"/>
          <w:vertAlign w:val="subscript"/>
        </w:rPr>
        <w:t xml:space="preserve">61(i)</w:t>
      </w:r>
      <w:r>
        <w:rPr>
          <w:sz w:val="20"/>
        </w:rPr>
        <w:t xml:space="preserve"> + 0,08 x d</w:t>
      </w:r>
      <w:r>
        <w:rPr>
          <w:sz w:val="20"/>
          <w:vertAlign w:val="subscript"/>
        </w:rPr>
        <w:t xml:space="preserve">62(i)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61(i)</w:t>
      </w:r>
      <w:r>
        <w:rPr>
          <w:sz w:val="20"/>
        </w:rP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61(i)</w:t>
      </w:r>
      <w:r>
        <w:rPr>
          <w:sz w:val="20"/>
        </w:rPr>
        <w:t xml:space="preserve"> = U</w:t>
      </w:r>
      <w:r>
        <w:rPr>
          <w:sz w:val="20"/>
          <w:vertAlign w:val="subscript"/>
        </w:rPr>
        <w:t xml:space="preserve">61i</w:t>
      </w:r>
      <w:r>
        <w:rPr>
          <w:sz w:val="20"/>
        </w:rPr>
        <w:t xml:space="preserve"> + U</w:t>
      </w:r>
      <w:r>
        <w:rPr>
          <w:sz w:val="20"/>
          <w:vertAlign w:val="subscript"/>
        </w:rPr>
        <w:t xml:space="preserve">62i</w:t>
      </w:r>
      <w:r>
        <w:rPr>
          <w:sz w:val="20"/>
        </w:rPr>
        <w:t xml:space="preserve"> + U</w:t>
      </w:r>
      <w:r>
        <w:rPr>
          <w:sz w:val="20"/>
          <w:vertAlign w:val="subscript"/>
        </w:rPr>
        <w:t xml:space="preserve">63i</w:t>
      </w:r>
      <w:r>
        <w:rPr>
          <w:sz w:val="20"/>
        </w:rPr>
        <w:t xml:space="preserve"> + U</w:t>
      </w:r>
      <w:r>
        <w:rPr>
          <w:sz w:val="20"/>
          <w:vertAlign w:val="subscript"/>
        </w:rPr>
        <w:t xml:space="preserve">64i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61i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64i</w:t>
      </w:r>
      <w:r>
        <w:rPr>
          <w:sz w:val="20"/>
        </w:rPr>
        <w:t xml:space="preserve"> - индексы, определяемые в соответствии с </w:t>
      </w:r>
      <w:hyperlink w:history="0" w:anchor="P767" w:tooltip="б) показателям, предусмотренным пунктами 6.1 - 6.4 конкурсной заявки, в случае положительного ответа присваивается индекс 1,75, в случае отрицательного - 0;">
        <w:r>
          <w:rPr>
            <w:sz w:val="20"/>
            <w:color w:val="0000ff"/>
          </w:rPr>
          <w:t xml:space="preserve">подпунктом "б" пункта 5</w:t>
        </w:r>
      </w:hyperlink>
      <w:r>
        <w:rPr>
          <w:sz w:val="20"/>
        </w:rPr>
        <w:t xml:space="preserve">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</w:t>
      </w:r>
      <w:r>
        <w:rPr>
          <w:sz w:val="20"/>
          <w:vertAlign w:val="subscript"/>
        </w:rPr>
        <w:t xml:space="preserve">62(i)</w:t>
      </w:r>
      <w:r>
        <w:rPr>
          <w:sz w:val="20"/>
        </w:rPr>
        <w:t xml:space="preserve"> - оценка опыта реализации проектов МЧП в муниципальном образовании,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2"/>
        </w:rPr>
        <w:drawing>
          <wp:inline distT="0" distB="0" distL="0" distR="0">
            <wp:extent cx="3267075" cy="533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коэффициент отраслевой дифференциации проектов, определяемый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проектов, реализуемых в одной отрасли, k =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проектов, реализуемых в двух отраслях, k = 1,1;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проектов, реализуемых в трех и более отраслях, k = 1,2;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общее количество критериев;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общее количество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III7(i)</w:t>
      </w:r>
      <w:r>
        <w:rPr>
          <w:sz w:val="20"/>
        </w:rPr>
        <w:t xml:space="preserve"> - итоговая сумма коэффициентов по </w:t>
      </w:r>
      <w:hyperlink w:history="0" w:anchor="P524" w:tooltip="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III7(i)</w:t>
      </w:r>
      <w:r>
        <w:rPr>
          <w:sz w:val="20"/>
        </w:rPr>
        <w:t xml:space="preserve"> = 0,08 x U</w:t>
      </w:r>
      <w:r>
        <w:rPr>
          <w:sz w:val="20"/>
          <w:vertAlign w:val="subscript"/>
        </w:rPr>
        <w:t xml:space="preserve">71i</w:t>
      </w:r>
      <w:r>
        <w:rPr>
          <w:sz w:val="20"/>
        </w:rPr>
        <w:t xml:space="preserve"> + 0,09 x U</w:t>
      </w:r>
      <w:r>
        <w:rPr>
          <w:sz w:val="20"/>
          <w:vertAlign w:val="subscript"/>
        </w:rPr>
        <w:t xml:space="preserve">72i</w:t>
      </w:r>
      <w:r>
        <w:rPr>
          <w:sz w:val="20"/>
        </w:rPr>
        <w:t xml:space="preserve"> + 0,08 x U</w:t>
      </w:r>
      <w:r>
        <w:rPr>
          <w:sz w:val="20"/>
          <w:vertAlign w:val="subscript"/>
        </w:rPr>
        <w:t xml:space="preserve">73i</w:t>
      </w:r>
      <w:r>
        <w:rPr>
          <w:sz w:val="20"/>
        </w:rPr>
        <w:t xml:space="preserve"> +</w:t>
      </w:r>
    </w:p>
    <w:p>
      <w:pPr>
        <w:pStyle w:val="0"/>
        <w:jc w:val="center"/>
      </w:pPr>
      <w:r>
        <w:rPr>
          <w:sz w:val="20"/>
        </w:rPr>
        <w:t xml:space="preserve">+ 0,15 x U</w:t>
      </w:r>
      <w:r>
        <w:rPr>
          <w:sz w:val="20"/>
          <w:vertAlign w:val="subscript"/>
        </w:rPr>
        <w:t xml:space="preserve">74i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75i</w:t>
      </w:r>
      <w:r>
        <w:rPr>
          <w:sz w:val="20"/>
        </w:rPr>
        <w:t xml:space="preserve"> + 0,15 x U</w:t>
      </w:r>
      <w:r>
        <w:rPr>
          <w:sz w:val="20"/>
          <w:vertAlign w:val="subscript"/>
        </w:rPr>
        <w:t xml:space="preserve">76i</w:t>
      </w:r>
      <w:r>
        <w:rPr>
          <w:sz w:val="20"/>
        </w:rPr>
        <w:t xml:space="preserve"> + 0,13 x U</w:t>
      </w:r>
      <w:r>
        <w:rPr>
          <w:sz w:val="20"/>
          <w:vertAlign w:val="subscript"/>
        </w:rPr>
        <w:t xml:space="preserve">77i</w:t>
      </w:r>
      <w:r>
        <w:rPr>
          <w:sz w:val="20"/>
        </w:rPr>
        <w:t xml:space="preserve"> +</w:t>
      </w:r>
    </w:p>
    <w:p>
      <w:pPr>
        <w:pStyle w:val="0"/>
        <w:jc w:val="center"/>
      </w:pPr>
      <w:r>
        <w:rPr>
          <w:sz w:val="20"/>
        </w:rPr>
        <w:t xml:space="preserve">+ 0,03 x U</w:t>
      </w:r>
      <w:r>
        <w:rPr>
          <w:sz w:val="20"/>
          <w:vertAlign w:val="subscript"/>
        </w:rPr>
        <w:t xml:space="preserve">78i</w:t>
      </w:r>
      <w:r>
        <w:rPr>
          <w:sz w:val="20"/>
        </w:rPr>
        <w:t xml:space="preserve"> + 0,07 x U</w:t>
      </w:r>
      <w:r>
        <w:rPr>
          <w:sz w:val="20"/>
          <w:vertAlign w:val="subscript"/>
        </w:rPr>
        <w:t xml:space="preserve">79i</w:t>
      </w:r>
      <w:r>
        <w:rPr>
          <w:sz w:val="20"/>
        </w:rPr>
        <w:t xml:space="preserve"> + 0,05 x U</w:t>
      </w:r>
      <w:r>
        <w:rPr>
          <w:sz w:val="20"/>
          <w:vertAlign w:val="subscript"/>
        </w:rPr>
        <w:t xml:space="preserve">710i</w:t>
      </w:r>
      <w:r>
        <w:rPr>
          <w:sz w:val="20"/>
        </w:rPr>
        <w:t xml:space="preserve"> + 0,08 x U</w:t>
      </w:r>
      <w:r>
        <w:rPr>
          <w:sz w:val="20"/>
          <w:vertAlign w:val="subscript"/>
        </w:rPr>
        <w:t xml:space="preserve">711i</w:t>
      </w:r>
      <w:r>
        <w:rPr>
          <w:sz w:val="20"/>
        </w:rPr>
        <w:t xml:space="preserve"> +</w:t>
      </w:r>
    </w:p>
    <w:p>
      <w:pPr>
        <w:pStyle w:val="0"/>
        <w:jc w:val="center"/>
      </w:pPr>
      <w:r>
        <w:rPr>
          <w:sz w:val="20"/>
        </w:rPr>
        <w:t xml:space="preserve">+ 0,04 x U</w:t>
      </w:r>
      <w:r>
        <w:rPr>
          <w:sz w:val="20"/>
          <w:vertAlign w:val="subscript"/>
        </w:rPr>
        <w:t xml:space="preserve">712i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71i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712i</w:t>
      </w:r>
      <w:r>
        <w:rPr>
          <w:sz w:val="20"/>
        </w:rPr>
        <w:t xml:space="preserve"> - индексы, определяемые в соответствии с </w:t>
      </w:r>
      <w:hyperlink w:history="0" w:anchor="P766" w:tooltip="а) показателям, предусмотренным пунктами 3.1, 3.5, 3.6, 3.8, 3.9, 5.1 - 5.5, 7.5 конкурсной заявки, в случае положительного ответа присваивается индекс 1, в случае отрицательного - 0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 и "и" пункта 5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III8(i)</w:t>
      </w:r>
      <w:r>
        <w:rPr>
          <w:sz w:val="20"/>
        </w:rPr>
        <w:t xml:space="preserve"> - итоговая сумма коэффициентов по </w:t>
      </w:r>
      <w:hyperlink w:history="0" w:anchor="P666" w:tooltip="8. Показатели, характеризующие повышение уровня транспортной доступности">
        <w:r>
          <w:rPr>
            <w:sz w:val="20"/>
            <w:color w:val="0000ff"/>
          </w:rPr>
          <w:t xml:space="preserve">подразделу</w:t>
        </w:r>
      </w:hyperlink>
      <w:r>
        <w:rPr>
          <w:sz w:val="20"/>
        </w:rPr>
        <w:t xml:space="preserve"> "Показатели, характеризующие повышение уровня транспортной доступности" Раздела III,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div</w:t>
      </w:r>
      <w:r>
        <w:rPr>
          <w:sz w:val="20"/>
          <w:vertAlign w:val="subscript"/>
        </w:rPr>
        <w:t xml:space="preserve">III8(i)</w:t>
      </w:r>
      <w:r>
        <w:rPr>
          <w:sz w:val="20"/>
        </w:rPr>
        <w:t xml:space="preserve"> = 0,45 x U</w:t>
      </w:r>
      <w:r>
        <w:rPr>
          <w:sz w:val="20"/>
          <w:vertAlign w:val="subscript"/>
        </w:rPr>
        <w:t xml:space="preserve">81i</w:t>
      </w:r>
      <w:r>
        <w:rPr>
          <w:sz w:val="20"/>
        </w:rPr>
        <w:t xml:space="preserve"> + 0,3 x U</w:t>
      </w:r>
      <w:r>
        <w:rPr>
          <w:sz w:val="20"/>
          <w:vertAlign w:val="subscript"/>
        </w:rPr>
        <w:t xml:space="preserve">82i</w:t>
      </w:r>
      <w:r>
        <w:rPr>
          <w:sz w:val="20"/>
        </w:rPr>
        <w:t xml:space="preserve"> + 0,25 x U</w:t>
      </w:r>
      <w:r>
        <w:rPr>
          <w:sz w:val="20"/>
          <w:vertAlign w:val="subscript"/>
        </w:rPr>
        <w:t xml:space="preserve">83i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81i</w:t>
      </w:r>
      <w:r>
        <w:rPr>
          <w:sz w:val="20"/>
        </w:rPr>
        <w:t xml:space="preserve">...U</w:t>
      </w:r>
      <w:r>
        <w:rPr>
          <w:sz w:val="20"/>
          <w:vertAlign w:val="subscript"/>
        </w:rPr>
        <w:t xml:space="preserve">83i</w:t>
      </w:r>
      <w:r>
        <w:rPr>
          <w:sz w:val="20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0"/>
            <w:color w:val="0000ff"/>
          </w:rPr>
          <w:t xml:space="preserve">подпунктами "з"</w:t>
        </w:r>
      </w:hyperlink>
      <w:r>
        <w:rPr>
          <w:sz w:val="20"/>
        </w:rPr>
        <w:t xml:space="preserve"> и "и" пункта 5 настоящей Методики.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20.07.2020 N 435</w:t>
            <w:br/>
            <w:t>"Об утверждении формы конкурсной заявки муниципальных образований,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91AB91ED473955D81C76DB9E9BDFFED124CB4B049CABC3443BA638FD1325E80B02CDBA8DBFE1FB618B4A18E54559471F2DFE881BC1F75D46AU8H" TargetMode = "External"/>
	<Relationship Id="rId8" Type="http://schemas.openxmlformats.org/officeDocument/2006/relationships/hyperlink" Target="consultantplus://offline/ref=7F8F6C7957EA619B2252B122079C53AEC816512E450EC461991C2853842982897AF59E178E5C51621233B3CB6471U1H" TargetMode = "External"/>
	<Relationship Id="rId9" Type="http://schemas.openxmlformats.org/officeDocument/2006/relationships/image" Target="media/image2.wmf"/>
	<Relationship Id="rId10" Type="http://schemas.openxmlformats.org/officeDocument/2006/relationships/hyperlink" Target="consultantplus://offline/ref=7F8F6C7957EA619B2252B122079C53AECE1753254D0EC461991C2853842982897AF59E178E5C51621233B3CB6471U1H" TargetMode = "External"/>
	<Relationship Id="rId11" Type="http://schemas.openxmlformats.org/officeDocument/2006/relationships/image" Target="media/image3.wmf"/>
	<Relationship Id="rId12" Type="http://schemas.openxmlformats.org/officeDocument/2006/relationships/hyperlink" Target="consultantplus://offline/ref=7F8F6C7957EA619B2252B122079C53AECE135324420DC461991C2853842982897AF59E178E5C51621233B3CB6471U1H" TargetMode = "External"/>
	<Relationship Id="rId13" Type="http://schemas.openxmlformats.org/officeDocument/2006/relationships/hyperlink" Target="consultantplus://offline/ref=7F8F6C7957EA619B2252B122079C53AECE145724420DC461991C2853842982897AF59E178E5C51621233B3CB6471U1H" TargetMode = "External"/>
	<Relationship Id="rId14" Type="http://schemas.openxmlformats.org/officeDocument/2006/relationships/hyperlink" Target="consultantplus://offline/ref=7F8F6C7957EA619B2252B122079C53AECE145724430EC461991C2853842982897AF59E178E5C51621233B3CB6471U1H" TargetMode = "External"/>
	<Relationship Id="rId15" Type="http://schemas.openxmlformats.org/officeDocument/2006/relationships/image" Target="media/image4.wmf"/>
	<Relationship Id="rId16" Type="http://schemas.openxmlformats.org/officeDocument/2006/relationships/image" Target="media/image5.wmf"/>
	<Relationship Id="rId17" Type="http://schemas.openxmlformats.org/officeDocument/2006/relationships/hyperlink" Target="consultantplus://offline/ref=7F8F6C7957EA619B2252B122079C53AECE1753254D0EC461991C28538429828968F5C6198F5844364769E4C6671638E9D729A7A4FD76UEH" TargetMode = "External"/>
	<Relationship Id="rId18" Type="http://schemas.openxmlformats.org/officeDocument/2006/relationships/hyperlink" Target="consultantplus://offline/ref=7F8F6C7957EA619B2252B122079C53AEC91F58234004C461991C2853842982897AF59E178E5C51621233B3CB6471U1H" TargetMode = "External"/>
	<Relationship Id="rId19" Type="http://schemas.openxmlformats.org/officeDocument/2006/relationships/hyperlink" Target="consultantplus://offline/ref=7F8F6C7957EA619B2252B122079C53AECE145525440EC461991C28538429828968F5C61B8F584F6A1126E59A22472BE8D729A5A0E16F507A78UCH" TargetMode = "External"/>
	<Relationship Id="rId20" Type="http://schemas.openxmlformats.org/officeDocument/2006/relationships/hyperlink" Target="consultantplus://offline/ref=7F8F6C7957EA619B2252B122079C53AECE145724420DC461991C2853842982897AF59E178E5C51621233B3CB6471U1H" TargetMode = "External"/>
	<Relationship Id="rId21" Type="http://schemas.openxmlformats.org/officeDocument/2006/relationships/hyperlink" Target="consultantplus://offline/ref=7F8F6C7957EA619B2252B122079C53AECE145724430EC461991C2853842982897AF59E178E5C51621233B3CB6471U1H" TargetMode = "External"/>
	<Relationship Id="rId22" Type="http://schemas.openxmlformats.org/officeDocument/2006/relationships/image" Target="media/image6.wmf"/>
	<Relationship Id="rId23" Type="http://schemas.openxmlformats.org/officeDocument/2006/relationships/image" Target="media/image7.wmf"/>
	<Relationship Id="rId24" Type="http://schemas.openxmlformats.org/officeDocument/2006/relationships/image" Target="media/image8.wmf"/>
	<Relationship Id="rId25" Type="http://schemas.openxmlformats.org/officeDocument/2006/relationships/image" Target="media/image9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20.07.2020 N 435
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финансами",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</dc:title>
  <dcterms:created xsi:type="dcterms:W3CDTF">2023-04-14T07:20:57Z</dcterms:created>
</cp:coreProperties>
</file>