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81"/>
        <w:tblW w:w="9498" w:type="dxa"/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3C7E3E" w:rsidRPr="00A265E5" w:rsidTr="00EC5A01">
        <w:trPr>
          <w:cantSplit/>
          <w:trHeight w:val="542"/>
        </w:trPr>
        <w:tc>
          <w:tcPr>
            <w:tcW w:w="3686" w:type="dxa"/>
          </w:tcPr>
          <w:p w:rsidR="003C7E3E" w:rsidRPr="00A265E5" w:rsidRDefault="003C7E3E" w:rsidP="00EC5A01">
            <w:pPr>
              <w:ind w:left="567" w:hanging="567"/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ЧĂВАШ РЕСПУБЛИКИ</w:t>
            </w:r>
          </w:p>
          <w:p w:rsidR="003C7E3E" w:rsidRPr="00A265E5" w:rsidRDefault="003C7E3E" w:rsidP="00EC5A01">
            <w:pPr>
              <w:jc w:val="center"/>
            </w:pPr>
          </w:p>
        </w:tc>
        <w:tc>
          <w:tcPr>
            <w:tcW w:w="1843" w:type="dxa"/>
            <w:vMerge w:val="restart"/>
          </w:tcPr>
          <w:p w:rsidR="003C7E3E" w:rsidRPr="00A265E5" w:rsidRDefault="008810EA" w:rsidP="00EC5A01">
            <w:pPr>
              <w:tabs>
                <w:tab w:val="left" w:pos="1565"/>
              </w:tabs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2CB4F70" wp14:editId="7CB35FB7">
                  <wp:extent cx="704850" cy="8001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C7E3E" w:rsidRPr="00A265E5" w:rsidRDefault="003C7E3E" w:rsidP="00EC5A01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 xml:space="preserve">   ЧУВАШСКАЯ РЕСПУБЛИКА</w:t>
            </w:r>
          </w:p>
          <w:p w:rsidR="003C7E3E" w:rsidRPr="00A265E5" w:rsidRDefault="003C7E3E" w:rsidP="00EC5A01">
            <w:pPr>
              <w:jc w:val="center"/>
            </w:pPr>
          </w:p>
        </w:tc>
      </w:tr>
      <w:tr w:rsidR="003C7E3E" w:rsidRPr="00A265E5" w:rsidTr="00CE0972">
        <w:trPr>
          <w:cantSplit/>
          <w:trHeight w:val="2705"/>
        </w:trPr>
        <w:tc>
          <w:tcPr>
            <w:tcW w:w="3686" w:type="dxa"/>
          </w:tcPr>
          <w:p w:rsidR="003C7E3E" w:rsidRPr="00A265E5" w:rsidRDefault="003C7E3E" w:rsidP="009A2D0A">
            <w:pPr>
              <w:ind w:firstLine="0"/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ÇĚРПӲ</w:t>
            </w:r>
          </w:p>
          <w:p w:rsidR="003C7E3E" w:rsidRPr="00A265E5" w:rsidRDefault="003C7E3E" w:rsidP="00EC5A01">
            <w:pPr>
              <w:ind w:firstLine="0"/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МУНИЦИПАЛЛĂ ОКРУГĔН</w:t>
            </w:r>
          </w:p>
          <w:p w:rsidR="003C7E3E" w:rsidRPr="00A265E5" w:rsidRDefault="003C7E3E" w:rsidP="009A2D0A">
            <w:pPr>
              <w:ind w:firstLine="0"/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АДМИНИСТРАЦИЙĚ</w:t>
            </w:r>
          </w:p>
          <w:p w:rsidR="003C7E3E" w:rsidRPr="00A265E5" w:rsidRDefault="003C7E3E" w:rsidP="00EC5A01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9A2D0A">
            <w:pPr>
              <w:ind w:firstLine="0"/>
              <w:jc w:val="center"/>
              <w:rPr>
                <w:b/>
                <w:bCs/>
                <w:noProof/>
              </w:rPr>
            </w:pPr>
            <w:r w:rsidRPr="00A265E5">
              <w:rPr>
                <w:rStyle w:val="a3"/>
                <w:bCs/>
                <w:iCs/>
                <w:color w:val="000000"/>
                <w:sz w:val="22"/>
                <w:szCs w:val="22"/>
              </w:rPr>
              <w:t>ЙЫШӐНУ</w:t>
            </w:r>
          </w:p>
          <w:p w:rsidR="003C7E3E" w:rsidRPr="00A265E5" w:rsidRDefault="003C7E3E" w:rsidP="009A2D0A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284730" w:rsidRPr="00A265E5" w:rsidRDefault="003C7E3E" w:rsidP="00EC5A01">
            <w:pPr>
              <w:ind w:left="-142" w:right="-80" w:firstLine="176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284730">
              <w:rPr>
                <w:b/>
                <w:noProof/>
              </w:rPr>
              <w:t>4</w:t>
            </w:r>
            <w:r>
              <w:rPr>
                <w:b/>
                <w:noProof/>
              </w:rPr>
              <w:t xml:space="preserve"> ç</w:t>
            </w:r>
            <w:r w:rsidR="00CE0972">
              <w:rPr>
                <w:b/>
                <w:noProof/>
              </w:rPr>
              <w:t>.</w:t>
            </w:r>
            <w:r w:rsidR="00284730" w:rsidRPr="00A265E5">
              <w:rPr>
                <w:b/>
                <w:noProof/>
              </w:rPr>
              <w:t xml:space="preserve"> </w:t>
            </w:r>
            <w:r w:rsidR="00CE0972">
              <w:rPr>
                <w:b/>
                <w:noProof/>
              </w:rPr>
              <w:t xml:space="preserve">раштав </w:t>
            </w:r>
            <w:r w:rsidR="00284730" w:rsidRPr="00A265E5">
              <w:rPr>
                <w:b/>
                <w:noProof/>
              </w:rPr>
              <w:t>уйӑхĕн</w:t>
            </w:r>
            <w:r w:rsidR="00284730">
              <w:rPr>
                <w:b/>
                <w:noProof/>
              </w:rPr>
              <w:t xml:space="preserve"> </w:t>
            </w:r>
            <w:r w:rsidR="00CE0972">
              <w:rPr>
                <w:b/>
                <w:noProof/>
              </w:rPr>
              <w:t>18</w:t>
            </w:r>
            <w:r w:rsidR="00646B3D">
              <w:rPr>
                <w:b/>
                <w:noProof/>
              </w:rPr>
              <w:t xml:space="preserve"> -</w:t>
            </w:r>
            <w:r w:rsidR="00284730" w:rsidRPr="00A265E5">
              <w:rPr>
                <w:b/>
                <w:noProof/>
              </w:rPr>
              <w:t xml:space="preserve">мӗшӗ </w:t>
            </w:r>
            <w:r w:rsidR="00284730">
              <w:rPr>
                <w:b/>
                <w:noProof/>
              </w:rPr>
              <w:t xml:space="preserve">   </w:t>
            </w:r>
            <w:r w:rsidR="00CE0972">
              <w:rPr>
                <w:b/>
                <w:noProof/>
              </w:rPr>
              <w:t>1623 –м</w:t>
            </w:r>
            <w:r w:rsidR="00CE0972" w:rsidRPr="00A265E5">
              <w:rPr>
                <w:b/>
                <w:noProof/>
              </w:rPr>
              <w:t>ĕ</w:t>
            </w:r>
            <w:r w:rsidR="00CE0972">
              <w:rPr>
                <w:b/>
                <w:noProof/>
              </w:rPr>
              <w:t xml:space="preserve">ш </w:t>
            </w:r>
            <w:r w:rsidR="00284730" w:rsidRPr="00A265E5">
              <w:rPr>
                <w:b/>
                <w:noProof/>
              </w:rPr>
              <w:t>№</w:t>
            </w:r>
          </w:p>
          <w:p w:rsidR="00284730" w:rsidRPr="00A265E5" w:rsidRDefault="00284730" w:rsidP="00EC5A01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CE0972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>Ç</w:t>
            </w:r>
            <w:r w:rsidRPr="00A265E5">
              <w:rPr>
                <w:b/>
                <w:noProof/>
              </w:rPr>
              <w:t>ěрп</w:t>
            </w:r>
            <w:r w:rsidRPr="00A265E5">
              <w:rPr>
                <w:b/>
                <w:bCs/>
                <w:color w:val="000000"/>
              </w:rPr>
              <w:t>ÿ</w:t>
            </w:r>
            <w:r w:rsidRPr="00A265E5">
              <w:rPr>
                <w:b/>
                <w:noProof/>
              </w:rPr>
              <w:t xml:space="preserve"> хули</w:t>
            </w:r>
          </w:p>
        </w:tc>
        <w:tc>
          <w:tcPr>
            <w:tcW w:w="1843" w:type="dxa"/>
            <w:vMerge/>
            <w:vAlign w:val="center"/>
            <w:hideMark/>
          </w:tcPr>
          <w:p w:rsidR="003C7E3E" w:rsidRPr="00A265E5" w:rsidRDefault="003C7E3E" w:rsidP="00EC5A01"/>
        </w:tc>
        <w:tc>
          <w:tcPr>
            <w:tcW w:w="3969" w:type="dxa"/>
          </w:tcPr>
          <w:p w:rsidR="003C7E3E" w:rsidRPr="00A265E5" w:rsidRDefault="003C7E3E" w:rsidP="00EC5A01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>АДМИНИСТРАЦИЯ      ЦИВИЛЬСКОГО    МУНИЦИПАЛЬНОГО ОКРУГА</w:t>
            </w:r>
          </w:p>
          <w:p w:rsidR="003C7E3E" w:rsidRPr="00A265E5" w:rsidRDefault="003C7E3E" w:rsidP="00EC5A01">
            <w:pPr>
              <w:jc w:val="center"/>
              <w:rPr>
                <w:b/>
                <w:bCs/>
                <w:iCs/>
              </w:rPr>
            </w:pPr>
          </w:p>
          <w:p w:rsidR="003C7E3E" w:rsidRPr="00A265E5" w:rsidRDefault="003C7E3E" w:rsidP="009A2D0A">
            <w:pPr>
              <w:ind w:firstLine="0"/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ПОСТАНОВЛЕНИЕ</w:t>
            </w:r>
          </w:p>
          <w:p w:rsidR="003C7E3E" w:rsidRPr="00A265E5" w:rsidRDefault="003C7E3E" w:rsidP="00EC5A01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CE0972" w:rsidP="00CE097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18 декабря</w:t>
            </w:r>
            <w:r w:rsidR="00284730">
              <w:rPr>
                <w:b/>
                <w:bCs/>
                <w:noProof/>
              </w:rPr>
              <w:t xml:space="preserve"> </w:t>
            </w:r>
            <w:r w:rsidR="003C7E3E" w:rsidRPr="00A265E5">
              <w:rPr>
                <w:b/>
                <w:bCs/>
                <w:noProof/>
              </w:rPr>
              <w:t>202</w:t>
            </w:r>
            <w:r w:rsidR="00B71C4F">
              <w:rPr>
                <w:b/>
                <w:bCs/>
                <w:noProof/>
              </w:rPr>
              <w:t>4</w:t>
            </w:r>
            <w:r w:rsidR="003C7E3E" w:rsidRPr="00A265E5">
              <w:rPr>
                <w:b/>
                <w:bCs/>
                <w:noProof/>
              </w:rPr>
              <w:t xml:space="preserve"> г. №</w:t>
            </w:r>
            <w:r>
              <w:rPr>
                <w:b/>
                <w:bCs/>
                <w:noProof/>
              </w:rPr>
              <w:t xml:space="preserve"> 1623</w:t>
            </w:r>
            <w:r w:rsidR="00B71C4F">
              <w:rPr>
                <w:b/>
                <w:bCs/>
                <w:noProof/>
              </w:rPr>
              <w:t xml:space="preserve"> </w:t>
            </w:r>
            <w:r w:rsidR="003C7E3E" w:rsidRPr="00A265E5">
              <w:rPr>
                <w:b/>
                <w:bCs/>
                <w:noProof/>
              </w:rPr>
              <w:t xml:space="preserve"> </w:t>
            </w:r>
          </w:p>
          <w:p w:rsidR="003C7E3E" w:rsidRPr="00A265E5" w:rsidRDefault="003C7E3E" w:rsidP="00EC5A01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CE0972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>город Цивильск</w:t>
            </w:r>
          </w:p>
        </w:tc>
      </w:tr>
    </w:tbl>
    <w:p w:rsidR="00243139" w:rsidRPr="00F65365" w:rsidRDefault="00243139" w:rsidP="003B5F9B">
      <w:pPr>
        <w:tabs>
          <w:tab w:val="left" w:pos="8025"/>
        </w:tabs>
        <w:ind w:firstLine="0"/>
        <w:rPr>
          <w:b/>
          <w:bCs/>
        </w:rPr>
      </w:pPr>
      <w:r w:rsidRPr="00F65365">
        <w:rPr>
          <w:rFonts w:ascii="Cambria" w:hAnsi="Cambria" w:cs="Cambria"/>
          <w:b/>
          <w:bCs/>
        </w:rPr>
        <w:t xml:space="preserve">                     </w:t>
      </w:r>
      <w:r>
        <w:rPr>
          <w:rFonts w:ascii="Cambria" w:hAnsi="Cambria" w:cs="Cambria"/>
          <w:b/>
          <w:bCs/>
        </w:rPr>
        <w:t xml:space="preserve">                                           </w:t>
      </w:r>
    </w:p>
    <w:p w:rsidR="00646B3D" w:rsidRDefault="00646B3D" w:rsidP="003C7E3E">
      <w:pPr>
        <w:ind w:firstLine="0"/>
      </w:pPr>
    </w:p>
    <w:p w:rsidR="00C615D4" w:rsidRDefault="00C615D4" w:rsidP="003C7E3E">
      <w:pPr>
        <w:ind w:firstLine="0"/>
      </w:pPr>
    </w:p>
    <w:p w:rsidR="00646B3D" w:rsidRPr="00E7624B" w:rsidRDefault="00646B3D" w:rsidP="003C7E3E">
      <w:pPr>
        <w:ind w:firstLine="0"/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43139" w:rsidRPr="00284730" w:rsidTr="00323E0C">
        <w:trPr>
          <w:trHeight w:val="1305"/>
        </w:trPr>
        <w:tc>
          <w:tcPr>
            <w:tcW w:w="4678" w:type="dxa"/>
          </w:tcPr>
          <w:p w:rsidR="00243139" w:rsidRPr="00284730" w:rsidRDefault="00243139" w:rsidP="00B71C4F">
            <w:pPr>
              <w:ind w:firstLine="0"/>
            </w:pPr>
            <w:r w:rsidRPr="00284730">
              <w:t xml:space="preserve"> </w:t>
            </w:r>
            <w:r w:rsidR="00646B3D" w:rsidRPr="00646B3D">
              <w:t xml:space="preserve">Об утверждении Методики прогнозирования поступлений по источникам финансирования дефицита бюджета </w:t>
            </w:r>
            <w:proofErr w:type="spellStart"/>
            <w:r w:rsidR="00646B3D">
              <w:t>Цивильского</w:t>
            </w:r>
            <w:proofErr w:type="spellEnd"/>
            <w:r w:rsidR="00646B3D">
              <w:t xml:space="preserve"> </w:t>
            </w:r>
            <w:r w:rsidR="00646B3D" w:rsidRPr="00646B3D">
              <w:t>муниципального округа Чувашской Республики</w:t>
            </w:r>
          </w:p>
        </w:tc>
      </w:tr>
    </w:tbl>
    <w:p w:rsidR="009D5FFC" w:rsidRDefault="009D5FFC"/>
    <w:p w:rsidR="00646B3D" w:rsidRDefault="00646B3D" w:rsidP="00646B3D"/>
    <w:p w:rsidR="00646B3D" w:rsidRDefault="00646B3D" w:rsidP="00646B3D"/>
    <w:p w:rsidR="00646B3D" w:rsidRPr="00646B3D" w:rsidRDefault="00646B3D" w:rsidP="00646B3D">
      <w:r w:rsidRPr="00646B3D">
        <w:t xml:space="preserve">В соответствии с </w:t>
      </w:r>
      <w:hyperlink r:id="rId10" w:history="1">
        <w:r w:rsidRPr="00646B3D">
          <w:rPr>
            <w:rStyle w:val="a4"/>
            <w:rFonts w:cs="Arial"/>
            <w:color w:val="auto"/>
          </w:rPr>
          <w:t>пунктом 1 статьи 160.2</w:t>
        </w:r>
      </w:hyperlink>
      <w:r w:rsidRPr="00646B3D">
        <w:t xml:space="preserve"> Бюджетного кодекса Российской Федерации и во исполнение </w:t>
      </w:r>
      <w:hyperlink r:id="rId11" w:history="1">
        <w:r w:rsidRPr="00646B3D">
          <w:rPr>
            <w:rStyle w:val="a4"/>
            <w:rFonts w:cs="Arial"/>
            <w:color w:val="auto"/>
          </w:rPr>
          <w:t>постановления</w:t>
        </w:r>
      </w:hyperlink>
      <w:r w:rsidRPr="00646B3D">
        <w:t xml:space="preserve"> Правительства Российской Федерации от 23 июня 2016 г</w:t>
      </w:r>
      <w:r w:rsidR="00900710">
        <w:t>ода</w:t>
      </w:r>
      <w:r w:rsidRPr="00646B3D">
        <w:t xml:space="preserve"> </w:t>
      </w:r>
      <w:r w:rsidR="00900710">
        <w:t>№</w:t>
      </w:r>
      <w:r w:rsidRPr="00646B3D">
        <w:t xml:space="preserve"> 574 "Об общих требованиях к методике прогнозирования поступлений доходов в бюджеты бюджетной системы Российской Федерации", администрация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постановляет:</w:t>
      </w:r>
    </w:p>
    <w:p w:rsidR="00646B3D" w:rsidRPr="00646B3D" w:rsidRDefault="00646B3D" w:rsidP="00646B3D">
      <w:bookmarkStart w:id="0" w:name="sub_1"/>
      <w:r w:rsidRPr="00646B3D">
        <w:t xml:space="preserve">1. Утвердить прилагаемую </w:t>
      </w:r>
      <w:hyperlink w:anchor="sub_1000" w:history="1">
        <w:r w:rsidRPr="00646B3D">
          <w:rPr>
            <w:rStyle w:val="a4"/>
            <w:rFonts w:cs="Arial"/>
            <w:color w:val="auto"/>
          </w:rPr>
          <w:t>Методику</w:t>
        </w:r>
      </w:hyperlink>
      <w:r w:rsidRPr="00646B3D">
        <w:t xml:space="preserve"> прогнозирования поступлений по источникам финансирования дефицита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Республики.</w:t>
      </w:r>
    </w:p>
    <w:p w:rsidR="00646B3D" w:rsidRPr="00646B3D" w:rsidRDefault="00F305C0" w:rsidP="00646B3D">
      <w:bookmarkStart w:id="1" w:name="sub_3"/>
      <w:bookmarkEnd w:id="0"/>
      <w:r>
        <w:t>2</w:t>
      </w:r>
      <w:r w:rsidR="00646B3D" w:rsidRPr="00646B3D">
        <w:t xml:space="preserve">. Настоящее постановление вступает в силу после его </w:t>
      </w:r>
      <w:hyperlink r:id="rId12" w:history="1">
        <w:r w:rsidR="00646B3D" w:rsidRPr="00646B3D">
          <w:rPr>
            <w:rStyle w:val="a4"/>
            <w:rFonts w:cs="Arial"/>
            <w:color w:val="auto"/>
          </w:rPr>
          <w:t>официального опубликования</w:t>
        </w:r>
      </w:hyperlink>
      <w:r w:rsidR="00646B3D" w:rsidRPr="00646B3D">
        <w:t xml:space="preserve"> </w:t>
      </w:r>
      <w:r w:rsidR="00650382">
        <w:t xml:space="preserve">(обнародования) </w:t>
      </w:r>
      <w:r w:rsidR="00646B3D" w:rsidRPr="00646B3D">
        <w:t>и действует на правоотношения, возник</w:t>
      </w:r>
      <w:r w:rsidR="00650382">
        <w:t>ш</w:t>
      </w:r>
      <w:r w:rsidR="00CC369F">
        <w:t>ие</w:t>
      </w:r>
      <w:r w:rsidR="00646B3D" w:rsidRPr="00646B3D">
        <w:t xml:space="preserve"> с 01 января 202</w:t>
      </w:r>
      <w:r w:rsidR="00CC369F">
        <w:t>5</w:t>
      </w:r>
      <w:r w:rsidR="00646B3D" w:rsidRPr="00646B3D">
        <w:t xml:space="preserve"> года.</w:t>
      </w:r>
    </w:p>
    <w:p w:rsidR="00646B3D" w:rsidRPr="00646B3D" w:rsidRDefault="00646B3D" w:rsidP="00646B3D"/>
    <w:p w:rsidR="00646B3D" w:rsidRPr="00646B3D" w:rsidRDefault="00646B3D" w:rsidP="00646B3D"/>
    <w:p w:rsidR="00646B3D" w:rsidRPr="00646B3D" w:rsidRDefault="00646B3D" w:rsidP="00646B3D"/>
    <w:bookmarkEnd w:id="1"/>
    <w:p w:rsidR="00646B3D" w:rsidRPr="00646B3D" w:rsidRDefault="00646B3D" w:rsidP="00646B3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5"/>
        <w:gridCol w:w="3189"/>
      </w:tblGrid>
      <w:tr w:rsidR="00646B3D" w:rsidRPr="00646B3D" w:rsidTr="00CA0AC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46B3D" w:rsidRPr="00646B3D" w:rsidRDefault="00646B3D" w:rsidP="007E43CC">
            <w:pPr>
              <w:pStyle w:val="a9"/>
            </w:pPr>
            <w:r w:rsidRPr="00646B3D">
              <w:t xml:space="preserve">Глава </w:t>
            </w:r>
            <w:proofErr w:type="spellStart"/>
            <w:r w:rsidRPr="00646B3D">
              <w:t>Цивильского</w:t>
            </w:r>
            <w:proofErr w:type="spellEnd"/>
            <w:r w:rsidRPr="00646B3D">
              <w:t xml:space="preserve"> муниципального</w:t>
            </w:r>
            <w:r w:rsidRPr="00646B3D">
              <w:br/>
              <w:t xml:space="preserve">округа </w:t>
            </w:r>
            <w:r w:rsidR="007E43CC">
              <w:t>Ч</w:t>
            </w:r>
            <w:r w:rsidRPr="00646B3D">
              <w:t>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E43CC" w:rsidRDefault="007E43CC" w:rsidP="00CA0ACF">
            <w:pPr>
              <w:pStyle w:val="a7"/>
              <w:jc w:val="right"/>
            </w:pPr>
          </w:p>
          <w:p w:rsidR="00646B3D" w:rsidRPr="00646B3D" w:rsidRDefault="00646B3D" w:rsidP="00CA0ACF">
            <w:pPr>
              <w:pStyle w:val="a7"/>
              <w:jc w:val="right"/>
            </w:pPr>
            <w:bookmarkStart w:id="2" w:name="_GoBack"/>
            <w:bookmarkEnd w:id="2"/>
            <w:r w:rsidRPr="00646B3D">
              <w:t>А.В. Иванов</w:t>
            </w:r>
          </w:p>
        </w:tc>
      </w:tr>
    </w:tbl>
    <w:p w:rsidR="00646B3D" w:rsidRPr="00646B3D" w:rsidRDefault="00646B3D" w:rsidP="00646B3D"/>
    <w:p w:rsidR="00646B3D" w:rsidRPr="00646B3D" w:rsidRDefault="00646B3D" w:rsidP="00646B3D"/>
    <w:p w:rsidR="00646B3D" w:rsidRPr="00646B3D" w:rsidRDefault="00646B3D" w:rsidP="00646B3D"/>
    <w:p w:rsidR="00646B3D" w:rsidRDefault="00646B3D" w:rsidP="00646B3D"/>
    <w:p w:rsidR="00646B3D" w:rsidRDefault="00646B3D" w:rsidP="00646B3D"/>
    <w:p w:rsidR="00F305C0" w:rsidRDefault="00F305C0" w:rsidP="00646B3D"/>
    <w:p w:rsidR="00F305C0" w:rsidRDefault="00F305C0" w:rsidP="00646B3D"/>
    <w:p w:rsidR="00646B3D" w:rsidRDefault="00646B3D" w:rsidP="00646B3D"/>
    <w:p w:rsidR="00646B3D" w:rsidRDefault="00646B3D" w:rsidP="00646B3D"/>
    <w:p w:rsidR="00F305C0" w:rsidRDefault="00F305C0" w:rsidP="00646B3D"/>
    <w:p w:rsidR="00646B3D" w:rsidRDefault="00646B3D" w:rsidP="00646B3D"/>
    <w:p w:rsidR="00C615D4" w:rsidRDefault="00C615D4" w:rsidP="00646B3D"/>
    <w:p w:rsidR="007E43CC" w:rsidRDefault="007E43CC" w:rsidP="00646B3D"/>
    <w:p w:rsidR="00646B3D" w:rsidRPr="00646B3D" w:rsidRDefault="00646B3D" w:rsidP="00646B3D">
      <w:pPr>
        <w:jc w:val="right"/>
        <w:rPr>
          <w:rStyle w:val="a3"/>
          <w:bCs/>
          <w:color w:val="auto"/>
        </w:rPr>
      </w:pPr>
      <w:bookmarkStart w:id="3" w:name="sub_1000"/>
      <w:r w:rsidRPr="00646B3D">
        <w:rPr>
          <w:rStyle w:val="a3"/>
          <w:bCs/>
          <w:color w:val="auto"/>
        </w:rPr>
        <w:lastRenderedPageBreak/>
        <w:t>Приложение N 1</w:t>
      </w:r>
      <w:r w:rsidRPr="00646B3D">
        <w:rPr>
          <w:rStyle w:val="a3"/>
          <w:bCs/>
          <w:color w:val="auto"/>
        </w:rPr>
        <w:br/>
        <w:t xml:space="preserve">к </w:t>
      </w:r>
      <w:hyperlink w:anchor="sub_0" w:history="1">
        <w:r w:rsidRPr="00F305C0">
          <w:rPr>
            <w:rStyle w:val="a4"/>
            <w:rFonts w:cs="Arial"/>
            <w:b/>
            <w:color w:val="auto"/>
          </w:rPr>
          <w:t>постановлению</w:t>
        </w:r>
      </w:hyperlink>
      <w:r w:rsidRPr="00646B3D">
        <w:rPr>
          <w:rStyle w:val="a3"/>
          <w:bCs/>
          <w:color w:val="auto"/>
        </w:rPr>
        <w:t xml:space="preserve"> администрации</w:t>
      </w:r>
      <w:r w:rsidRPr="00646B3D">
        <w:rPr>
          <w:rStyle w:val="a3"/>
          <w:bCs/>
          <w:color w:val="auto"/>
        </w:rPr>
        <w:br/>
      </w:r>
      <w:proofErr w:type="spellStart"/>
      <w:r w:rsidRPr="00646B3D">
        <w:rPr>
          <w:rStyle w:val="a3"/>
          <w:bCs/>
          <w:color w:val="auto"/>
        </w:rPr>
        <w:t>Цивильского</w:t>
      </w:r>
      <w:proofErr w:type="spellEnd"/>
      <w:r w:rsidRPr="00646B3D">
        <w:rPr>
          <w:rStyle w:val="a3"/>
          <w:bCs/>
          <w:color w:val="auto"/>
        </w:rPr>
        <w:t xml:space="preserve"> муниципального округа</w:t>
      </w:r>
      <w:r w:rsidRPr="00646B3D">
        <w:rPr>
          <w:rStyle w:val="a3"/>
          <w:bCs/>
          <w:color w:val="auto"/>
        </w:rPr>
        <w:br/>
        <w:t>Чувашской Республики</w:t>
      </w:r>
      <w:r w:rsidRPr="00646B3D">
        <w:rPr>
          <w:rStyle w:val="a3"/>
          <w:bCs/>
          <w:color w:val="auto"/>
        </w:rPr>
        <w:br/>
      </w:r>
      <w:r w:rsidR="00CE0972">
        <w:rPr>
          <w:rStyle w:val="a3"/>
          <w:bCs/>
          <w:color w:val="auto"/>
        </w:rPr>
        <w:t xml:space="preserve">18 декабря </w:t>
      </w:r>
      <w:r w:rsidRPr="00646B3D">
        <w:rPr>
          <w:rStyle w:val="a3"/>
          <w:bCs/>
          <w:color w:val="auto"/>
        </w:rPr>
        <w:t>2024 г. N </w:t>
      </w:r>
      <w:r w:rsidR="00CE0972">
        <w:rPr>
          <w:rStyle w:val="a3"/>
          <w:bCs/>
          <w:color w:val="auto"/>
        </w:rPr>
        <w:t>1623</w:t>
      </w:r>
    </w:p>
    <w:bookmarkEnd w:id="3"/>
    <w:p w:rsidR="00646B3D" w:rsidRPr="00646B3D" w:rsidRDefault="00646B3D" w:rsidP="00646B3D"/>
    <w:p w:rsidR="00646B3D" w:rsidRPr="00646B3D" w:rsidRDefault="00646B3D" w:rsidP="00646B3D">
      <w:pPr>
        <w:pStyle w:val="1"/>
        <w:rPr>
          <w:color w:val="auto"/>
        </w:rPr>
      </w:pPr>
      <w:r w:rsidRPr="00646B3D">
        <w:rPr>
          <w:color w:val="auto"/>
        </w:rPr>
        <w:t>Методика</w:t>
      </w:r>
      <w:r w:rsidRPr="00646B3D">
        <w:rPr>
          <w:color w:val="auto"/>
        </w:rPr>
        <w:br/>
        <w:t xml:space="preserve">прогнозирования поступлений по источникам финансирования дефицита бюджета </w:t>
      </w:r>
      <w:proofErr w:type="spellStart"/>
      <w:r w:rsidRPr="00646B3D">
        <w:rPr>
          <w:color w:val="auto"/>
        </w:rPr>
        <w:t>Цивильского</w:t>
      </w:r>
      <w:proofErr w:type="spellEnd"/>
      <w:r w:rsidRPr="00646B3D">
        <w:rPr>
          <w:color w:val="auto"/>
        </w:rPr>
        <w:t xml:space="preserve"> муниципального округа Чувашской Республики</w:t>
      </w:r>
    </w:p>
    <w:p w:rsidR="00646B3D" w:rsidRPr="00646B3D" w:rsidRDefault="00646B3D" w:rsidP="00646B3D"/>
    <w:p w:rsidR="00646B3D" w:rsidRPr="00646B3D" w:rsidRDefault="00646B3D" w:rsidP="00646B3D">
      <w:pPr>
        <w:pStyle w:val="1"/>
        <w:rPr>
          <w:color w:val="auto"/>
        </w:rPr>
      </w:pPr>
      <w:bookmarkStart w:id="4" w:name="sub_1001"/>
      <w:r w:rsidRPr="00646B3D">
        <w:rPr>
          <w:color w:val="auto"/>
        </w:rPr>
        <w:t>I. Общие положения</w:t>
      </w:r>
    </w:p>
    <w:bookmarkEnd w:id="4"/>
    <w:p w:rsidR="00646B3D" w:rsidRPr="00646B3D" w:rsidRDefault="00646B3D" w:rsidP="00646B3D"/>
    <w:p w:rsidR="00646B3D" w:rsidRPr="00646B3D" w:rsidRDefault="00646B3D" w:rsidP="00646B3D">
      <w:bookmarkStart w:id="5" w:name="sub_11"/>
      <w:r w:rsidRPr="00646B3D">
        <w:t xml:space="preserve">1.1. Настоящая методика определяет порядок расчета прогноза поступлений по источникам финансирования дефицита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(далее - методика прогнозирования), главным администратором которых является администрация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Республики.</w:t>
      </w:r>
    </w:p>
    <w:p w:rsidR="00646B3D" w:rsidRPr="00646B3D" w:rsidRDefault="00646B3D" w:rsidP="00646B3D">
      <w:bookmarkStart w:id="6" w:name="sub_12"/>
      <w:bookmarkEnd w:id="5"/>
      <w:r w:rsidRPr="00646B3D">
        <w:t xml:space="preserve">1.2. Методика прогнозирования направлена на повышение качества планирования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(далее - бюджет). Прогнозирование поступлений по источникам финансирования дефицита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осуществляется исходя из прогнозируемого дефицита бюджета, а также необходимости погашения долговых обязательств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с учетом </w:t>
      </w:r>
      <w:proofErr w:type="gramStart"/>
      <w:r w:rsidRPr="00646B3D">
        <w:t>поступлений иных источников финансирования дефицита бюджета</w:t>
      </w:r>
      <w:proofErr w:type="gramEnd"/>
      <w:r w:rsidRPr="00646B3D">
        <w:t>.</w:t>
      </w:r>
    </w:p>
    <w:bookmarkEnd w:id="6"/>
    <w:p w:rsidR="00646B3D" w:rsidRPr="00646B3D" w:rsidRDefault="00646B3D" w:rsidP="00646B3D"/>
    <w:p w:rsidR="00646B3D" w:rsidRPr="00646B3D" w:rsidRDefault="00646B3D" w:rsidP="00646B3D">
      <w:pPr>
        <w:pStyle w:val="1"/>
        <w:rPr>
          <w:color w:val="auto"/>
        </w:rPr>
      </w:pPr>
      <w:bookmarkStart w:id="7" w:name="sub_1002"/>
      <w:r w:rsidRPr="00646B3D">
        <w:rPr>
          <w:color w:val="auto"/>
        </w:rPr>
        <w:t xml:space="preserve">II. Перечень поступлений по источникам финансирования дефицита бюджета </w:t>
      </w:r>
      <w:proofErr w:type="spellStart"/>
      <w:r w:rsidRPr="00646B3D">
        <w:rPr>
          <w:color w:val="auto"/>
        </w:rPr>
        <w:t>Цивильского</w:t>
      </w:r>
      <w:proofErr w:type="spellEnd"/>
      <w:r w:rsidRPr="00646B3D">
        <w:rPr>
          <w:color w:val="auto"/>
        </w:rPr>
        <w:t xml:space="preserve"> муниципального округа Чувашской Республики</w:t>
      </w:r>
    </w:p>
    <w:bookmarkEnd w:id="7"/>
    <w:p w:rsidR="00646B3D" w:rsidRPr="00646B3D" w:rsidRDefault="00646B3D" w:rsidP="00646B3D"/>
    <w:p w:rsidR="00646B3D" w:rsidRPr="00646B3D" w:rsidRDefault="00646B3D" w:rsidP="00646B3D">
      <w:bookmarkStart w:id="8" w:name="sub_21"/>
      <w:r w:rsidRPr="00646B3D">
        <w:t xml:space="preserve">2.1. Администрация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Республики, являясь главным администратором источников финансирования дефицита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(далее - главный администратор), выполняет бюджетные полномочия в отношении следующих поступлений по источникам финансирования дефицита бюджета:</w:t>
      </w:r>
    </w:p>
    <w:bookmarkEnd w:id="8"/>
    <w:p w:rsidR="00646B3D" w:rsidRPr="00646B3D" w:rsidRDefault="00646B3D" w:rsidP="00646B3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156"/>
      </w:tblGrid>
      <w:tr w:rsidR="00646B3D" w:rsidRPr="00646B3D" w:rsidTr="00F305C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</w:pPr>
            <w:r w:rsidRPr="00646B3D">
              <w:t xml:space="preserve">Коды </w:t>
            </w:r>
            <w:hyperlink r:id="rId13" w:history="1">
              <w:r w:rsidRPr="00646B3D">
                <w:rPr>
                  <w:rStyle w:val="a4"/>
                  <w:rFonts w:cs="Arial"/>
                  <w:color w:val="auto"/>
                </w:rPr>
                <w:t xml:space="preserve">бюджетной </w:t>
              </w:r>
              <w:proofErr w:type="gramStart"/>
              <w:r w:rsidRPr="00646B3D">
                <w:rPr>
                  <w:rStyle w:val="a4"/>
                  <w:rFonts w:cs="Arial"/>
                  <w:color w:val="auto"/>
                </w:rPr>
                <w:t>классификации</w:t>
              </w:r>
            </w:hyperlink>
            <w:r w:rsidRPr="00646B3D">
              <w:t xml:space="preserve"> источников финансирования дефицита бюджета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</w:pPr>
            <w:r w:rsidRPr="00646B3D">
              <w:t xml:space="preserve">Наименование </w:t>
            </w:r>
            <w:proofErr w:type="gramStart"/>
            <w:r w:rsidRPr="00646B3D">
              <w:t xml:space="preserve">кодов </w:t>
            </w:r>
            <w:hyperlink r:id="rId14" w:history="1">
              <w:r w:rsidRPr="00646B3D">
                <w:rPr>
                  <w:rStyle w:val="a4"/>
                  <w:rFonts w:cs="Arial"/>
                  <w:color w:val="auto"/>
                </w:rPr>
                <w:t>бюджетной классификации</w:t>
              </w:r>
            </w:hyperlink>
            <w:r w:rsidRPr="00646B3D">
              <w:t xml:space="preserve"> источников финансирования дефицита бюджета</w:t>
            </w:r>
            <w:proofErr w:type="gramEnd"/>
          </w:p>
        </w:tc>
      </w:tr>
      <w:tr w:rsidR="00646B3D" w:rsidRPr="00646B3D" w:rsidTr="00F305C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</w:pPr>
            <w:r w:rsidRPr="00646B3D">
              <w:t>903 01 02 00 00 14 0000 710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B3D" w:rsidRPr="00646B3D" w:rsidRDefault="00646B3D" w:rsidP="00CA0ACF">
            <w:pPr>
              <w:pStyle w:val="a9"/>
            </w:pPr>
            <w:r w:rsidRPr="00646B3D"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646B3D" w:rsidRPr="00646B3D" w:rsidTr="00F305C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</w:pPr>
            <w:r w:rsidRPr="00646B3D">
              <w:t>903 01 03 01 00 14 0000 710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B3D" w:rsidRPr="00646B3D" w:rsidRDefault="00646B3D" w:rsidP="00CA0ACF">
            <w:pPr>
              <w:pStyle w:val="a9"/>
            </w:pPr>
            <w:r w:rsidRPr="00646B3D">
              <w:t>Привлечение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646B3D" w:rsidRPr="00646B3D" w:rsidTr="00F305C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</w:pPr>
            <w:r w:rsidRPr="00646B3D">
              <w:t>903 01 06 05 01 14 0000 640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B3D" w:rsidRPr="00646B3D" w:rsidRDefault="00646B3D" w:rsidP="00CA0ACF">
            <w:pPr>
              <w:pStyle w:val="a9"/>
            </w:pPr>
            <w:r w:rsidRPr="00646B3D"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</w:tbl>
    <w:p w:rsidR="00646B3D" w:rsidRPr="00646B3D" w:rsidRDefault="00646B3D" w:rsidP="00646B3D"/>
    <w:p w:rsidR="00646B3D" w:rsidRPr="00646B3D" w:rsidRDefault="00646B3D" w:rsidP="00646B3D">
      <w:pPr>
        <w:pStyle w:val="1"/>
        <w:rPr>
          <w:color w:val="auto"/>
        </w:rPr>
      </w:pPr>
      <w:bookmarkStart w:id="9" w:name="sub_1003"/>
    </w:p>
    <w:p w:rsidR="00646B3D" w:rsidRPr="00646B3D" w:rsidRDefault="00646B3D" w:rsidP="00646B3D">
      <w:pPr>
        <w:pStyle w:val="1"/>
        <w:rPr>
          <w:color w:val="auto"/>
        </w:rPr>
      </w:pPr>
      <w:r w:rsidRPr="00646B3D">
        <w:rPr>
          <w:color w:val="auto"/>
        </w:rPr>
        <w:lastRenderedPageBreak/>
        <w:t xml:space="preserve">III. Методы прогнозирования, применяемые при прогнозировании поступлений по источникам финансирования дефицита бюджета </w:t>
      </w:r>
      <w:proofErr w:type="spellStart"/>
      <w:r w:rsidRPr="00646B3D">
        <w:rPr>
          <w:color w:val="auto"/>
        </w:rPr>
        <w:t>Цивильского</w:t>
      </w:r>
      <w:proofErr w:type="spellEnd"/>
      <w:r w:rsidRPr="00646B3D">
        <w:rPr>
          <w:color w:val="auto"/>
        </w:rPr>
        <w:t xml:space="preserve"> муниципального округа Чувашской Республики</w:t>
      </w:r>
    </w:p>
    <w:bookmarkEnd w:id="9"/>
    <w:p w:rsidR="00646B3D" w:rsidRPr="00646B3D" w:rsidRDefault="00646B3D" w:rsidP="00646B3D"/>
    <w:p w:rsidR="00646B3D" w:rsidRPr="00646B3D" w:rsidRDefault="00646B3D" w:rsidP="00646B3D">
      <w:bookmarkStart w:id="10" w:name="sub_31"/>
      <w:r w:rsidRPr="00646B3D">
        <w:t xml:space="preserve">3.1. </w:t>
      </w:r>
      <w:proofErr w:type="gramStart"/>
      <w:r w:rsidRPr="00646B3D">
        <w:t xml:space="preserve">В целях организации работы по планированию поступлений по источникам финансирования дефицита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главный администратор (уполномоченное структурное подразделение) анализирует поступление по каждому виду источников финансирования дефицита бюджета за отчетный период и представляет в финансовый отдел администрации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показатели прогноза поступлений по каждому виду источников финансирования дефицита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</w:t>
      </w:r>
      <w:proofErr w:type="gramEnd"/>
      <w:r w:rsidRPr="00646B3D">
        <w:t xml:space="preserve"> на очередной финансовый год и плановый период с соответствующими расчетами и обоснованиями планируемых средств по форме в соответствии с </w:t>
      </w:r>
      <w:hyperlink w:anchor="sub_1100" w:history="1">
        <w:r w:rsidRPr="00646B3D">
          <w:rPr>
            <w:rStyle w:val="a4"/>
            <w:rFonts w:cs="Arial"/>
            <w:color w:val="auto"/>
          </w:rPr>
          <w:t>приложением</w:t>
        </w:r>
      </w:hyperlink>
      <w:r w:rsidRPr="00646B3D">
        <w:t xml:space="preserve"> к настоящей Методике.</w:t>
      </w:r>
    </w:p>
    <w:p w:rsidR="00646B3D" w:rsidRPr="00646B3D" w:rsidRDefault="00646B3D" w:rsidP="00646B3D">
      <w:bookmarkStart w:id="11" w:name="sub_32"/>
      <w:bookmarkEnd w:id="10"/>
      <w:r w:rsidRPr="00646B3D">
        <w:t xml:space="preserve">3.2. </w:t>
      </w:r>
      <w:proofErr w:type="gramStart"/>
      <w:r w:rsidRPr="00646B3D">
        <w:t xml:space="preserve">Для повышения обоснованности расчетов прогнозные значения объемов поступлений по источникам финансирования дефицита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рассчитываются с применением метода прямого счета (на основании действующих или планируемых к заключению договоров и соглашений и т.д.) с учетом показателей, установленных в Прогнозе социально-экономического развития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на очередной год и плановый период.</w:t>
      </w:r>
      <w:proofErr w:type="gramEnd"/>
    </w:p>
    <w:p w:rsidR="00646B3D" w:rsidRPr="00646B3D" w:rsidRDefault="00646B3D" w:rsidP="00646B3D">
      <w:bookmarkStart w:id="12" w:name="sub_33"/>
      <w:bookmarkEnd w:id="11"/>
      <w:r w:rsidRPr="00646B3D">
        <w:t xml:space="preserve">3.3. При планировании поступлений от возврата бюджетных кредитов, предоставленных юридическим лицам из бюджета </w:t>
      </w:r>
      <w:proofErr w:type="spellStart"/>
      <w:r w:rsidRPr="00646B3D">
        <w:t>Цивильского</w:t>
      </w:r>
      <w:proofErr w:type="spellEnd"/>
      <w:r w:rsidRPr="00646B3D">
        <w:t xml:space="preserve"> муниципального округа Чувашской Республики в валюте Российской Федерации, используется метод прямого </w:t>
      </w:r>
      <w:proofErr w:type="gramStart"/>
      <w:r w:rsidRPr="00646B3D">
        <w:t>счета</w:t>
      </w:r>
      <w:proofErr w:type="gramEnd"/>
      <w:r w:rsidRPr="00646B3D">
        <w:t xml:space="preserve"> и учитываются условия действующих договоров о предоставлении бюджетных кредитов из бюджета, условия возврата в бюджет принципалами исполненных </w:t>
      </w:r>
      <w:proofErr w:type="spellStart"/>
      <w:r w:rsidRPr="00646B3D">
        <w:t>Цивильским</w:t>
      </w:r>
      <w:proofErr w:type="spellEnd"/>
      <w:r w:rsidRPr="00646B3D">
        <w:t xml:space="preserve"> муниципальным округом Чувашской Республики, как гарантом обязательств по муниципальным гарантиям. Применяется следующая формула расчета:</w:t>
      </w:r>
    </w:p>
    <w:bookmarkEnd w:id="12"/>
    <w:p w:rsidR="00646B3D" w:rsidRPr="00646B3D" w:rsidRDefault="00646B3D" w:rsidP="00646B3D"/>
    <w:p w:rsidR="00646B3D" w:rsidRPr="00646B3D" w:rsidRDefault="00646B3D" w:rsidP="00646B3D">
      <w:r w:rsidRPr="00646B3D">
        <w:rPr>
          <w:noProof/>
        </w:rPr>
        <w:drawing>
          <wp:inline distT="0" distB="0" distL="0" distR="0" wp14:anchorId="4D74F8A7" wp14:editId="1B741056">
            <wp:extent cx="1310640" cy="28194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3D">
        <w:t>, где:</w:t>
      </w:r>
    </w:p>
    <w:p w:rsidR="00646B3D" w:rsidRPr="00646B3D" w:rsidRDefault="00646B3D" w:rsidP="00646B3D"/>
    <w:p w:rsidR="00646B3D" w:rsidRPr="00646B3D" w:rsidRDefault="00646B3D" w:rsidP="00646B3D">
      <w:r w:rsidRPr="00646B3D">
        <w:rPr>
          <w:noProof/>
        </w:rPr>
        <w:drawing>
          <wp:inline distT="0" distB="0" distL="0" distR="0" wp14:anchorId="4EA37BC6" wp14:editId="70D02E2C">
            <wp:extent cx="342900" cy="281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3D">
        <w:t xml:space="preserve"> - поступление от возврата бюджетных кредитов, предоставленных юридическим лицам из бюджета муниципального округа, в соответствующем финансовом году;</w:t>
      </w:r>
    </w:p>
    <w:p w:rsidR="00646B3D" w:rsidRPr="00646B3D" w:rsidRDefault="00646B3D" w:rsidP="00646B3D">
      <w:r w:rsidRPr="00646B3D">
        <w:rPr>
          <w:noProof/>
        </w:rPr>
        <w:drawing>
          <wp:inline distT="0" distB="0" distL="0" distR="0" wp14:anchorId="7D88469E" wp14:editId="700A062B">
            <wp:extent cx="381000" cy="281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3D">
        <w:t xml:space="preserve"> - план по возврату юридическими лицами бюджетных кредитов в бюджет муниципального округа в соответствующем финансовом году (на основании действующих договоров);</w:t>
      </w:r>
    </w:p>
    <w:p w:rsidR="00646B3D" w:rsidRPr="00646B3D" w:rsidRDefault="00646B3D" w:rsidP="00646B3D">
      <w:r w:rsidRPr="00646B3D">
        <w:rPr>
          <w:noProof/>
        </w:rPr>
        <w:drawing>
          <wp:inline distT="0" distB="0" distL="0" distR="0" wp14:anchorId="4B9B99AE" wp14:editId="2B637E01">
            <wp:extent cx="381000" cy="281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3D">
        <w:t xml:space="preserve"> - плановый возврат юридическими лицами бюджетных кредитов в бюджет муниципального округа в соответствующем финансовом году (на основании условий возврата в бюджет муниципального округа принципалами исполненных </w:t>
      </w:r>
      <w:proofErr w:type="spellStart"/>
      <w:r w:rsidRPr="00646B3D">
        <w:t>Цивильским</w:t>
      </w:r>
      <w:proofErr w:type="spellEnd"/>
      <w:r w:rsidRPr="00646B3D">
        <w:t xml:space="preserve"> муниципальным округом Чувашской Республики, как гарантом обязательств по муниципальным гарантиям).</w:t>
      </w:r>
    </w:p>
    <w:p w:rsidR="00646B3D" w:rsidRPr="00646B3D" w:rsidRDefault="00646B3D" w:rsidP="00646B3D">
      <w:bookmarkStart w:id="13" w:name="sub_34"/>
      <w:r w:rsidRPr="00646B3D">
        <w:t xml:space="preserve">3.4. При планировании поступлений от привлечения </w:t>
      </w:r>
      <w:proofErr w:type="spellStart"/>
      <w:r w:rsidRPr="00646B3D">
        <w:t>Цивильским</w:t>
      </w:r>
      <w:proofErr w:type="spellEnd"/>
      <w:r w:rsidRPr="00646B3D">
        <w:t xml:space="preserve"> муниципальным округом Чувашской Республики кредитов от кредитных организаций в валюте Российской Федерации и от других бюджетов бюджетной системы Российской Федерации используется метод прямого счета (на основании действующих или планируемых к заключению договоров и соглашений и т.д.).</w:t>
      </w:r>
    </w:p>
    <w:bookmarkEnd w:id="13"/>
    <w:p w:rsidR="00646B3D" w:rsidRPr="00646B3D" w:rsidRDefault="00646B3D" w:rsidP="00646B3D"/>
    <w:p w:rsidR="00F305C0" w:rsidRDefault="00F305C0" w:rsidP="00646B3D">
      <w:pPr>
        <w:jc w:val="right"/>
        <w:rPr>
          <w:rStyle w:val="a3"/>
          <w:bCs/>
          <w:color w:val="auto"/>
        </w:rPr>
      </w:pPr>
      <w:bookmarkStart w:id="14" w:name="sub_1100"/>
    </w:p>
    <w:p w:rsidR="00F305C0" w:rsidRDefault="00F305C0" w:rsidP="00646B3D">
      <w:pPr>
        <w:jc w:val="right"/>
        <w:rPr>
          <w:rStyle w:val="a3"/>
          <w:bCs/>
          <w:color w:val="auto"/>
        </w:rPr>
      </w:pPr>
    </w:p>
    <w:p w:rsidR="00646B3D" w:rsidRPr="00646B3D" w:rsidRDefault="00646B3D" w:rsidP="00646B3D">
      <w:pPr>
        <w:jc w:val="right"/>
        <w:rPr>
          <w:rStyle w:val="a3"/>
          <w:bCs/>
          <w:color w:val="auto"/>
        </w:rPr>
      </w:pPr>
      <w:r w:rsidRPr="00646B3D">
        <w:rPr>
          <w:rStyle w:val="a3"/>
          <w:bCs/>
          <w:color w:val="auto"/>
        </w:rPr>
        <w:lastRenderedPageBreak/>
        <w:t>Приложение N 1</w:t>
      </w:r>
      <w:r w:rsidRPr="00646B3D">
        <w:rPr>
          <w:rStyle w:val="a3"/>
          <w:bCs/>
          <w:color w:val="auto"/>
        </w:rPr>
        <w:br/>
        <w:t xml:space="preserve">к </w:t>
      </w:r>
      <w:hyperlink w:anchor="sub_1000" w:history="1">
        <w:r w:rsidRPr="00F305C0">
          <w:rPr>
            <w:rStyle w:val="a4"/>
            <w:rFonts w:cs="Arial"/>
            <w:b/>
            <w:color w:val="auto"/>
          </w:rPr>
          <w:t>Методике</w:t>
        </w:r>
      </w:hyperlink>
      <w:r w:rsidRPr="00646B3D">
        <w:rPr>
          <w:rStyle w:val="a3"/>
          <w:bCs/>
          <w:color w:val="auto"/>
        </w:rPr>
        <w:t xml:space="preserve"> прогнозирования</w:t>
      </w:r>
      <w:r w:rsidRPr="00646B3D">
        <w:rPr>
          <w:rStyle w:val="a3"/>
          <w:bCs/>
          <w:color w:val="auto"/>
        </w:rPr>
        <w:br/>
        <w:t>поступлений по источникам</w:t>
      </w:r>
      <w:r w:rsidRPr="00646B3D">
        <w:rPr>
          <w:rStyle w:val="a3"/>
          <w:bCs/>
          <w:color w:val="auto"/>
        </w:rPr>
        <w:br/>
        <w:t>финансирования дефицита</w:t>
      </w:r>
      <w:r w:rsidRPr="00646B3D">
        <w:rPr>
          <w:rStyle w:val="a3"/>
          <w:bCs/>
          <w:color w:val="auto"/>
        </w:rPr>
        <w:br/>
        <w:t xml:space="preserve">бюджета </w:t>
      </w:r>
      <w:proofErr w:type="spellStart"/>
      <w:r w:rsidRPr="00646B3D">
        <w:rPr>
          <w:rStyle w:val="a3"/>
          <w:bCs/>
          <w:color w:val="auto"/>
        </w:rPr>
        <w:t>Цивильского</w:t>
      </w:r>
      <w:proofErr w:type="spellEnd"/>
      <w:r w:rsidRPr="00646B3D">
        <w:rPr>
          <w:rStyle w:val="a3"/>
          <w:bCs/>
          <w:color w:val="auto"/>
        </w:rPr>
        <w:br/>
        <w:t>муниципального округа</w:t>
      </w:r>
      <w:r w:rsidRPr="00646B3D">
        <w:rPr>
          <w:rStyle w:val="a3"/>
          <w:bCs/>
          <w:color w:val="auto"/>
        </w:rPr>
        <w:br/>
        <w:t>Чувашской Республики</w:t>
      </w:r>
    </w:p>
    <w:bookmarkEnd w:id="14"/>
    <w:p w:rsidR="00646B3D" w:rsidRPr="00646B3D" w:rsidRDefault="00646B3D" w:rsidP="00646B3D"/>
    <w:p w:rsidR="00646B3D" w:rsidRPr="00646B3D" w:rsidRDefault="00646B3D" w:rsidP="00646B3D">
      <w:pPr>
        <w:pStyle w:val="1"/>
        <w:rPr>
          <w:color w:val="auto"/>
        </w:rPr>
      </w:pPr>
      <w:r w:rsidRPr="00646B3D">
        <w:rPr>
          <w:color w:val="auto"/>
        </w:rPr>
        <w:t>Прогноз</w:t>
      </w:r>
      <w:r w:rsidRPr="00646B3D">
        <w:rPr>
          <w:color w:val="auto"/>
        </w:rPr>
        <w:br/>
        <w:t xml:space="preserve">поступлений по источникам финансирования дефицита бюджета </w:t>
      </w:r>
      <w:proofErr w:type="spellStart"/>
      <w:r w:rsidRPr="00646B3D">
        <w:rPr>
          <w:color w:val="auto"/>
        </w:rPr>
        <w:t>Цивильского</w:t>
      </w:r>
      <w:proofErr w:type="spellEnd"/>
      <w:r w:rsidRPr="00646B3D">
        <w:rPr>
          <w:color w:val="auto"/>
        </w:rPr>
        <w:t xml:space="preserve"> муниципального округа Чувашской Республики на _________ очередной год и плановый период _____________ годов</w:t>
      </w:r>
    </w:p>
    <w:p w:rsidR="00646B3D" w:rsidRPr="00646B3D" w:rsidRDefault="00646B3D" w:rsidP="00646B3D"/>
    <w:p w:rsidR="00646B3D" w:rsidRPr="00646B3D" w:rsidRDefault="00646B3D" w:rsidP="00646B3D">
      <w:r w:rsidRPr="00646B3D">
        <w:t xml:space="preserve">Код главного </w:t>
      </w:r>
      <w:proofErr w:type="gramStart"/>
      <w:r w:rsidRPr="00646B3D">
        <w:t>администратора источников финансирования дефицита бюджета</w:t>
      </w:r>
      <w:proofErr w:type="gramEnd"/>
      <w:r w:rsidRPr="00646B3D">
        <w:t xml:space="preserve"> ______________________________________________________________________</w:t>
      </w:r>
    </w:p>
    <w:p w:rsidR="00646B3D" w:rsidRPr="00646B3D" w:rsidRDefault="00646B3D" w:rsidP="00646B3D">
      <w:r w:rsidRPr="00646B3D">
        <w:t>Главный администратор источников финансирования дефицита бюджета ______________________________________________________________________</w:t>
      </w:r>
    </w:p>
    <w:p w:rsidR="00646B3D" w:rsidRPr="00646B3D" w:rsidRDefault="00646B3D" w:rsidP="00646B3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44"/>
        <w:gridCol w:w="1333"/>
        <w:gridCol w:w="1275"/>
        <w:gridCol w:w="1134"/>
        <w:gridCol w:w="1276"/>
        <w:gridCol w:w="1276"/>
      </w:tblGrid>
      <w:tr w:rsidR="00646B3D" w:rsidRPr="00646B3D" w:rsidTr="00F305C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  <w:rPr>
                <w:sz w:val="25"/>
                <w:szCs w:val="25"/>
              </w:rPr>
            </w:pPr>
            <w:r w:rsidRPr="00646B3D">
              <w:rPr>
                <w:sz w:val="25"/>
                <w:szCs w:val="25"/>
              </w:rPr>
              <w:t xml:space="preserve">Код </w:t>
            </w:r>
            <w:hyperlink r:id="rId19" w:history="1">
              <w:r w:rsidRPr="00646B3D">
                <w:rPr>
                  <w:rStyle w:val="a4"/>
                  <w:rFonts w:cs="Arial"/>
                  <w:color w:val="auto"/>
                  <w:sz w:val="25"/>
                  <w:szCs w:val="25"/>
                </w:rPr>
                <w:t>бюджетной классификации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  <w:rPr>
                <w:sz w:val="25"/>
                <w:szCs w:val="25"/>
              </w:rPr>
            </w:pPr>
            <w:r w:rsidRPr="00646B3D">
              <w:rPr>
                <w:sz w:val="25"/>
                <w:szCs w:val="25"/>
              </w:rPr>
              <w:t>Наименование источника финансирования дефицита бюджета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  <w:rPr>
                <w:sz w:val="25"/>
                <w:szCs w:val="25"/>
              </w:rPr>
            </w:pPr>
            <w:r w:rsidRPr="00646B3D">
              <w:rPr>
                <w:sz w:val="25"/>
                <w:szCs w:val="25"/>
              </w:rPr>
              <w:t>Поступления, тыс. рублей</w:t>
            </w:r>
          </w:p>
        </w:tc>
      </w:tr>
      <w:tr w:rsidR="00646B3D" w:rsidRPr="00646B3D" w:rsidTr="00A86F6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  <w:rPr>
                <w:sz w:val="25"/>
                <w:szCs w:val="25"/>
              </w:rPr>
            </w:pPr>
            <w:r w:rsidRPr="00646B3D">
              <w:rPr>
                <w:sz w:val="25"/>
                <w:szCs w:val="25"/>
              </w:rPr>
              <w:t>Факт отчетного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  <w:rPr>
                <w:sz w:val="25"/>
                <w:szCs w:val="25"/>
              </w:rPr>
            </w:pPr>
            <w:r w:rsidRPr="00646B3D">
              <w:rPr>
                <w:sz w:val="25"/>
                <w:szCs w:val="25"/>
              </w:rPr>
              <w:t>Прогноз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  <w:rPr>
                <w:sz w:val="25"/>
                <w:szCs w:val="25"/>
              </w:rPr>
            </w:pPr>
            <w:r w:rsidRPr="00646B3D">
              <w:rPr>
                <w:sz w:val="25"/>
                <w:szCs w:val="25"/>
              </w:rPr>
              <w:t>План на очередной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  <w:rPr>
                <w:sz w:val="25"/>
                <w:szCs w:val="25"/>
              </w:rPr>
            </w:pPr>
            <w:r w:rsidRPr="00646B3D">
              <w:rPr>
                <w:sz w:val="25"/>
                <w:szCs w:val="25"/>
              </w:rPr>
              <w:t>План на 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B3D" w:rsidRPr="00646B3D" w:rsidRDefault="00646B3D" w:rsidP="00CA0ACF">
            <w:pPr>
              <w:pStyle w:val="a7"/>
              <w:jc w:val="center"/>
              <w:rPr>
                <w:sz w:val="25"/>
                <w:szCs w:val="25"/>
              </w:rPr>
            </w:pPr>
            <w:r w:rsidRPr="00646B3D">
              <w:rPr>
                <w:sz w:val="25"/>
                <w:szCs w:val="25"/>
              </w:rPr>
              <w:t>План на второй год планового периода</w:t>
            </w:r>
          </w:p>
        </w:tc>
      </w:tr>
      <w:tr w:rsidR="00646B3D" w:rsidRPr="00646B3D" w:rsidTr="00A86F6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</w:tr>
      <w:tr w:rsidR="00646B3D" w:rsidRPr="00646B3D" w:rsidTr="00A86F6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B3D" w:rsidRPr="00646B3D" w:rsidRDefault="00646B3D" w:rsidP="00CA0ACF">
            <w:pPr>
              <w:pStyle w:val="a7"/>
              <w:rPr>
                <w:sz w:val="25"/>
                <w:szCs w:val="25"/>
              </w:rPr>
            </w:pPr>
          </w:p>
        </w:tc>
      </w:tr>
    </w:tbl>
    <w:p w:rsidR="00646B3D" w:rsidRPr="00646B3D" w:rsidRDefault="00646B3D" w:rsidP="00646B3D"/>
    <w:p w:rsidR="00646B3D" w:rsidRPr="00646B3D" w:rsidRDefault="00646B3D" w:rsidP="00646B3D"/>
    <w:p w:rsidR="00646B3D" w:rsidRPr="00646B3D" w:rsidRDefault="00646B3D" w:rsidP="00646B3D"/>
    <w:p w:rsidR="00646B3D" w:rsidRPr="00646B3D" w:rsidRDefault="00646B3D" w:rsidP="00646B3D">
      <w:r w:rsidRPr="00646B3D">
        <w:t>Руководитель (уполномоченное лицо) ______________/ ____________________/</w:t>
      </w:r>
    </w:p>
    <w:p w:rsidR="00CE0972" w:rsidRDefault="00CE0972" w:rsidP="00646B3D"/>
    <w:p w:rsidR="00646B3D" w:rsidRPr="00646B3D" w:rsidRDefault="00646B3D" w:rsidP="00646B3D">
      <w:r w:rsidRPr="00646B3D">
        <w:t>Исполнитель ________________________/ _________________________/</w:t>
      </w:r>
    </w:p>
    <w:p w:rsidR="00CE0972" w:rsidRDefault="00CE0972" w:rsidP="00646B3D"/>
    <w:p w:rsidR="00646B3D" w:rsidRPr="00646B3D" w:rsidRDefault="00646B3D" w:rsidP="00646B3D">
      <w:r w:rsidRPr="00646B3D">
        <w:t>"____" ______________ 20____ г.</w:t>
      </w:r>
    </w:p>
    <w:p w:rsidR="00646B3D" w:rsidRPr="00646B3D" w:rsidRDefault="00646B3D" w:rsidP="00646B3D"/>
    <w:p w:rsidR="00646B3D" w:rsidRDefault="00646B3D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/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</w:p>
    <w:p w:rsidR="00A86F65" w:rsidRDefault="00A86F65" w:rsidP="00A86F65">
      <w:pPr>
        <w:ind w:firstLine="0"/>
      </w:pPr>
      <w:r>
        <w:t>Зам. начальника финансового отдела</w:t>
      </w:r>
    </w:p>
    <w:p w:rsidR="00A86F65" w:rsidRDefault="00A86F65" w:rsidP="00A86F6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947">
        <w:t>В.Л. Федорова</w:t>
      </w:r>
    </w:p>
    <w:p w:rsidR="00112947" w:rsidRDefault="00112947" w:rsidP="00A86F65">
      <w:pPr>
        <w:ind w:firstLine="0"/>
      </w:pPr>
    </w:p>
    <w:p w:rsidR="00112947" w:rsidRDefault="00112947" w:rsidP="00A86F65">
      <w:pPr>
        <w:ind w:firstLine="0"/>
      </w:pPr>
    </w:p>
    <w:p w:rsidR="00112947" w:rsidRDefault="00112947" w:rsidP="00A86F65">
      <w:pPr>
        <w:ind w:firstLine="0"/>
      </w:pPr>
      <w:r>
        <w:t>«18» декабря 2024г.</w:t>
      </w:r>
    </w:p>
    <w:p w:rsidR="00112947" w:rsidRDefault="00112947" w:rsidP="00A86F65">
      <w:pPr>
        <w:ind w:firstLine="0"/>
      </w:pPr>
    </w:p>
    <w:p w:rsidR="00112947" w:rsidRDefault="00112947" w:rsidP="00A86F65">
      <w:pPr>
        <w:ind w:firstLine="0"/>
      </w:pPr>
    </w:p>
    <w:p w:rsidR="00112947" w:rsidRDefault="00112947" w:rsidP="00A86F65">
      <w:pPr>
        <w:ind w:firstLine="0"/>
      </w:pPr>
    </w:p>
    <w:p w:rsidR="00112947" w:rsidRDefault="00112947" w:rsidP="00A86F65">
      <w:pPr>
        <w:ind w:firstLine="0"/>
      </w:pPr>
    </w:p>
    <w:p w:rsidR="00112947" w:rsidRDefault="00112947" w:rsidP="00A86F65">
      <w:pPr>
        <w:ind w:firstLine="0"/>
      </w:pPr>
      <w:r>
        <w:t>Главный специалист-эксперт</w:t>
      </w:r>
    </w:p>
    <w:p w:rsidR="00112947" w:rsidRDefault="00112947" w:rsidP="00A86F65">
      <w:pPr>
        <w:ind w:firstLine="0"/>
      </w:pPr>
      <w:r>
        <w:t>сектора правового обеспечения</w:t>
      </w:r>
    </w:p>
    <w:p w:rsidR="00112947" w:rsidRDefault="00112947" w:rsidP="00A86F6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Н.С. Терентьева</w:t>
      </w:r>
    </w:p>
    <w:p w:rsidR="00112947" w:rsidRDefault="00112947" w:rsidP="00A86F65">
      <w:pPr>
        <w:ind w:firstLine="0"/>
      </w:pPr>
    </w:p>
    <w:p w:rsidR="00112947" w:rsidRDefault="00112947" w:rsidP="00A86F65">
      <w:pPr>
        <w:ind w:firstLine="0"/>
      </w:pPr>
    </w:p>
    <w:p w:rsidR="00112947" w:rsidRDefault="00112947" w:rsidP="00A86F65">
      <w:pPr>
        <w:ind w:firstLine="0"/>
      </w:pPr>
      <w:r>
        <w:t>«18» декабря 2024г.</w:t>
      </w:r>
    </w:p>
    <w:p w:rsidR="00112947" w:rsidRDefault="00112947" w:rsidP="00A86F65">
      <w:pPr>
        <w:ind w:firstLine="0"/>
      </w:pPr>
    </w:p>
    <w:p w:rsidR="00112947" w:rsidRPr="00646B3D" w:rsidRDefault="00112947" w:rsidP="00A86F65">
      <w:pPr>
        <w:ind w:firstLine="0"/>
      </w:pPr>
    </w:p>
    <w:sectPr w:rsidR="00112947" w:rsidRPr="00646B3D" w:rsidSect="00F305C0">
      <w:headerReference w:type="default" r:id="rId20"/>
      <w:footerReference w:type="default" r:id="rId21"/>
      <w:pgSz w:w="11900" w:h="16800"/>
      <w:pgMar w:top="1134" w:right="851" w:bottom="709" w:left="1701" w:header="437" w:footer="1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84" w:rsidRDefault="005B3584">
      <w:r>
        <w:separator/>
      </w:r>
    </w:p>
  </w:endnote>
  <w:endnote w:type="continuationSeparator" w:id="0">
    <w:p w:rsidR="005B3584" w:rsidRDefault="005B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9D5FF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D5FFC" w:rsidRDefault="009D5F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 w:rsidP="00E7624B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84" w:rsidRDefault="005B3584">
      <w:r>
        <w:separator/>
      </w:r>
    </w:p>
  </w:footnote>
  <w:footnote w:type="continuationSeparator" w:id="0">
    <w:p w:rsidR="005B3584" w:rsidRDefault="005B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FC" w:rsidRDefault="009D5F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7E9B"/>
    <w:multiLevelType w:val="hybridMultilevel"/>
    <w:tmpl w:val="F6BC41C4"/>
    <w:lvl w:ilvl="0" w:tplc="D74C02C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80"/>
    <w:rsid w:val="00063E06"/>
    <w:rsid w:val="000A654D"/>
    <w:rsid w:val="00112947"/>
    <w:rsid w:val="001A0D9E"/>
    <w:rsid w:val="001C39D4"/>
    <w:rsid w:val="001D3E8B"/>
    <w:rsid w:val="001E33F8"/>
    <w:rsid w:val="002025C7"/>
    <w:rsid w:val="002102A6"/>
    <w:rsid w:val="00226ED0"/>
    <w:rsid w:val="00232710"/>
    <w:rsid w:val="00243139"/>
    <w:rsid w:val="0025723F"/>
    <w:rsid w:val="0028356B"/>
    <w:rsid w:val="00284730"/>
    <w:rsid w:val="002C184D"/>
    <w:rsid w:val="002C303B"/>
    <w:rsid w:val="00323E0C"/>
    <w:rsid w:val="003710AA"/>
    <w:rsid w:val="003B5F9B"/>
    <w:rsid w:val="003C1EF3"/>
    <w:rsid w:val="003C7E3E"/>
    <w:rsid w:val="003D609C"/>
    <w:rsid w:val="00426DC5"/>
    <w:rsid w:val="00446D1A"/>
    <w:rsid w:val="0045077E"/>
    <w:rsid w:val="00476F5D"/>
    <w:rsid w:val="00496846"/>
    <w:rsid w:val="004A22CB"/>
    <w:rsid w:val="004A3906"/>
    <w:rsid w:val="004D3662"/>
    <w:rsid w:val="00540CED"/>
    <w:rsid w:val="005572D3"/>
    <w:rsid w:val="005B0C24"/>
    <w:rsid w:val="005B3584"/>
    <w:rsid w:val="005D6E92"/>
    <w:rsid w:val="00640EC0"/>
    <w:rsid w:val="00646B3D"/>
    <w:rsid w:val="00650382"/>
    <w:rsid w:val="006B305A"/>
    <w:rsid w:val="006D4AB9"/>
    <w:rsid w:val="006E300F"/>
    <w:rsid w:val="006E65C1"/>
    <w:rsid w:val="0074062B"/>
    <w:rsid w:val="007471D0"/>
    <w:rsid w:val="00760353"/>
    <w:rsid w:val="007E43CC"/>
    <w:rsid w:val="007F52A3"/>
    <w:rsid w:val="00802A7A"/>
    <w:rsid w:val="008662E4"/>
    <w:rsid w:val="00875AF5"/>
    <w:rsid w:val="008775EC"/>
    <w:rsid w:val="008810EA"/>
    <w:rsid w:val="008827C9"/>
    <w:rsid w:val="008B4BA2"/>
    <w:rsid w:val="008D7EC9"/>
    <w:rsid w:val="008E06A8"/>
    <w:rsid w:val="00900710"/>
    <w:rsid w:val="009225B4"/>
    <w:rsid w:val="00944549"/>
    <w:rsid w:val="009510F5"/>
    <w:rsid w:val="00963747"/>
    <w:rsid w:val="00980AB7"/>
    <w:rsid w:val="00997226"/>
    <w:rsid w:val="009A2D0A"/>
    <w:rsid w:val="009D5FFC"/>
    <w:rsid w:val="009E1624"/>
    <w:rsid w:val="00A0313F"/>
    <w:rsid w:val="00A15DD4"/>
    <w:rsid w:val="00A17B43"/>
    <w:rsid w:val="00A265E5"/>
    <w:rsid w:val="00A8372A"/>
    <w:rsid w:val="00A86F65"/>
    <w:rsid w:val="00A8744D"/>
    <w:rsid w:val="00A9070F"/>
    <w:rsid w:val="00A936E1"/>
    <w:rsid w:val="00AB2C34"/>
    <w:rsid w:val="00AC6A80"/>
    <w:rsid w:val="00AF1DD8"/>
    <w:rsid w:val="00B177DB"/>
    <w:rsid w:val="00B27E62"/>
    <w:rsid w:val="00B3721E"/>
    <w:rsid w:val="00B71C4F"/>
    <w:rsid w:val="00BD2EB4"/>
    <w:rsid w:val="00C0572A"/>
    <w:rsid w:val="00C30656"/>
    <w:rsid w:val="00C41468"/>
    <w:rsid w:val="00C46716"/>
    <w:rsid w:val="00C60459"/>
    <w:rsid w:val="00C615D4"/>
    <w:rsid w:val="00CC369F"/>
    <w:rsid w:val="00CE0972"/>
    <w:rsid w:val="00CF7A25"/>
    <w:rsid w:val="00D04842"/>
    <w:rsid w:val="00D1219F"/>
    <w:rsid w:val="00D61291"/>
    <w:rsid w:val="00D70AA3"/>
    <w:rsid w:val="00DE41E2"/>
    <w:rsid w:val="00DF430C"/>
    <w:rsid w:val="00DF6299"/>
    <w:rsid w:val="00E02BFE"/>
    <w:rsid w:val="00E15C9A"/>
    <w:rsid w:val="00E72017"/>
    <w:rsid w:val="00E7624B"/>
    <w:rsid w:val="00E97E57"/>
    <w:rsid w:val="00EB7CB8"/>
    <w:rsid w:val="00EC5A01"/>
    <w:rsid w:val="00ED0112"/>
    <w:rsid w:val="00ED725E"/>
    <w:rsid w:val="00F06BBD"/>
    <w:rsid w:val="00F305C0"/>
    <w:rsid w:val="00F46885"/>
    <w:rsid w:val="00F65365"/>
    <w:rsid w:val="00F72489"/>
    <w:rsid w:val="00FB16F2"/>
    <w:rsid w:val="00FC3CB7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431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43139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4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C39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unhideWhenUsed/>
    <w:rsid w:val="001C39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431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43139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4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C39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unhideWhenUsed/>
    <w:rsid w:val="001C39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12604/19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7398527/0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1430606/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2112604/16021" TargetMode="External"/><Relationship Id="rId19" Type="http://schemas.openxmlformats.org/officeDocument/2006/relationships/hyperlink" Target="https://internet.garant.ru/document/redirect/12112604/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2112604/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F876-D483-4C60-B0EA-92AC8233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16</cp:revision>
  <cp:lastPrinted>2024-12-24T08:02:00Z</cp:lastPrinted>
  <dcterms:created xsi:type="dcterms:W3CDTF">2024-11-20T07:34:00Z</dcterms:created>
  <dcterms:modified xsi:type="dcterms:W3CDTF">2024-12-24T08:10:00Z</dcterms:modified>
</cp:coreProperties>
</file>