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         </w:t>
      </w:r>
      <w:r w:rsidRPr="00543E59">
        <w:rPr>
          <w:sz w:val="28"/>
          <w:szCs w:val="28"/>
        </w:rPr>
        <w:t xml:space="preserve"> </w:t>
      </w:r>
    </w:p>
    <w:p w:rsidR="00A93882" w:rsidRPr="00A93882" w:rsidRDefault="00A93882" w:rsidP="0083003A">
      <w:pPr>
        <w:jc w:val="both"/>
        <w:rPr>
          <w:rFonts w:asciiTheme="minorHAnsi" w:hAnsiTheme="minorHAnsi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7726E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2A54838" wp14:editId="69D0448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F7726E" w:rsidTr="00F7726E">
        <w:trPr>
          <w:cantSplit/>
          <w:trHeight w:val="1617"/>
        </w:trPr>
        <w:tc>
          <w:tcPr>
            <w:tcW w:w="4140" w:type="dxa"/>
          </w:tcPr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F7726E" w:rsidRDefault="00CE1E04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F7726E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F7726E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CE1E04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Default="00F7726E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15.04.2022  № 25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«</w:t>
      </w:r>
      <w:r w:rsidR="0083003A" w:rsidRPr="00421211">
        <w:rPr>
          <w:rFonts w:ascii="Times New Roman" w:eastAsiaTheme="minorHAnsi" w:hAnsi="Times New Roman"/>
          <w:sz w:val="24"/>
          <w:szCs w:val="24"/>
        </w:rPr>
        <w:t>Обеспечение граждан Шумерлинского муниципального округа Чувашской Республики доступным и комфортным жильем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7726E" w:rsidRDefault="00F772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28.12.2022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20/1 </w:t>
      </w:r>
      <w:r w:rsidRPr="00CA6E6E">
        <w:rPr>
          <w:rFonts w:ascii="Times New Roman" w:eastAsia="Times New Roman" w:hAnsi="Times New Roman"/>
          <w:sz w:val="24"/>
          <w:szCs w:val="24"/>
        </w:rPr>
        <w:t>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10.12.2021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3/1 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2022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2023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2024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A6E6E" w:rsidRPr="00F7726E" w:rsidRDefault="00CA6E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726E" w:rsidRPr="00F7726E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№ 1 к настоящему постановлению.</w:t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Default="00F52739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 w:rsidR="00212A41">
        <w:rPr>
          <w:rFonts w:ascii="Times New Roman" w:hAnsi="Times New Roman"/>
          <w:sz w:val="24"/>
          <w:szCs w:val="26"/>
        </w:rPr>
        <w:t xml:space="preserve"> </w:t>
      </w:r>
      <w:r w:rsidR="00F52739">
        <w:rPr>
          <w:rFonts w:ascii="Times New Roman" w:hAnsi="Times New Roman"/>
          <w:sz w:val="24"/>
          <w:szCs w:val="26"/>
        </w:rPr>
        <w:t>Л.Г. Рафинов</w:t>
      </w:r>
    </w:p>
    <w:p w:rsidR="0056185E" w:rsidRDefault="0056185E"/>
    <w:p w:rsidR="00D5527F" w:rsidRDefault="00D5527F"/>
    <w:p w:rsidR="00D5527F" w:rsidRDefault="00D5527F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170A1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170A1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>
        <w:rPr>
          <w:rFonts w:ascii="Times New Roman" w:eastAsia="Times New Roman" w:hAnsi="Times New Roman"/>
          <w:sz w:val="24"/>
          <w:szCs w:val="24"/>
        </w:rPr>
        <w:t xml:space="preserve"> №1</w:t>
      </w:r>
      <w:r w:rsidRPr="003170A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170A1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170A1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DE3049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B62669" w:rsidRDefault="00064F26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B62669">
        <w:rPr>
          <w:rFonts w:ascii="Times New Roman" w:eastAsia="Times New Roman" w:hAnsi="Times New Roman"/>
          <w:sz w:val="24"/>
          <w:szCs w:val="24"/>
        </w:rPr>
        <w:t>т</w:t>
      </w:r>
      <w:r w:rsidR="00F52739">
        <w:rPr>
          <w:rFonts w:ascii="Times New Roman" w:eastAsia="Times New Roman" w:hAnsi="Times New Roman"/>
          <w:sz w:val="24"/>
          <w:szCs w:val="24"/>
        </w:rPr>
        <w:t xml:space="preserve"> </w:t>
      </w:r>
      <w:r w:rsidR="00CE1E04">
        <w:rPr>
          <w:rFonts w:ascii="Times New Roman" w:eastAsia="Times New Roman" w:hAnsi="Times New Roman"/>
          <w:sz w:val="24"/>
          <w:szCs w:val="24"/>
        </w:rPr>
        <w:t>01</w:t>
      </w:r>
      <w:r w:rsidR="00D5527F" w:rsidRPr="00B62669">
        <w:rPr>
          <w:rFonts w:ascii="Times New Roman" w:eastAsia="Times New Roman" w:hAnsi="Times New Roman"/>
          <w:sz w:val="24"/>
          <w:szCs w:val="24"/>
        </w:rPr>
        <w:t>.</w:t>
      </w:r>
      <w:r w:rsidR="00F52739">
        <w:rPr>
          <w:rFonts w:ascii="Times New Roman" w:eastAsia="Times New Roman" w:hAnsi="Times New Roman"/>
          <w:sz w:val="24"/>
          <w:szCs w:val="24"/>
        </w:rPr>
        <w:t>0</w:t>
      </w:r>
      <w:r w:rsidR="00CE1E04">
        <w:rPr>
          <w:rFonts w:ascii="Times New Roman" w:eastAsia="Times New Roman" w:hAnsi="Times New Roman"/>
          <w:sz w:val="24"/>
          <w:szCs w:val="24"/>
        </w:rPr>
        <w:t>3</w:t>
      </w:r>
      <w:r w:rsidR="00F52739">
        <w:rPr>
          <w:rFonts w:ascii="Times New Roman" w:eastAsia="Times New Roman" w:hAnsi="Times New Roman"/>
          <w:sz w:val="24"/>
          <w:szCs w:val="24"/>
        </w:rPr>
        <w:t>.2023</w:t>
      </w:r>
      <w:r w:rsidR="00D5527F" w:rsidRPr="00B62669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E1E04">
        <w:rPr>
          <w:rFonts w:ascii="Times New Roman" w:eastAsia="Times New Roman" w:hAnsi="Times New Roman"/>
          <w:sz w:val="24"/>
          <w:szCs w:val="24"/>
        </w:rPr>
        <w:t>131</w:t>
      </w:r>
      <w:bookmarkStart w:id="0" w:name="_GoBack"/>
      <w:bookmarkEnd w:id="0"/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421211" w:rsidRDefault="00F52739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  <w:r w:rsidR="006831FA"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56185E"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CE1E04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Маркина Татьяна Валерьяновна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</w:t>
              </w:r>
              <w:r w:rsidR="00F52739" w:rsidRPr="00F52739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1</w:t>
              </w:r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Default="00F52739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5C438C"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>
        <w:rPr>
          <w:rFonts w:ascii="Times New Roman" w:hAnsi="Times New Roman"/>
          <w:sz w:val="24"/>
          <w:szCs w:val="26"/>
        </w:rPr>
        <w:t xml:space="preserve"> </w:t>
      </w:r>
      <w:r w:rsidR="00F52739">
        <w:rPr>
          <w:rFonts w:ascii="Times New Roman" w:hAnsi="Times New Roman"/>
          <w:sz w:val="24"/>
          <w:szCs w:val="26"/>
        </w:rPr>
        <w:t>Л.Г. Рафинов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C438C" w:rsidRDefault="005C438C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0E664F" w:rsidRDefault="000E664F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lastRenderedPageBreak/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детьми;</w:t>
            </w:r>
          </w:p>
          <w:p w:rsidR="00637270" w:rsidRPr="00781E4D" w:rsidRDefault="00637270" w:rsidP="006372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21211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153447,1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3 429,7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2024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>
              <w:rPr>
                <w:rFonts w:ascii="Times New Roman" w:eastAsiaTheme="minorHAnsi" w:hAnsi="Times New Roman"/>
                <w:sz w:val="22"/>
                <w:szCs w:val="22"/>
              </w:rPr>
              <w:t xml:space="preserve">3 501,4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54077,2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1 957,1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2 075,9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101FF">
              <w:rPr>
                <w:rFonts w:ascii="Times New Roman" w:eastAsiaTheme="minorHAnsi" w:hAnsi="Times New Roman"/>
                <w:sz w:val="22"/>
                <w:szCs w:val="22"/>
              </w:rPr>
              <w:t>93 189,6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EE718F" w:rsidRPr="00EE718F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 xml:space="preserve"> 032,4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6101FF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44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21211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lastRenderedPageBreak/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ED2675" w:rsidRPr="00ED2675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>
        <w:rPr>
          <w:rFonts w:ascii="Times New Roman" w:eastAsiaTheme="minorHAnsi" w:hAnsi="Times New Roman"/>
          <w:sz w:val="22"/>
          <w:szCs w:val="22"/>
        </w:rPr>
        <w:t xml:space="preserve">а </w:t>
      </w:r>
      <w:r w:rsidR="003D6E6C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601BE" w:rsidRPr="001601BE">
        <w:rPr>
          <w:rFonts w:ascii="Times New Roman" w:eastAsiaTheme="minorHAnsi" w:hAnsi="Times New Roman"/>
          <w:sz w:val="22"/>
          <w:szCs w:val="22"/>
        </w:rPr>
        <w:t xml:space="preserve">153447,1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1601BE" w:rsidRPr="001601BE">
        <w:rPr>
          <w:rFonts w:ascii="Times New Roman" w:eastAsiaTheme="minorHAnsi" w:hAnsi="Times New Roman"/>
          <w:sz w:val="22"/>
          <w:szCs w:val="22"/>
        </w:rPr>
        <w:t xml:space="preserve">54077,2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1601BE" w:rsidRPr="001601BE">
        <w:rPr>
          <w:rFonts w:ascii="Times New Roman" w:eastAsiaTheme="minorHAnsi" w:hAnsi="Times New Roman"/>
          <w:sz w:val="22"/>
          <w:szCs w:val="22"/>
        </w:rPr>
        <w:t xml:space="preserve">93 189,6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ыс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>. рублей, бюджет Шумерлинского муниципального округа</w:t>
      </w:r>
      <w:r w:rsidR="004C4CA8"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43F90" w:rsidRPr="00E43F90">
        <w:rPr>
          <w:rFonts w:ascii="Times New Roman" w:eastAsiaTheme="minorHAnsi" w:hAnsi="Times New Roman"/>
          <w:sz w:val="22"/>
          <w:szCs w:val="22"/>
        </w:rPr>
        <w:t xml:space="preserve">6 180,3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21211" w:rsidTr="0056185E">
        <w:tc>
          <w:tcPr>
            <w:tcW w:w="1708" w:type="dxa"/>
            <w:vMerge w:val="restart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153 447,1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54 077,2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93 189,6</w:t>
            </w:r>
          </w:p>
        </w:tc>
        <w:tc>
          <w:tcPr>
            <w:tcW w:w="1790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6 180,3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14 949,3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8 944,5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4 258,9</w:t>
            </w:r>
          </w:p>
        </w:tc>
        <w:tc>
          <w:tcPr>
            <w:tcW w:w="1790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1 745,9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3 429,7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1 957,1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</w:p>
        </w:tc>
        <w:tc>
          <w:tcPr>
            <w:tcW w:w="151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2 075,9</w:t>
            </w:r>
          </w:p>
        </w:tc>
        <w:tc>
          <w:tcPr>
            <w:tcW w:w="1864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21211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</w:p>
        </w:tc>
        <w:tc>
          <w:tcPr>
            <w:tcW w:w="1512" w:type="dxa"/>
          </w:tcPr>
          <w:p w:rsidR="0056185E" w:rsidRPr="00421211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</w:p>
        </w:tc>
        <w:tc>
          <w:tcPr>
            <w:tcW w:w="1864" w:type="dxa"/>
          </w:tcPr>
          <w:p w:rsidR="0056185E" w:rsidRPr="00421211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</w:p>
        </w:tc>
        <w:tc>
          <w:tcPr>
            <w:tcW w:w="1790" w:type="dxa"/>
          </w:tcPr>
          <w:p w:rsidR="0056185E" w:rsidRPr="00421211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138497,8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88930,7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4434,4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69235,8</w:t>
            </w:r>
          </w:p>
        </w:tc>
        <w:tc>
          <w:tcPr>
            <w:tcW w:w="1512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22566,2</w:t>
            </w:r>
          </w:p>
        </w:tc>
        <w:tc>
          <w:tcPr>
            <w:tcW w:w="1864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44465,2</w:t>
            </w:r>
          </w:p>
        </w:tc>
        <w:tc>
          <w:tcPr>
            <w:tcW w:w="1790" w:type="dxa"/>
          </w:tcPr>
          <w:p w:rsidR="0056185E" w:rsidRPr="00421211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2204,4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69262,0</w:t>
            </w:r>
          </w:p>
        </w:tc>
        <w:tc>
          <w:tcPr>
            <w:tcW w:w="1512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22566,5</w:t>
            </w:r>
          </w:p>
        </w:tc>
        <w:tc>
          <w:tcPr>
            <w:tcW w:w="1864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44465,5</w:t>
            </w:r>
          </w:p>
        </w:tc>
        <w:tc>
          <w:tcPr>
            <w:tcW w:w="1790" w:type="dxa"/>
          </w:tcPr>
          <w:p w:rsidR="0056185E" w:rsidRPr="00421211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2230,0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C438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5"/>
        <w:gridCol w:w="1959"/>
        <w:gridCol w:w="846"/>
        <w:gridCol w:w="1417"/>
        <w:gridCol w:w="22"/>
        <w:gridCol w:w="2279"/>
        <w:gridCol w:w="851"/>
        <w:gridCol w:w="850"/>
        <w:gridCol w:w="851"/>
        <w:gridCol w:w="992"/>
        <w:gridCol w:w="1276"/>
        <w:gridCol w:w="1417"/>
      </w:tblGrid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538" w:type="dxa"/>
            <w:gridSpan w:val="8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212A41" w:rsidTr="00212A41">
        <w:tc>
          <w:tcPr>
            <w:tcW w:w="1415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9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61496F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3 429,7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1 957,1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212A41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440,0</w:t>
            </w:r>
          </w:p>
        </w:tc>
        <w:tc>
          <w:tcPr>
            <w:tcW w:w="992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212A41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212A41" w:rsidTr="00212A41">
        <w:tc>
          <w:tcPr>
            <w:tcW w:w="1415" w:type="dxa"/>
            <w:vMerge w:val="restart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9" w:type="dxa"/>
            <w:vMerge w:val="restart"/>
          </w:tcPr>
          <w:p w:rsidR="00DA181D" w:rsidRPr="00212A41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212A41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212A41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 w:rsidR="00E01EB9"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212A41" w:rsidTr="00212A41">
        <w:tc>
          <w:tcPr>
            <w:tcW w:w="1415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212A41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212A41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212A41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E01EB9" w:rsidRPr="00212A41" w:rsidTr="00212A41">
        <w:tc>
          <w:tcPr>
            <w:tcW w:w="1415" w:type="dxa"/>
            <w:vMerge w:val="restart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E01EB9" w:rsidRPr="00212A41" w:rsidRDefault="00E01EB9" w:rsidP="0056185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345A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212A41" w:rsidRDefault="006656A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E01EB9" w:rsidRPr="00212A41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1345A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212A41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61413,0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61439,0</w:t>
            </w:r>
          </w:p>
        </w:tc>
      </w:tr>
      <w:tr w:rsidR="00E01EB9" w:rsidRPr="00212A41" w:rsidTr="00212A41">
        <w:tc>
          <w:tcPr>
            <w:tcW w:w="1415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E01EB9" w:rsidRPr="00212A41" w:rsidTr="00212A41">
        <w:tc>
          <w:tcPr>
            <w:tcW w:w="1415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E01EB9" w:rsidRPr="00212A41" w:rsidTr="00212A41">
        <w:tc>
          <w:tcPr>
            <w:tcW w:w="1415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212A41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E01EB9" w:rsidRPr="00212A41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841868" w:rsidRPr="00212A41" w:rsidTr="00212A41">
        <w:tc>
          <w:tcPr>
            <w:tcW w:w="1415" w:type="dxa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9" w:type="dxa"/>
            <w:vMerge w:val="restart"/>
          </w:tcPr>
          <w:p w:rsidR="00841868" w:rsidRPr="00212A41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212A41" w:rsidRDefault="00841868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7 822,8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7 744,4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212A41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841868" w:rsidRPr="00212A41" w:rsidTr="00212A41">
        <w:tc>
          <w:tcPr>
            <w:tcW w:w="1415" w:type="dxa"/>
            <w:vMerge w:val="restart"/>
          </w:tcPr>
          <w:p w:rsidR="00841868" w:rsidRPr="00212A41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841868" w:rsidRPr="00212A41" w:rsidRDefault="00841868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212A41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212A41" w:rsidTr="00212A41">
        <w:tc>
          <w:tcPr>
            <w:tcW w:w="1415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212A41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212A41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21211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137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801,3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429,7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38 588,3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1 957,1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 xml:space="preserve">2 075,9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93 032,7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032,4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3A79ED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lastRenderedPageBreak/>
        <w:t>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1.3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E035E">
        <w:rPr>
          <w:rFonts w:ascii="Times New Roman" w:eastAsiaTheme="minorHAnsi" w:hAnsi="Times New Roman"/>
          <w:sz w:val="22"/>
          <w:szCs w:val="22"/>
        </w:rPr>
        <w:t>137 801,3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5E035E">
        <w:rPr>
          <w:rFonts w:ascii="Times New Roman" w:eastAsiaTheme="minorHAnsi" w:hAnsi="Times New Roman"/>
          <w:sz w:val="22"/>
          <w:szCs w:val="22"/>
        </w:rPr>
        <w:t>38 588,3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5E035E">
        <w:rPr>
          <w:rFonts w:ascii="Times New Roman" w:eastAsiaTheme="minorHAnsi" w:hAnsi="Times New Roman"/>
          <w:sz w:val="22"/>
          <w:szCs w:val="22"/>
        </w:rPr>
        <w:t>93 032,7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5E035E">
        <w:rPr>
          <w:rFonts w:ascii="Times New Roman" w:eastAsiaTheme="minorHAnsi" w:hAnsi="Times New Roman"/>
          <w:sz w:val="22"/>
          <w:szCs w:val="22"/>
        </w:rPr>
        <w:t> 180,3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212A41" w:rsidTr="00212A41">
        <w:tc>
          <w:tcPr>
            <w:tcW w:w="851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212A41" w:rsidTr="00212A41">
        <w:tc>
          <w:tcPr>
            <w:tcW w:w="851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212A41" w:rsidTr="00212A41"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212A41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5E035E" w:rsidRPr="00212A41" w:rsidTr="00212A41">
        <w:tc>
          <w:tcPr>
            <w:tcW w:w="851" w:type="dxa"/>
            <w:vMerge w:val="restart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212A41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E035E" w:rsidRPr="00212A41" w:rsidTr="00212A41">
        <w:tc>
          <w:tcPr>
            <w:tcW w:w="851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E035E" w:rsidRPr="00212A41" w:rsidTr="00212A41">
        <w:tc>
          <w:tcPr>
            <w:tcW w:w="851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E035E" w:rsidRPr="00212A41" w:rsidTr="00212A41">
        <w:tc>
          <w:tcPr>
            <w:tcW w:w="851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212A41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E035E" w:rsidRPr="00212A41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383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3 429,7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1 957,1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51345A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6656A9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6656A9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51345A" w:rsidRPr="00212A41" w:rsidRDefault="0051345A" w:rsidP="00D46385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425,3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212A41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51345A" w:rsidRPr="00212A41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51345A" w:rsidRPr="00212A41" w:rsidRDefault="0051345A" w:rsidP="00C30975">
            <w:pPr>
              <w:jc w:val="center"/>
              <w:rPr>
                <w:sz w:val="18"/>
                <w:szCs w:val="22"/>
              </w:rPr>
            </w:pPr>
            <w:r w:rsidRPr="00212A41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5E035E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51345A" w:rsidRPr="00212A41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38 376,0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38 376,0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212A41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212A41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Мероприятие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1.3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Обеспечение жильем молодых семей в рамках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51345A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212A41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</w:rPr>
              <w:t> 468,8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3 428,5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3 547,3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3 500,2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Федеральный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2 882,7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1 957,1</w:t>
            </w:r>
          </w:p>
        </w:tc>
        <w:tc>
          <w:tcPr>
            <w:tcW w:w="992" w:type="dxa"/>
          </w:tcPr>
          <w:p w:rsidR="0051345A" w:rsidRPr="00212A41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1 031.2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51345A" w:rsidRPr="00212A41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212A41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2A41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A9" w:rsidRDefault="006656A9">
      <w:pPr>
        <w:spacing w:after="0" w:line="240" w:lineRule="auto"/>
      </w:pPr>
      <w:r>
        <w:separator/>
      </w:r>
    </w:p>
  </w:endnote>
  <w:endnote w:type="continuationSeparator" w:id="0">
    <w:p w:rsidR="006656A9" w:rsidRDefault="0066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A9" w:rsidRDefault="006656A9">
      <w:pPr>
        <w:spacing w:after="0" w:line="240" w:lineRule="auto"/>
      </w:pPr>
      <w:r>
        <w:separator/>
      </w:r>
    </w:p>
  </w:footnote>
  <w:footnote w:type="continuationSeparator" w:id="0">
    <w:p w:rsidR="006656A9" w:rsidRDefault="0066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56F5"/>
    <w:rsid w:val="0011694E"/>
    <w:rsid w:val="00123C6D"/>
    <w:rsid w:val="00131FCC"/>
    <w:rsid w:val="00134A6A"/>
    <w:rsid w:val="00140114"/>
    <w:rsid w:val="001410C7"/>
    <w:rsid w:val="001601BE"/>
    <w:rsid w:val="0018415B"/>
    <w:rsid w:val="001A70B0"/>
    <w:rsid w:val="001B3C71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C6A9A"/>
    <w:rsid w:val="002E3FF9"/>
    <w:rsid w:val="0033034A"/>
    <w:rsid w:val="00337B30"/>
    <w:rsid w:val="00343AB1"/>
    <w:rsid w:val="0037261E"/>
    <w:rsid w:val="003A79ED"/>
    <w:rsid w:val="003B1BA4"/>
    <w:rsid w:val="003C18A0"/>
    <w:rsid w:val="003C1EA9"/>
    <w:rsid w:val="003D6E6C"/>
    <w:rsid w:val="003E024E"/>
    <w:rsid w:val="00421211"/>
    <w:rsid w:val="0042666A"/>
    <w:rsid w:val="00427671"/>
    <w:rsid w:val="00431056"/>
    <w:rsid w:val="00467782"/>
    <w:rsid w:val="00473A17"/>
    <w:rsid w:val="0047737F"/>
    <w:rsid w:val="0048766A"/>
    <w:rsid w:val="00491214"/>
    <w:rsid w:val="004C12B8"/>
    <w:rsid w:val="004C4CA8"/>
    <w:rsid w:val="004F1CFD"/>
    <w:rsid w:val="0051345A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56A9"/>
    <w:rsid w:val="00673E3D"/>
    <w:rsid w:val="006831FA"/>
    <w:rsid w:val="0069725F"/>
    <w:rsid w:val="006E1EE5"/>
    <w:rsid w:val="00760466"/>
    <w:rsid w:val="00781E4D"/>
    <w:rsid w:val="007B1D45"/>
    <w:rsid w:val="007D701F"/>
    <w:rsid w:val="007F2E5D"/>
    <w:rsid w:val="00821F8E"/>
    <w:rsid w:val="0083003A"/>
    <w:rsid w:val="00841868"/>
    <w:rsid w:val="008548CE"/>
    <w:rsid w:val="00876CF1"/>
    <w:rsid w:val="008A0518"/>
    <w:rsid w:val="00943A46"/>
    <w:rsid w:val="00947F31"/>
    <w:rsid w:val="0095772A"/>
    <w:rsid w:val="00962595"/>
    <w:rsid w:val="00980C8B"/>
    <w:rsid w:val="009C1865"/>
    <w:rsid w:val="009C18E7"/>
    <w:rsid w:val="009E069A"/>
    <w:rsid w:val="00A05A7F"/>
    <w:rsid w:val="00A273ED"/>
    <w:rsid w:val="00A32812"/>
    <w:rsid w:val="00A35588"/>
    <w:rsid w:val="00A37849"/>
    <w:rsid w:val="00A4115C"/>
    <w:rsid w:val="00A77C9C"/>
    <w:rsid w:val="00A93882"/>
    <w:rsid w:val="00AB1A13"/>
    <w:rsid w:val="00B024A2"/>
    <w:rsid w:val="00B046EF"/>
    <w:rsid w:val="00B050B7"/>
    <w:rsid w:val="00B51227"/>
    <w:rsid w:val="00B850A4"/>
    <w:rsid w:val="00B92DFB"/>
    <w:rsid w:val="00BC678F"/>
    <w:rsid w:val="00BC7383"/>
    <w:rsid w:val="00C0027E"/>
    <w:rsid w:val="00C159EA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F6A"/>
    <w:rsid w:val="00E40513"/>
    <w:rsid w:val="00E43F90"/>
    <w:rsid w:val="00E56AA9"/>
    <w:rsid w:val="00E719B8"/>
    <w:rsid w:val="00E87250"/>
    <w:rsid w:val="00ED0475"/>
    <w:rsid w:val="00ED2675"/>
    <w:rsid w:val="00EE718F"/>
    <w:rsid w:val="00F16A58"/>
    <w:rsid w:val="00F41DAB"/>
    <w:rsid w:val="00F47DEE"/>
    <w:rsid w:val="00F52739"/>
    <w:rsid w:val="00F7726E"/>
    <w:rsid w:val="00F83284"/>
    <w:rsid w:val="00F835BE"/>
    <w:rsid w:val="00F9049A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B2DF-72D5-471C-AA0E-022B8C0B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5</cp:revision>
  <cp:lastPrinted>2023-02-02T13:53:00Z</cp:lastPrinted>
  <dcterms:created xsi:type="dcterms:W3CDTF">2023-02-02T14:13:00Z</dcterms:created>
  <dcterms:modified xsi:type="dcterms:W3CDTF">2023-03-01T12:02:00Z</dcterms:modified>
</cp:coreProperties>
</file>