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tbl>
      <w:tblPr>
        <w:tblW w:w="9389" w:type="dxa"/>
        <w:tblInd w:w="142" w:type="dxa"/>
        <w:tblLayout w:type="fixed"/>
        <w:tblLook w:val="01E0" w:firstRow="1" w:lastRow="1" w:firstColumn="1" w:lastColumn="1" w:noHBand="0" w:noVBand="0"/>
      </w:tblPr>
      <w:tblGrid>
        <w:gridCol w:w="3936"/>
        <w:gridCol w:w="1984"/>
        <w:gridCol w:w="3469"/>
      </w:tblGrid>
      <w:tr>
        <w:tc>
          <w:tcPr>
            <w:tcW w:w="3936" w:type="dxa"/>
          </w:tcPr>
          <w:p>
            <w:pPr>
              <w:spacing w:line="192" w:lineRule="auto"/>
              <w:ind w:left="-216" w:hanging="426"/>
              <w:jc w:val="center"/>
              <w:rPr>
                <w:rFonts w:ascii="Arial Cyr Chuv" w:hAnsi="Arial Cyr Chuv" w:cs="Arial Cyr Chuv"/>
                <w:b/>
                <w:bCs/>
              </w:rPr>
            </w:pPr>
            <w:bookmarkStart w:id="0" w:name="sub_1000"/>
            <w:proofErr w:type="spellStart"/>
            <w:r>
              <w:rPr>
                <w:rFonts w:ascii="Times New Roman" w:hAnsi="Times New Roman"/>
                <w:b/>
                <w:bCs/>
                <w:sz w:val="22"/>
                <w:szCs w:val="22"/>
              </w:rPr>
              <w:t>Ч</w:t>
            </w:r>
            <w:r>
              <w:rPr>
                <w:rFonts w:cs="Arial"/>
                <w:b/>
                <w:bCs/>
                <w:sz w:val="22"/>
                <w:szCs w:val="22"/>
              </w:rPr>
              <w:t>ӑ</w:t>
            </w:r>
            <w:r>
              <w:rPr>
                <w:rFonts w:ascii="Times New Roman" w:hAnsi="Times New Roman"/>
                <w:b/>
                <w:bCs/>
                <w:sz w:val="22"/>
                <w:szCs w:val="22"/>
              </w:rPr>
              <w:t>ваш</w:t>
            </w:r>
            <w:proofErr w:type="spellEnd"/>
            <w:r>
              <w:rPr>
                <w:rFonts w:ascii="Times New Roman" w:hAnsi="Times New Roman"/>
                <w:b/>
                <w:bCs/>
                <w:sz w:val="22"/>
                <w:szCs w:val="22"/>
              </w:rPr>
              <w:t xml:space="preserve"> </w:t>
            </w:r>
            <w:proofErr w:type="spellStart"/>
            <w:r>
              <w:rPr>
                <w:rFonts w:ascii="Times New Roman" w:hAnsi="Times New Roman"/>
                <w:b/>
                <w:bCs/>
                <w:sz w:val="22"/>
                <w:szCs w:val="22"/>
              </w:rPr>
              <w:t>Республикин</w:t>
            </w:r>
            <w:proofErr w:type="spellEnd"/>
          </w:p>
          <w:p>
            <w:pPr>
              <w:spacing w:line="192" w:lineRule="auto"/>
              <w:ind w:left="-216" w:hanging="426"/>
              <w:jc w:val="center"/>
              <w:rPr>
                <w:rFonts w:ascii="Times New Roman" w:hAnsi="Times New Roman"/>
                <w:b/>
                <w:bCs/>
              </w:rPr>
            </w:pPr>
            <w:r>
              <w:rPr>
                <w:rFonts w:ascii="Times New Roman" w:hAnsi="Times New Roman"/>
                <w:b/>
                <w:bCs/>
              </w:rPr>
              <w:t>КАНАШ ХУЛА</w:t>
            </w:r>
          </w:p>
          <w:p>
            <w:pPr>
              <w:spacing w:line="192" w:lineRule="auto"/>
              <w:ind w:left="-216" w:hanging="426"/>
              <w:jc w:val="center"/>
              <w:rPr>
                <w:rFonts w:ascii="Arial Cyr Chuv" w:hAnsi="Arial Cyr Chuv" w:cs="Arial Cyr Chuv"/>
                <w:b/>
                <w:bCs/>
              </w:rPr>
            </w:pPr>
            <w:r>
              <w:rPr>
                <w:rFonts w:ascii="Times New Roman" w:hAnsi="Times New Roman"/>
                <w:b/>
                <w:bCs/>
              </w:rPr>
              <w:t>АДМИНИСТРАЦИЙЕ</w:t>
            </w:r>
          </w:p>
          <w:p>
            <w:pPr>
              <w:spacing w:line="192" w:lineRule="auto"/>
              <w:ind w:left="-216" w:hanging="426"/>
              <w:jc w:val="center"/>
              <w:rPr>
                <w:rFonts w:ascii="Arial Cyr Chuv" w:hAnsi="Arial Cyr Chuv" w:cs="Arial Cyr Chuv"/>
                <w:b/>
                <w:bCs/>
              </w:rPr>
            </w:pPr>
          </w:p>
          <w:p>
            <w:pPr>
              <w:spacing w:line="192" w:lineRule="auto"/>
              <w:ind w:left="-216" w:hanging="426"/>
              <w:jc w:val="center"/>
              <w:rPr>
                <w:rFonts w:ascii="Arial Cyr Chuv" w:hAnsi="Arial Cyr Chuv" w:cs="Arial Cyr Chuv"/>
                <w:b/>
                <w:bCs/>
              </w:rPr>
            </w:pPr>
            <w:r>
              <w:rPr>
                <w:rFonts w:ascii="Times New Roman" w:hAnsi="Times New Roman"/>
                <w:b/>
                <w:bCs/>
              </w:rPr>
              <w:t>ЙЫШАНУ</w:t>
            </w:r>
          </w:p>
          <w:p>
            <w:pPr>
              <w:spacing w:line="192" w:lineRule="auto"/>
              <w:ind w:left="-216" w:hanging="426"/>
              <w:jc w:val="center"/>
              <w:rPr>
                <w:rFonts w:ascii="Times New Roman" w:hAnsi="Times New Roman"/>
                <w:b/>
                <w:bCs/>
              </w:rPr>
            </w:pPr>
          </w:p>
          <w:p>
            <w:pPr>
              <w:spacing w:line="192" w:lineRule="auto"/>
              <w:ind w:left="-216" w:hanging="426"/>
              <w:jc w:val="center"/>
              <w:rPr>
                <w:rFonts w:ascii="Times New Roman" w:hAnsi="Times New Roman"/>
                <w:bCs/>
              </w:rPr>
            </w:pPr>
            <w:r>
              <w:rPr>
                <w:rFonts w:ascii="Times New Roman" w:hAnsi="Times New Roman"/>
                <w:b/>
                <w:bCs/>
              </w:rPr>
              <w:t xml:space="preserve">____         </w:t>
            </w:r>
            <w:bookmarkStart w:id="1" w:name="_GoBack"/>
            <w:r>
              <w:rPr>
                <w:rFonts w:ascii="Times New Roman" w:hAnsi="Times New Roman"/>
                <w:bCs/>
                <w:u w:val="single"/>
              </w:rPr>
              <w:t>28.03.2023</w:t>
            </w:r>
            <w:r>
              <w:rPr>
                <w:rFonts w:ascii="Times New Roman" w:hAnsi="Times New Roman"/>
                <w:bCs/>
              </w:rPr>
              <w:t xml:space="preserve"> № _</w:t>
            </w:r>
            <w:r>
              <w:rPr>
                <w:rFonts w:ascii="Times New Roman" w:hAnsi="Times New Roman"/>
                <w:bCs/>
                <w:u w:val="single"/>
              </w:rPr>
              <w:t>274</w:t>
            </w:r>
            <w:bookmarkEnd w:id="1"/>
            <w:r>
              <w:rPr>
                <w:rFonts w:ascii="Times New Roman" w:hAnsi="Times New Roman"/>
                <w:bCs/>
              </w:rPr>
              <w:t>_________</w:t>
            </w:r>
          </w:p>
          <w:p>
            <w:pPr>
              <w:spacing w:line="192" w:lineRule="auto"/>
              <w:ind w:left="-216" w:hanging="426"/>
              <w:jc w:val="center"/>
              <w:rPr>
                <w:rFonts w:ascii="Arial Cyr Chuv" w:hAnsi="Arial Cyr Chuv" w:cs="Arial Cyr Chuv"/>
                <w:bCs/>
                <w:sz w:val="28"/>
                <w:szCs w:val="28"/>
              </w:rPr>
            </w:pPr>
          </w:p>
          <w:p>
            <w:pPr>
              <w:spacing w:line="192" w:lineRule="auto"/>
              <w:ind w:left="-216" w:hanging="426"/>
              <w:jc w:val="center"/>
              <w:rPr>
                <w:rFonts w:ascii="Times New Roman" w:hAnsi="Times New Roman"/>
                <w:b/>
                <w:bCs/>
              </w:rPr>
            </w:pPr>
            <w:r>
              <w:rPr>
                <w:rFonts w:ascii="Times New Roman" w:hAnsi="Times New Roman"/>
                <w:b/>
                <w:bCs/>
                <w:sz w:val="22"/>
                <w:szCs w:val="22"/>
              </w:rPr>
              <w:t>Канаш хули</w:t>
            </w:r>
          </w:p>
        </w:tc>
        <w:tc>
          <w:tcPr>
            <w:tcW w:w="1984" w:type="dxa"/>
          </w:tcPr>
          <w:p>
            <w:pPr>
              <w:spacing w:line="192" w:lineRule="auto"/>
              <w:rPr>
                <w:rFonts w:ascii="Arial Cyr Chuv" w:hAnsi="Arial Cyr Chuv" w:cs="Arial Cyr Chuv"/>
                <w:b/>
                <w:bCs/>
              </w:rPr>
            </w:pPr>
            <w:r>
              <w:rPr>
                <w:rFonts w:ascii="Arial Cyr Chuv" w:hAnsi="Arial Cyr Chuv" w:cs="Arial Cyr Chuv"/>
                <w:b/>
                <w:bCs/>
                <w:noProof/>
              </w:rPr>
              <w:drawing>
                <wp:anchor distT="0" distB="0" distL="114300" distR="114300" simplePos="0" relativeHeight="251658240" behindDoc="1" locked="0" layoutInCell="1" allowOverlap="1">
                  <wp:simplePos x="0" y="0"/>
                  <wp:positionH relativeFrom="column">
                    <wp:posOffset>100965</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anchor>
              </w:drawing>
            </w:r>
          </w:p>
        </w:tc>
        <w:tc>
          <w:tcPr>
            <w:tcW w:w="3469" w:type="dxa"/>
          </w:tcPr>
          <w:p>
            <w:pPr>
              <w:spacing w:line="192" w:lineRule="auto"/>
              <w:jc w:val="center"/>
              <w:rPr>
                <w:rFonts w:ascii="Times New Roman" w:hAnsi="Times New Roman"/>
                <w:b/>
                <w:bCs/>
              </w:rPr>
            </w:pPr>
            <w:r>
              <w:rPr>
                <w:rFonts w:ascii="Times New Roman" w:hAnsi="Times New Roman"/>
                <w:b/>
                <w:bCs/>
              </w:rPr>
              <w:t>АДМИНИСТРАЦИЯ</w:t>
            </w:r>
          </w:p>
          <w:p>
            <w:pPr>
              <w:spacing w:line="192" w:lineRule="auto"/>
              <w:ind w:left="668" w:firstLine="52"/>
              <w:jc w:val="center"/>
              <w:rPr>
                <w:rFonts w:ascii="Times New Roman" w:hAnsi="Times New Roman"/>
                <w:b/>
                <w:bCs/>
              </w:rPr>
            </w:pPr>
            <w:r>
              <w:rPr>
                <w:rFonts w:ascii="Times New Roman" w:hAnsi="Times New Roman"/>
                <w:b/>
                <w:bCs/>
              </w:rPr>
              <w:t>ГОРОДА КАНАШ</w:t>
            </w:r>
          </w:p>
          <w:p>
            <w:pPr>
              <w:spacing w:line="192" w:lineRule="auto"/>
              <w:ind w:left="668" w:firstLine="52"/>
              <w:jc w:val="center"/>
              <w:rPr>
                <w:rFonts w:ascii="Times New Roman" w:hAnsi="Times New Roman"/>
                <w:b/>
                <w:bCs/>
              </w:rPr>
            </w:pPr>
            <w:r>
              <w:rPr>
                <w:rFonts w:ascii="Times New Roman" w:hAnsi="Times New Roman"/>
                <w:b/>
                <w:bCs/>
                <w:sz w:val="22"/>
                <w:szCs w:val="22"/>
              </w:rPr>
              <w:t>Чувашской Республики</w:t>
            </w:r>
          </w:p>
          <w:p>
            <w:pPr>
              <w:tabs>
                <w:tab w:val="left" w:pos="1275"/>
              </w:tabs>
              <w:spacing w:line="192" w:lineRule="auto"/>
              <w:rPr>
                <w:rFonts w:ascii="Times New Roman" w:hAnsi="Times New Roman"/>
                <w:b/>
                <w:bCs/>
              </w:rPr>
            </w:pPr>
            <w:r>
              <w:rPr>
                <w:rFonts w:ascii="Times New Roman" w:hAnsi="Times New Roman"/>
                <w:b/>
                <w:bCs/>
              </w:rPr>
              <w:tab/>
            </w:r>
          </w:p>
          <w:p>
            <w:pPr>
              <w:spacing w:line="192" w:lineRule="auto"/>
              <w:jc w:val="center"/>
              <w:rPr>
                <w:rFonts w:ascii="Times New Roman" w:hAnsi="Times New Roman"/>
                <w:b/>
                <w:bCs/>
              </w:rPr>
            </w:pPr>
            <w:r>
              <w:rPr>
                <w:rFonts w:ascii="Times New Roman" w:hAnsi="Times New Roman"/>
                <w:b/>
                <w:bCs/>
              </w:rPr>
              <w:t>ПОСТАНОВЛЕНИЕ</w:t>
            </w:r>
          </w:p>
          <w:p>
            <w:pPr>
              <w:spacing w:line="192" w:lineRule="auto"/>
              <w:jc w:val="center"/>
              <w:rPr>
                <w:rFonts w:ascii="Times New Roman" w:hAnsi="Times New Roman"/>
                <w:b/>
                <w:bCs/>
                <w:sz w:val="26"/>
                <w:szCs w:val="26"/>
              </w:rPr>
            </w:pPr>
          </w:p>
          <w:p>
            <w:pPr>
              <w:spacing w:line="192" w:lineRule="auto"/>
              <w:jc w:val="center"/>
              <w:rPr>
                <w:rFonts w:ascii="Times New Roman" w:hAnsi="Times New Roman"/>
                <w:bCs/>
                <w:u w:val="single"/>
              </w:rPr>
            </w:pPr>
            <w:r>
              <w:rPr>
                <w:rFonts w:ascii="Times New Roman" w:hAnsi="Times New Roman"/>
                <w:bCs/>
                <w:u w:val="single"/>
              </w:rPr>
              <w:t>28.03.2023</w:t>
            </w:r>
            <w:r>
              <w:rPr>
                <w:rFonts w:ascii="Times New Roman" w:hAnsi="Times New Roman"/>
                <w:bCs/>
              </w:rPr>
              <w:t xml:space="preserve"> № __</w:t>
            </w:r>
            <w:r>
              <w:rPr>
                <w:rFonts w:ascii="Times New Roman" w:hAnsi="Times New Roman"/>
                <w:bCs/>
                <w:u w:val="single"/>
              </w:rPr>
              <w:t>274</w:t>
            </w:r>
          </w:p>
          <w:p>
            <w:pPr>
              <w:spacing w:line="192" w:lineRule="auto"/>
              <w:jc w:val="center"/>
              <w:rPr>
                <w:rFonts w:ascii="Times New Roman" w:hAnsi="Times New Roman"/>
                <w:b/>
                <w:bCs/>
              </w:rPr>
            </w:pPr>
            <w:r>
              <w:rPr>
                <w:rFonts w:ascii="Times New Roman" w:hAnsi="Times New Roman"/>
                <w:b/>
                <w:bCs/>
                <w:sz w:val="22"/>
                <w:szCs w:val="22"/>
              </w:rPr>
              <w:t xml:space="preserve">   </w:t>
            </w:r>
          </w:p>
          <w:p>
            <w:pPr>
              <w:spacing w:line="192" w:lineRule="auto"/>
              <w:jc w:val="center"/>
              <w:rPr>
                <w:rFonts w:ascii="Arial Cyr Chuv" w:hAnsi="Arial Cyr Chuv" w:cs="Arial Cyr Chuv"/>
                <w:b/>
                <w:bCs/>
              </w:rPr>
            </w:pPr>
            <w:r>
              <w:rPr>
                <w:rFonts w:ascii="Times New Roman" w:hAnsi="Times New Roman"/>
                <w:b/>
                <w:bCs/>
                <w:sz w:val="22"/>
                <w:szCs w:val="22"/>
              </w:rPr>
              <w:t xml:space="preserve"> г. Канаш</w:t>
            </w:r>
          </w:p>
        </w:tc>
      </w:tr>
    </w:tbl>
    <w:p>
      <w:pPr>
        <w:rPr>
          <w:rFonts w:cs="Arial"/>
        </w:rPr>
      </w:pPr>
    </w:p>
    <w:p>
      <w:pPr>
        <w:rPr>
          <w:rFonts w:cs="Arial"/>
        </w:rPr>
      </w:pPr>
    </w:p>
    <w:p>
      <w:pPr>
        <w:ind w:right="6472" w:firstLine="0"/>
        <w:rPr>
          <w:rFonts w:ascii="Times New Roman" w:hAnsi="Times New Roman" w:cs="Times New Roman"/>
          <w:b/>
          <w:shd w:val="clear" w:color="auto" w:fill="FFFFFF"/>
        </w:rPr>
      </w:pPr>
      <w:r>
        <w:rPr>
          <w:rFonts w:ascii="Times New Roman" w:hAnsi="Times New Roman" w:cs="Times New Roman"/>
          <w:b/>
          <w:shd w:val="clear" w:color="auto" w:fill="FFFFFF"/>
        </w:rPr>
        <w:t>Об утверждении Порядка разработки и реализации муниципальных программ города Канаш Чувашской Республики</w:t>
      </w:r>
    </w:p>
    <w:p>
      <w:pPr>
        <w:ind w:right="6472" w:firstLine="0"/>
        <w:rPr>
          <w:rFonts w:ascii="Times New Roman" w:hAnsi="Times New Roman" w:cs="Times New Roman"/>
          <w:shd w:val="clear" w:color="auto" w:fill="FFFFFF"/>
        </w:rPr>
      </w:pPr>
    </w:p>
    <w:p>
      <w:pPr>
        <w:ind w:firstLine="0"/>
        <w:rPr>
          <w:rFonts w:ascii="Times New Roman" w:hAnsi="Times New Roman" w:cs="Times New Roman"/>
          <w:b/>
        </w:rPr>
      </w:pPr>
      <w:r>
        <w:rPr>
          <w:rFonts w:ascii="Times New Roman" w:hAnsi="Times New Roman" w:cs="Times New Roman"/>
        </w:rPr>
        <w:tab/>
      </w:r>
      <w:r>
        <w:rPr>
          <w:rFonts w:ascii="Times New Roman" w:hAnsi="Times New Roman" w:cs="Times New Roman"/>
          <w:shd w:val="clear" w:color="auto" w:fill="FFFFFF"/>
        </w:rPr>
        <w:t>В соответствии с Федеральными законами </w:t>
      </w:r>
      <w:hyperlink r:id="rId9" w:anchor="/document/186367/entry/0" w:history="1">
        <w:r>
          <w:rPr>
            <w:rStyle w:val="af"/>
            <w:rFonts w:ascii="Times New Roman" w:hAnsi="Times New Roman" w:cs="Times New Roman"/>
            <w:color w:val="auto"/>
            <w:u w:val="none"/>
            <w:shd w:val="clear" w:color="auto" w:fill="FFFFFF"/>
          </w:rPr>
          <w:t>от 06.10.2003 № 131-ФЗ</w:t>
        </w:r>
      </w:hyperlink>
      <w:r>
        <w:rPr>
          <w:rFonts w:ascii="Times New Roman" w:hAnsi="Times New Roman" w:cs="Times New Roman"/>
          <w:shd w:val="clear" w:color="auto" w:fill="FFFFFF"/>
        </w:rPr>
        <w:t> «Об общих принципах организации местного самоуправления в Российской Федерации», </w:t>
      </w:r>
      <w:hyperlink r:id="rId10" w:anchor="/document/70684666/entry/0" w:history="1">
        <w:r>
          <w:rPr>
            <w:rStyle w:val="af"/>
            <w:rFonts w:ascii="Times New Roman" w:hAnsi="Times New Roman" w:cs="Times New Roman"/>
            <w:color w:val="auto"/>
            <w:u w:val="none"/>
            <w:shd w:val="clear" w:color="auto" w:fill="FFFFFF"/>
          </w:rPr>
          <w:t>от 28.06.2014 № 172-ФЗ</w:t>
        </w:r>
      </w:hyperlink>
      <w:r>
        <w:rPr>
          <w:rFonts w:ascii="Times New Roman" w:hAnsi="Times New Roman" w:cs="Times New Roman"/>
          <w:shd w:val="clear" w:color="auto" w:fill="FFFFFF"/>
        </w:rPr>
        <w:t> «О стратегическом планировании в Российской Федерации», статьей 179 Бюджетного кодекса Российской Федерации, </w:t>
      </w:r>
      <w:hyperlink r:id="rId11" w:anchor="/document/17603980/entry/0" w:history="1">
        <w:r>
          <w:rPr>
            <w:rStyle w:val="af"/>
            <w:rFonts w:ascii="Times New Roman" w:hAnsi="Times New Roman" w:cs="Times New Roman"/>
            <w:color w:val="auto"/>
            <w:u w:val="none"/>
            <w:shd w:val="clear" w:color="auto" w:fill="FFFFFF"/>
          </w:rPr>
          <w:t>Законом</w:t>
        </w:r>
      </w:hyperlink>
      <w:r>
        <w:rPr>
          <w:rFonts w:ascii="Times New Roman" w:hAnsi="Times New Roman" w:cs="Times New Roman"/>
          <w:shd w:val="clear" w:color="auto" w:fill="FFFFFF"/>
        </w:rPr>
        <w:t xml:space="preserve"> Чувашской Республики от 18.10.2004 № 19 «Об организации местного самоуправления в Чувашской Республике», Уставом города Канаш Чувашской Республики и в целях </w:t>
      </w:r>
      <w:r>
        <w:rPr>
          <w:rFonts w:ascii="Times New Roman" w:hAnsi="Times New Roman" w:cs="Times New Roman"/>
        </w:rPr>
        <w:t>совершенствования программно-целевых принципов организации бюджетной системы города Канаш Чувашской Республики</w:t>
      </w:r>
      <w:r>
        <w:rPr>
          <w:rFonts w:ascii="Times New Roman" w:hAnsi="Times New Roman" w:cs="Times New Roman"/>
          <w:shd w:val="clear" w:color="auto" w:fill="FFFFFF"/>
        </w:rPr>
        <w:t xml:space="preserve">, </w:t>
      </w:r>
      <w:r>
        <w:rPr>
          <w:rFonts w:ascii="Times New Roman" w:hAnsi="Times New Roman" w:cs="Times New Roman"/>
          <w:b/>
          <w:shd w:val="clear" w:color="auto" w:fill="FFFFFF"/>
        </w:rPr>
        <w:t>Администрация города Канаш постановляет:</w:t>
      </w:r>
    </w:p>
    <w:p>
      <w:pPr>
        <w:ind w:firstLine="708"/>
        <w:rPr>
          <w:rFonts w:ascii="Times New Roman" w:hAnsi="Times New Roman" w:cs="Times New Roman"/>
        </w:rPr>
      </w:pPr>
    </w:p>
    <w:p>
      <w:pPr>
        <w:ind w:firstLine="708"/>
        <w:rPr>
          <w:rFonts w:ascii="Times New Roman" w:hAnsi="Times New Roman" w:cs="Times New Roman"/>
        </w:rPr>
      </w:pPr>
      <w:r>
        <w:rPr>
          <w:rFonts w:ascii="Times New Roman" w:hAnsi="Times New Roman" w:cs="Times New Roman"/>
        </w:rPr>
        <w:t xml:space="preserve">1. Утвердить прилагаемый Порядок разработки и реализации муниципальных программ города Канаш Чувашской Республики. </w:t>
      </w:r>
    </w:p>
    <w:p>
      <w:pPr>
        <w:ind w:firstLine="708"/>
        <w:rPr>
          <w:rFonts w:ascii="Times New Roman" w:hAnsi="Times New Roman" w:cs="Times New Roman"/>
        </w:rPr>
      </w:pPr>
      <w:r>
        <w:rPr>
          <w:rFonts w:ascii="Times New Roman" w:hAnsi="Times New Roman" w:cs="Times New Roman"/>
        </w:rPr>
        <w:t xml:space="preserve">2. Признать утратившим силу </w:t>
      </w:r>
      <w:proofErr w:type="gramStart"/>
      <w:r>
        <w:rPr>
          <w:rFonts w:ascii="Times New Roman" w:hAnsi="Times New Roman" w:cs="Times New Roman"/>
        </w:rPr>
        <w:t>постановление  администрации</w:t>
      </w:r>
      <w:proofErr w:type="gramEnd"/>
      <w:r>
        <w:rPr>
          <w:rFonts w:ascii="Times New Roman" w:hAnsi="Times New Roman" w:cs="Times New Roman"/>
        </w:rPr>
        <w:t xml:space="preserve"> города Канаш Чувашской Республики от 21.02.2019 № 174 «Об утверждении Порядка разработки и реализации муниципальных программ города Канаш Чувашской Республики». </w:t>
      </w:r>
    </w:p>
    <w:p>
      <w:pPr>
        <w:ind w:firstLine="708"/>
        <w:rPr>
          <w:rFonts w:ascii="Times New Roman" w:hAnsi="Times New Roman" w:cs="Times New Roman"/>
        </w:rPr>
      </w:pPr>
      <w:r>
        <w:rPr>
          <w:rFonts w:ascii="Times New Roman" w:hAnsi="Times New Roman" w:cs="Times New Roman"/>
        </w:rPr>
        <w:t>3. Отделу информатизации администрации города Канаш Чувашской Республики (Н.С. Глазов) обеспечить размещение настоящего постановления на официальном сайте администрации города Канаш Чувашской Республики в информационно-телекоммуникационной сети Интернет.</w:t>
      </w:r>
    </w:p>
    <w:p>
      <w:pPr>
        <w:rPr>
          <w:rFonts w:ascii="Times New Roman" w:hAnsi="Times New Roman" w:cs="Times New Roman"/>
        </w:rPr>
      </w:pPr>
      <w:bookmarkStart w:id="2" w:name="sub_5"/>
      <w:r>
        <w:rPr>
          <w:rFonts w:ascii="Times New Roman" w:hAnsi="Times New Roman" w:cs="Times New Roman"/>
        </w:rPr>
        <w:t xml:space="preserve">4. Контроль за выполнением настоящего постановления возложить на заместителя главы – начальника отдела экономики и имущественных отношений администрации города Канаш Чувашской </w:t>
      </w:r>
      <w:proofErr w:type="gramStart"/>
      <w:r>
        <w:rPr>
          <w:rFonts w:ascii="Times New Roman" w:hAnsi="Times New Roman" w:cs="Times New Roman"/>
        </w:rPr>
        <w:t>Республики  Н.И.</w:t>
      </w:r>
      <w:proofErr w:type="gramEnd"/>
      <w:r>
        <w:rPr>
          <w:rFonts w:ascii="Times New Roman" w:hAnsi="Times New Roman" w:cs="Times New Roman"/>
        </w:rPr>
        <w:t xml:space="preserve"> Белова.</w:t>
      </w:r>
    </w:p>
    <w:p>
      <w:pPr>
        <w:rPr>
          <w:rFonts w:ascii="Times New Roman" w:hAnsi="Times New Roman" w:cs="Times New Roman"/>
        </w:rPr>
      </w:pPr>
      <w:bookmarkStart w:id="3" w:name="sub_4"/>
      <w:bookmarkEnd w:id="2"/>
      <w:r>
        <w:rPr>
          <w:rFonts w:ascii="Times New Roman" w:hAnsi="Times New Roman" w:cs="Times New Roman"/>
        </w:rPr>
        <w:t>5.  Настоящее постановление вступает в силу после его официального опубликования.</w:t>
      </w:r>
    </w:p>
    <w:bookmarkEnd w:id="3"/>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tbl>
      <w:tblPr>
        <w:tblW w:w="9993" w:type="dxa"/>
        <w:tblInd w:w="-142" w:type="dxa"/>
        <w:tblLook w:val="0000" w:firstRow="0" w:lastRow="0" w:firstColumn="0" w:lastColumn="0" w:noHBand="0" w:noVBand="0"/>
      </w:tblPr>
      <w:tblGrid>
        <w:gridCol w:w="6625"/>
        <w:gridCol w:w="3368"/>
      </w:tblGrid>
      <w:tr>
        <w:trPr>
          <w:trHeight w:val="754"/>
        </w:trPr>
        <w:tc>
          <w:tcPr>
            <w:tcW w:w="6625" w:type="dxa"/>
            <w:tcBorders>
              <w:top w:val="nil"/>
              <w:left w:val="nil"/>
              <w:bottom w:val="nil"/>
              <w:right w:val="nil"/>
            </w:tcBorders>
          </w:tcPr>
          <w:p>
            <w:pPr>
              <w:pStyle w:val="a9"/>
              <w:ind w:hanging="108"/>
              <w:rPr>
                <w:rFonts w:ascii="Times New Roman" w:hAnsi="Times New Roman" w:cs="Times New Roman"/>
              </w:rPr>
            </w:pPr>
          </w:p>
          <w:p>
            <w:pPr>
              <w:pStyle w:val="a9"/>
              <w:tabs>
                <w:tab w:val="left" w:pos="142"/>
              </w:tabs>
              <w:ind w:hanging="108"/>
              <w:rPr>
                <w:rFonts w:ascii="Times New Roman" w:hAnsi="Times New Roman" w:cs="Times New Roman"/>
              </w:rPr>
            </w:pPr>
            <w:r>
              <w:rPr>
                <w:rFonts w:ascii="Times New Roman" w:hAnsi="Times New Roman" w:cs="Times New Roman"/>
              </w:rPr>
              <w:t xml:space="preserve">    Глава администрации города                                                   </w:t>
            </w:r>
          </w:p>
        </w:tc>
        <w:tc>
          <w:tcPr>
            <w:tcW w:w="3368" w:type="dxa"/>
            <w:tcBorders>
              <w:top w:val="nil"/>
              <w:left w:val="nil"/>
              <w:bottom w:val="nil"/>
              <w:right w:val="nil"/>
            </w:tcBorders>
          </w:tcPr>
          <w:p>
            <w:pPr>
              <w:pStyle w:val="a7"/>
              <w:jc w:val="right"/>
              <w:rPr>
                <w:rFonts w:ascii="Times New Roman" w:hAnsi="Times New Roman" w:cs="Times New Roman"/>
              </w:rPr>
            </w:pPr>
          </w:p>
          <w:p>
            <w:pPr>
              <w:pStyle w:val="a7"/>
              <w:jc w:val="right"/>
              <w:rPr>
                <w:rFonts w:ascii="Times New Roman" w:hAnsi="Times New Roman" w:cs="Times New Roman"/>
              </w:rPr>
            </w:pPr>
            <w:r>
              <w:rPr>
                <w:rFonts w:ascii="Times New Roman" w:hAnsi="Times New Roman" w:cs="Times New Roman"/>
              </w:rPr>
              <w:t xml:space="preserve">                         В.Н. Михайлов</w:t>
            </w:r>
          </w:p>
        </w:tc>
      </w:tr>
      <w:tr>
        <w:trPr>
          <w:trHeight w:val="754"/>
        </w:trPr>
        <w:tc>
          <w:tcPr>
            <w:tcW w:w="6625" w:type="dxa"/>
            <w:tcBorders>
              <w:top w:val="nil"/>
              <w:left w:val="nil"/>
              <w:bottom w:val="nil"/>
              <w:right w:val="nil"/>
            </w:tcBorders>
          </w:tcPr>
          <w:p>
            <w:pPr>
              <w:pStyle w:val="a9"/>
              <w:ind w:hanging="108"/>
              <w:rPr>
                <w:rFonts w:ascii="Times New Roman" w:hAnsi="Times New Roman" w:cs="Times New Roman"/>
              </w:rPr>
            </w:pPr>
          </w:p>
        </w:tc>
        <w:tc>
          <w:tcPr>
            <w:tcW w:w="3368" w:type="dxa"/>
            <w:tcBorders>
              <w:top w:val="nil"/>
              <w:left w:val="nil"/>
              <w:bottom w:val="nil"/>
              <w:right w:val="nil"/>
            </w:tcBorders>
          </w:tcPr>
          <w:p>
            <w:pPr>
              <w:pStyle w:val="a7"/>
              <w:jc w:val="right"/>
              <w:rPr>
                <w:rFonts w:ascii="Times New Roman" w:hAnsi="Times New Roman" w:cs="Times New Roman"/>
              </w:rPr>
            </w:pPr>
          </w:p>
        </w:tc>
      </w:tr>
      <w:bookmarkEnd w:id="0"/>
    </w:tbl>
    <w:p>
      <w:pPr>
        <w:widowControl/>
        <w:autoSpaceDE/>
        <w:autoSpaceDN/>
        <w:adjustRightInd/>
        <w:spacing w:after="160" w:line="259" w:lineRule="auto"/>
        <w:ind w:firstLine="0"/>
        <w:jc w:val="left"/>
        <w:rPr>
          <w:rFonts w:ascii="Times New Roman" w:hAnsi="Times New Roman" w:cs="Times New Roman"/>
          <w:b/>
          <w:bCs/>
        </w:rPr>
      </w:pPr>
      <w:r>
        <w:rPr>
          <w:rFonts w:ascii="Times New Roman" w:hAnsi="Times New Roman" w:cs="Times New Roman"/>
        </w:rPr>
        <w:br w:type="page"/>
      </w:r>
    </w:p>
    <w:p>
      <w:pPr>
        <w:ind w:left="6379"/>
        <w:jc w:val="right"/>
        <w:rPr>
          <w:rFonts w:ascii="Times New Roman" w:hAnsi="Times New Roman" w:cs="Times New Roman"/>
          <w:color w:val="000000" w:themeColor="text1"/>
        </w:rPr>
      </w:pPr>
      <w:r>
        <w:rPr>
          <w:rStyle w:val="a3"/>
          <w:rFonts w:ascii="Times New Roman" w:hAnsi="Times New Roman" w:cs="Times New Roman"/>
          <w:b w:val="0"/>
          <w:bCs/>
          <w:color w:val="000000" w:themeColor="text1"/>
        </w:rPr>
        <w:lastRenderedPageBreak/>
        <w:t xml:space="preserve">    </w:t>
      </w:r>
      <w:r>
        <w:rPr>
          <w:rStyle w:val="a3"/>
          <w:rFonts w:ascii="Times New Roman" w:hAnsi="Times New Roman" w:cs="Times New Roman"/>
          <w:bCs/>
          <w:color w:val="000000" w:themeColor="text1"/>
        </w:rPr>
        <w:t xml:space="preserve">Утвержден </w:t>
      </w:r>
      <w:hyperlink r:id="rId12" w:anchor="sub_0" w:history="1">
        <w:r>
          <w:rPr>
            <w:rStyle w:val="a4"/>
            <w:rFonts w:ascii="Times New Roman" w:hAnsi="Times New Roman"/>
            <w:b/>
            <w:color w:val="000000" w:themeColor="text1"/>
          </w:rPr>
          <w:t>постановлением</w:t>
        </w:r>
      </w:hyperlink>
      <w:r>
        <w:rPr>
          <w:rStyle w:val="a4"/>
          <w:rFonts w:ascii="Times New Roman" w:hAnsi="Times New Roman"/>
          <w:b/>
          <w:color w:val="000000" w:themeColor="text1"/>
        </w:rPr>
        <w:t xml:space="preserve"> </w:t>
      </w:r>
      <w:r>
        <w:rPr>
          <w:rStyle w:val="a3"/>
          <w:rFonts w:ascii="Times New Roman" w:hAnsi="Times New Roman" w:cs="Times New Roman"/>
          <w:bCs/>
          <w:color w:val="000000" w:themeColor="text1"/>
        </w:rPr>
        <w:t>города Канаш Республики от 28.03.2023 г. № 274</w:t>
      </w:r>
    </w:p>
    <w:p>
      <w:pPr>
        <w:rPr>
          <w:rFonts w:ascii="Times New Roman" w:hAnsi="Times New Roman" w:cs="Times New Roman"/>
          <w:color w:val="000000" w:themeColor="text1"/>
        </w:rPr>
      </w:pPr>
    </w:p>
    <w:p>
      <w:pPr>
        <w:pStyle w:val="1"/>
        <w:rPr>
          <w:rFonts w:ascii="Times New Roman" w:hAnsi="Times New Roman" w:cs="Times New Roman"/>
          <w:color w:val="000000" w:themeColor="text1"/>
        </w:rPr>
      </w:pPr>
      <w:r>
        <w:rPr>
          <w:rFonts w:ascii="Times New Roman" w:hAnsi="Times New Roman" w:cs="Times New Roman"/>
          <w:color w:val="000000" w:themeColor="text1"/>
        </w:rPr>
        <w:t xml:space="preserve">Порядок </w:t>
      </w:r>
      <w:r>
        <w:rPr>
          <w:rFonts w:ascii="Times New Roman" w:hAnsi="Times New Roman" w:cs="Times New Roman"/>
          <w:color w:val="000000" w:themeColor="text1"/>
        </w:rPr>
        <w:br/>
        <w:t>разработки и реализации муниципальных программ города Канаш</w:t>
      </w:r>
    </w:p>
    <w:p>
      <w:pPr>
        <w:pStyle w:val="1"/>
        <w:rPr>
          <w:rFonts w:ascii="Times New Roman" w:hAnsi="Times New Roman" w:cs="Times New Roman"/>
          <w:color w:val="000000" w:themeColor="text1"/>
        </w:rPr>
      </w:pPr>
      <w:bookmarkStart w:id="4" w:name="sub_1001"/>
    </w:p>
    <w:p>
      <w:pPr>
        <w:pStyle w:val="1"/>
        <w:rPr>
          <w:rFonts w:ascii="Times New Roman" w:hAnsi="Times New Roman" w:cs="Times New Roman"/>
          <w:color w:val="000000" w:themeColor="text1"/>
        </w:rPr>
      </w:pPr>
      <w:r>
        <w:rPr>
          <w:rFonts w:ascii="Times New Roman" w:hAnsi="Times New Roman" w:cs="Times New Roman"/>
          <w:color w:val="000000" w:themeColor="text1"/>
        </w:rPr>
        <w:t>1. Общие положения</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1.1. Настоящий Порядок разработки и реализации муниципальных программ города Канаш (далее - Порядок) определяет правила разработки и реализации муниципальных программ города Канаш (далее - муниципальная программа, Программа), а также контроля за ходом их реализации. </w:t>
      </w:r>
      <w:bookmarkStart w:id="5" w:name="sub_12"/>
      <w:r>
        <w:rPr>
          <w:rFonts w:ascii="Times New Roman" w:hAnsi="Times New Roman" w:cs="Times New Roman"/>
          <w:color w:val="000000" w:themeColor="text1"/>
        </w:rPr>
        <w:tab/>
        <w:t xml:space="preserve">1.2. Муниципальной программой является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в сфере социально-экономического развития города Канаш Чувашской Республики (далее – города Канаш).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При разработке муниципальных программ учитываются официальные требования (методические рекомендации) Правительства Российской Федерации, федеральных органов исполнительной власти, государственных корпораций по разработке государственных программ субъектов Российской Федерации (региональных программ), подпрограмм государственных программ субъектов Российской Федерации. </w:t>
      </w:r>
      <w:bookmarkStart w:id="6" w:name="sub_13"/>
      <w:bookmarkEnd w:id="5"/>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1.3. Муниципальная программа включает в себя подпрограммы муниципальной программы (далее также - подпрограмма) и основные мероприятия. </w:t>
      </w:r>
      <w:bookmarkEnd w:id="6"/>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Кроме подпрограмм, в состав муниципальной программы могут включаться программы, разработанные в соответствии с официальными требованиями (методическими рекомендациями) Правительства Российской Федерации и федеральных органов исполнительной власти. </w:t>
      </w:r>
      <w:bookmarkStart w:id="7" w:name="sub_14"/>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1.4. Подпрограммы направлены на решение конкретных задач в рамках муниципальной программы.</w:t>
      </w:r>
      <w:r>
        <w:rPr>
          <w:rFonts w:ascii="Times New Roman" w:hAnsi="Times New Roman" w:cs="Times New Roman"/>
          <w:color w:val="000000" w:themeColor="text1"/>
        </w:rPr>
        <w:tab/>
      </w:r>
      <w:bookmarkEnd w:id="7"/>
      <w:r>
        <w:rPr>
          <w:rFonts w:ascii="Times New Roman" w:hAnsi="Times New Roman" w:cs="Times New Roman"/>
          <w:color w:val="000000" w:themeColor="text1"/>
        </w:rPr>
        <w:t>Деление муниципальной программы на подпрограммы осуществляется исходя из масштабности и сложности решаемых в рамках муниципальной программы задач. Каждая подпрограмма должна быть направлена на решение не менее одной задачи муниципальной программы.</w:t>
      </w:r>
    </w:p>
    <w:p>
      <w:pPr>
        <w:ind w:firstLine="708"/>
        <w:rPr>
          <w:rFonts w:ascii="Times New Roman" w:hAnsi="Times New Roman" w:cs="Times New Roman"/>
          <w:color w:val="000000" w:themeColor="text1"/>
        </w:rPr>
      </w:pPr>
      <w:bookmarkStart w:id="8" w:name="sub_15"/>
      <w:r>
        <w:rPr>
          <w:rFonts w:ascii="Times New Roman" w:hAnsi="Times New Roman" w:cs="Times New Roman"/>
          <w:color w:val="000000" w:themeColor="text1"/>
        </w:rPr>
        <w:t xml:space="preserve">1.5. Разработка и реализация муниципальной программы осуществляются структурным подразделением администрации города Канаш либо иным главным распорядителем бюджетных средств города Канаш, определенным администрацией города Канаш в качестве ответственного исполнителя муниципальной программы (далее - ответственный исполнитель), совместно со структурными подразделениями администрации города Канаш, иными главными распорядителями бюджетных средств города Канаш - соисполнителями муниципальной программы (далее - соисполнители) и (или) участниками муниципальной программы. </w:t>
      </w:r>
      <w:bookmarkEnd w:id="8"/>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Соисполнителями являются структурные подразделения администрации города Канаш  и (или) иные главные распорядители (распорядители) средств бюджета города Канаш, являющиеся ответственными за разработку и (или) реализацию подпрограммы (подпрограмм), входящей (входящих) в состав муниципальной программы, реализующие одно или несколько основных мероприятий подпрограммы (подпрограмм), муниципальные учреждения города Канаш, имеющие право на принятие и (или) исполнение бюджетных обязательств за счет средств бюджета города Канаш.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Участниками муниципальной программы являются территориальные органы федеральных органов исполнительной власти, органы исполнительной власти Чувашской Республики, органы местного самоуправления города Канаш, муниципальные унитарные предприятия и иные организации, участвующие в реализации одного или нескольких основных мероприятий </w:t>
      </w:r>
      <w:r>
        <w:rPr>
          <w:rFonts w:ascii="Times New Roman" w:hAnsi="Times New Roman" w:cs="Times New Roman"/>
          <w:color w:val="000000" w:themeColor="text1"/>
        </w:rPr>
        <w:lastRenderedPageBreak/>
        <w:t xml:space="preserve">подпрограммы (подпрограмм) муниципальной программы. </w:t>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1.6. Муниципальная программа утверждается постановлением администрации города Канаш. Внесение изменений в муниципальную программу осуществляется в порядке, установленном для разработки и реализации муниципальных программ.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Внесение изменений в подпрограмму осуществляется путем внесения изменений в муниципальную программу. </w:t>
      </w:r>
      <w:bookmarkStart w:id="9" w:name="sub_17"/>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1.7. Методическое руководство и координацию работ по разработке и реализации муниципальных программ осуществляет отдел экономики и имущественных отношений администрации города Канаш (далее – отдел экономики и имущественных отношений).</w:t>
      </w:r>
    </w:p>
    <w:p>
      <w:pPr>
        <w:pStyle w:val="1"/>
        <w:rPr>
          <w:rFonts w:ascii="Times New Roman" w:hAnsi="Times New Roman" w:cs="Times New Roman"/>
          <w:color w:val="000000" w:themeColor="text1"/>
        </w:rPr>
      </w:pPr>
      <w:bookmarkStart w:id="10" w:name="sub_1002"/>
      <w:bookmarkEnd w:id="4"/>
      <w:bookmarkEnd w:id="9"/>
      <w:r>
        <w:rPr>
          <w:rFonts w:ascii="Times New Roman" w:hAnsi="Times New Roman" w:cs="Times New Roman"/>
          <w:color w:val="000000" w:themeColor="text1"/>
        </w:rPr>
        <w:t>II. Требования к содержанию муниципальной программы</w:t>
      </w:r>
    </w:p>
    <w:p>
      <w:pPr>
        <w:ind w:firstLine="708"/>
        <w:rPr>
          <w:rFonts w:ascii="Times New Roman" w:hAnsi="Times New Roman" w:cs="Times New Roman"/>
          <w:color w:val="000000" w:themeColor="text1"/>
        </w:rPr>
      </w:pPr>
      <w:bookmarkStart w:id="11" w:name="sub_21"/>
      <w:bookmarkEnd w:id="10"/>
      <w:r>
        <w:rPr>
          <w:rFonts w:ascii="Times New Roman" w:hAnsi="Times New Roman" w:cs="Times New Roman"/>
          <w:color w:val="000000" w:themeColor="text1"/>
        </w:rPr>
        <w:t xml:space="preserve">2.1. Муниципальная программа содержит: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титульный лист к муниципальной программе;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паспорт муниципальной программы по форме согласно </w:t>
      </w:r>
      <w:hyperlink w:anchor="sub_10000" w:history="1">
        <w:r>
          <w:rPr>
            <w:rStyle w:val="a4"/>
            <w:rFonts w:ascii="Times New Roman" w:hAnsi="Times New Roman"/>
            <w:b/>
            <w:color w:val="000000" w:themeColor="text1"/>
          </w:rPr>
          <w:t>приложению № 1</w:t>
        </w:r>
      </w:hyperlink>
      <w:r>
        <w:rPr>
          <w:rFonts w:ascii="Times New Roman" w:hAnsi="Times New Roman" w:cs="Times New Roman"/>
          <w:b/>
          <w:color w:val="000000" w:themeColor="text1"/>
        </w:rPr>
        <w:t xml:space="preserve"> </w:t>
      </w:r>
      <w:r>
        <w:rPr>
          <w:rFonts w:ascii="Times New Roman" w:hAnsi="Times New Roman" w:cs="Times New Roman"/>
          <w:color w:val="000000" w:themeColor="text1"/>
        </w:rPr>
        <w:t xml:space="preserve">к настоящему Порядку; </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текстовую часть муниципальной программы, включающую следующие разделы: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сроков и этапов реализации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обобщенная характеристика основных мероприятий  подпрограмм муниципальной программы;</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обоснование объема 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приложения к муниципальной программе по формам согласно </w:t>
      </w:r>
      <w:hyperlink w:anchor="sub_2000" w:history="1">
        <w:r>
          <w:rPr>
            <w:rStyle w:val="a4"/>
            <w:rFonts w:ascii="Times New Roman" w:hAnsi="Times New Roman"/>
            <w:b/>
            <w:color w:val="000000" w:themeColor="text1"/>
          </w:rPr>
          <w:t>приложениям № 2</w:t>
        </w:r>
      </w:hyperlink>
      <w:r>
        <w:rPr>
          <w:rFonts w:ascii="Times New Roman" w:hAnsi="Times New Roman" w:cs="Times New Roman"/>
          <w:b/>
          <w:color w:val="000000" w:themeColor="text1"/>
        </w:rPr>
        <w:t>, 3</w:t>
      </w:r>
      <w:r>
        <w:rPr>
          <w:rFonts w:ascii="Times New Roman" w:hAnsi="Times New Roman" w:cs="Times New Roman"/>
          <w:color w:val="000000" w:themeColor="text1"/>
        </w:rPr>
        <w:t xml:space="preserve"> к настоящему Порядку;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подпрограммы муниципальной программы в качестве приложений к муниципальной программе;</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Pr>
          <w:rFonts w:ascii="Times New Roman" w:hAnsi="Times New Roman" w:cs="Times New Roman"/>
          <w:color w:val="000000" w:themeColor="text1"/>
        </w:rPr>
        <w:tab/>
      </w:r>
      <w:r>
        <w:rPr>
          <w:rFonts w:ascii="Times New Roman" w:hAnsi="Times New Roman" w:cs="Times New Roman"/>
          <w:color w:val="000000" w:themeColor="text1"/>
        </w:rPr>
        <w:tab/>
        <w:t>- сведения, составляющие государственную тайну, и сведения конфиденциального характера, которые приводятся в отдельных приложениях к муниципальной программе.</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2.2. Титульный лист к муниципальной программе должен содержать следующую информацию:</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наименование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наименование ответственного исполнителя;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дата составления проекта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должность, фамилия, имя, отчество (последнее - при наличии), номер телефона и электронный адрес непосредственного исполнителя.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Титульный лист подписывается руководителем структурного подразделения администрации города Канаш - ответственного исполнителя </w:t>
      </w:r>
      <w:proofErr w:type="gramStart"/>
      <w:r>
        <w:rPr>
          <w:rFonts w:ascii="Times New Roman" w:hAnsi="Times New Roman" w:cs="Times New Roman"/>
          <w:color w:val="000000" w:themeColor="text1"/>
        </w:rPr>
        <w:t>муниципальной  программы</w:t>
      </w:r>
      <w:proofErr w:type="gramEnd"/>
      <w:r>
        <w:rPr>
          <w:rFonts w:ascii="Times New Roman" w:hAnsi="Times New Roman" w:cs="Times New Roman"/>
          <w:color w:val="000000" w:themeColor="text1"/>
        </w:rPr>
        <w:t xml:space="preserve"> или его заместителем. </w:t>
      </w:r>
      <w:bookmarkEnd w:id="11"/>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2.3. Приоритеты муниципальной политики города Канаш определяются указами Президента Российской Федерации, постановлениями и распоряжениями Правительства Российской Федерации, отраслевыми документами стратегического планирования Российской Федерации, стратегией социально-экономического развития Чувашской Республики, ежегодными посланиями Главы Чувашской Республики Государственному Совету Чувашской Республики, иными документами стратегического планирования и муниципальными правовыми актами, определяющими решения вопросов местного значения. </w:t>
      </w:r>
      <w:bookmarkStart w:id="12" w:name="sub_212"/>
    </w:p>
    <w:p>
      <w:pPr>
        <w:ind w:firstLine="708"/>
        <w:rPr>
          <w:rFonts w:ascii="Times New Roman" w:hAnsi="Times New Roman" w:cs="Times New Roman"/>
          <w:color w:val="000000" w:themeColor="text1"/>
        </w:rPr>
      </w:pPr>
      <w:r>
        <w:rPr>
          <w:rFonts w:ascii="Times New Roman" w:hAnsi="Times New Roman" w:cs="Times New Roman"/>
          <w:color w:val="000000" w:themeColor="text1"/>
        </w:rPr>
        <w:t>2.4. Цели муниципальной программы должны соответствовать приоритетам муниципальной политики города Канаш в соответствующей сфере социально-экономического развития города Канаш.</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Цели муниципальной программы должны отражать конечные результаты реализации муниципальной программы в соответствующей сфере социально-экономического развития города </w:t>
      </w:r>
      <w:r>
        <w:rPr>
          <w:rFonts w:ascii="Times New Roman" w:hAnsi="Times New Roman" w:cs="Times New Roman"/>
          <w:color w:val="000000" w:themeColor="text1"/>
        </w:rPr>
        <w:lastRenderedPageBreak/>
        <w:t xml:space="preserve">Канаш. Формулировка цели должна быть краткой и ясной и не должна содержать специальных терминов.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Цель должна обладать следующими свойствами: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специфичность (цель должна соответствовать сфере социально-экономического развития города Канаш;</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конкретность (не допускаются размытые (нечеткие) формулировки, имеющие произвольное или неоднозначное толкование);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измеримость (достижение цели можно проверить);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достижимость (цель должна быть достижима за период реализации муниципальной программы в соответствующей сфере социально-экономического развития города Канаш); </w:t>
      </w:r>
      <w:r>
        <w:rPr>
          <w:rFonts w:ascii="Times New Roman" w:hAnsi="Times New Roman" w:cs="Times New Roman"/>
          <w:color w:val="000000" w:themeColor="text1"/>
        </w:rPr>
        <w:tab/>
      </w:r>
      <w:r>
        <w:rPr>
          <w:rFonts w:ascii="Times New Roman" w:hAnsi="Times New Roman" w:cs="Times New Roman"/>
          <w:color w:val="000000" w:themeColor="text1"/>
        </w:rPr>
        <w:tab/>
        <w:t>- релевантность (соответствие формулировки цели ожидаемым конечным результатам реализации муниципальной программы</w:t>
      </w:r>
      <w:r>
        <w:rPr>
          <w:rFonts w:ascii="Times New Roman" w:hAnsi="Times New Roman" w:cs="Times New Roman"/>
        </w:rPr>
        <w:t xml:space="preserve"> в соответствующей сфере социально-экономического развития города Канаш</w:t>
      </w:r>
      <w:r>
        <w:rPr>
          <w:rFonts w:ascii="Times New Roman" w:hAnsi="Times New Roman" w:cs="Times New Roman"/>
          <w:color w:val="000000" w:themeColor="text1"/>
        </w:rPr>
        <w:t>).</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2.5. Задача муниципальной программы определяет конечный результат реализации совокупности взаимосвязанных мероприятий или осуществления муниципальных функций и государственных функций (в рамках переданных полномочий), в рамках достижения цели (целей) реализации муниципальной программы. </w:t>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Задача муниципальной программы может отражать цель (цели) подпрограммы муниципальной программы. </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2.6. Целевые показатели (индикаторы) муниципальной программы должны количественно характеризовать ход ее реализации, решение основных задач и достижение целей муниципальной программы, а также соответствовать следующим требованиям: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адекватность (показатель должен характеризовать прогресс в достижении цели или решении задач и охватывать все результаты достижения цели или решения задач муниципальной программы); </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 точность (погрешности измерения показателей не должны приводить к искаженному представлению о результатах реализации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исполнителей программы, соисполнителей программы к искажению результатов реализации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достоверность (способ сбора и обработки исходной информации должен допускать возможность проверки точности данных, полученных в процессе независимого мониторинга и оценки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Значения целевых показателей (индикаторов) муниципальной программы должны формироваться с учетом параметров прогноза социально-экономического развития города Канаш на долгосрочный период.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При формировании целей, задач и основных мероприятий, а также характеризующих их целевых показателей (индикаторов) муниципальной программы учитываются объемы соответствующих источников финансирования,  включая бюджет Российской Федерации, республиканский бюджет Чувашской Республики, бюджет города Канаш, внебюджетные источники, а также иные инструменты государственной политики Чувашской Республики и  муниципальной политики города Канаш, влияющие на достижение результатов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Целевые показатели (индикаторы) муниципальной программы должны быть установлены для каждой цели (задачи) муниципальной программы и увязаны с каждым основным мероприятием подпрограмм муниципальной программы. В перечень обязательных целевых показателей (индикаторов) муниципальной программы входят целевые показатели (индикаторы), установленные указами Президента Российской Федерации, постановлениями и распоряжениями Правительства Российской Федерации, государственными программами Чувашской Республики указами и распоряжениями Главы Чувашской Республики.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В </w:t>
      </w:r>
      <w:r>
        <w:rPr>
          <w:rFonts w:ascii="Times New Roman" w:hAnsi="Times New Roman" w:cs="Times New Roman"/>
          <w:color w:val="000000" w:themeColor="text1"/>
        </w:rPr>
        <w:lastRenderedPageBreak/>
        <w:t xml:space="preserve">перечень целевых показателей (индикаторов) муниципальной программы подлежат включению показатели, значения которых удовлетворяют одному из следующих условий: </w:t>
      </w:r>
      <w:r>
        <w:rPr>
          <w:rFonts w:ascii="Times New Roman" w:hAnsi="Times New Roman" w:cs="Times New Roman"/>
          <w:color w:val="000000" w:themeColor="text1"/>
        </w:rPr>
        <w:tab/>
        <w:t xml:space="preserve">а) рассчитываются по методикам, принятым международными организациями; </w:t>
      </w:r>
      <w:r>
        <w:rPr>
          <w:rFonts w:ascii="Times New Roman" w:hAnsi="Times New Roman" w:cs="Times New Roman"/>
          <w:color w:val="000000" w:themeColor="text1"/>
        </w:rPr>
        <w:tab/>
      </w:r>
      <w:r>
        <w:rPr>
          <w:rFonts w:ascii="Times New Roman" w:hAnsi="Times New Roman" w:cs="Times New Roman"/>
          <w:color w:val="000000" w:themeColor="text1"/>
        </w:rPr>
        <w:tab/>
        <w:t xml:space="preserve">б) определяются на основе данных государственного (федерального) статистического наблюдения, в том числе в разрезе муниципальных образований Чувашской Республики; </w:t>
      </w:r>
      <w:r>
        <w:rPr>
          <w:rFonts w:ascii="Times New Roman" w:hAnsi="Times New Roman" w:cs="Times New Roman"/>
          <w:color w:val="000000" w:themeColor="text1"/>
        </w:rPr>
        <w:tab/>
      </w:r>
      <w:r>
        <w:rPr>
          <w:rFonts w:ascii="Times New Roman" w:hAnsi="Times New Roman" w:cs="Times New Roman"/>
          <w:color w:val="000000" w:themeColor="text1"/>
        </w:rPr>
        <w:tab/>
        <w:t>в) рассчитываются по методикам, включенным в состав муниципальной программы.</w:t>
      </w:r>
      <w:r>
        <w:rPr>
          <w:rFonts w:ascii="Times New Roman" w:hAnsi="Times New Roman" w:cs="Times New Roman"/>
          <w:color w:val="000000" w:themeColor="text1"/>
        </w:rPr>
        <w:tab/>
      </w:r>
      <w:r>
        <w:rPr>
          <w:rFonts w:ascii="Times New Roman" w:hAnsi="Times New Roman" w:cs="Times New Roman"/>
          <w:color w:val="000000" w:themeColor="text1"/>
        </w:rPr>
        <w:tab/>
        <w:t xml:space="preserve">Целевые показатели (индикаторы) муниципальной программы должны обеспечивать сопоставимость, отражать аналогичные наблюдаемые явления, объекты, процессы или их свойства и позволять рассчитывать на основе этих целевых показателей (индикаторов) целевые показатели (индикаторы), установленные в документах стратегического планирования.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Целевые показатели (индикаторы) муниципальной программы должны иметь запланированные по годам количественные значения.  </w:t>
      </w: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Сведения о целевых показателях (индикаторах) муниципальной программы города Канаш, подпрограмм муниципальной программы города Канаш и их значениях приводятся по форме согласно </w:t>
      </w:r>
      <w:r>
        <w:rPr>
          <w:rFonts w:ascii="Times New Roman" w:hAnsi="Times New Roman" w:cs="Times New Roman"/>
          <w:b/>
          <w:color w:val="000000" w:themeColor="text1"/>
        </w:rPr>
        <w:t>приложению № 2</w:t>
      </w:r>
      <w:r>
        <w:rPr>
          <w:rFonts w:ascii="Times New Roman" w:hAnsi="Times New Roman" w:cs="Times New Roman"/>
          <w:color w:val="000000" w:themeColor="text1"/>
        </w:rPr>
        <w:t xml:space="preserve"> к настоящему Порядку.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Целевые показатели (индикаторы) подпрограмм должны быть увязаны с показателями, характеризующими достижение целей и решение задач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t xml:space="preserve">При расчете целевых показателей (индикаторов) и ожидаемых результатов реализации муниципальной программы базовым годом является отчетный год, предшествующий году разработки муниципальной программы. При возникновении в отчетном году чрезвычайных ситуаций, повлекших значительное снижение объемов производства, за базовый год принимается год, предшествующий отчетному году.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2.7. Характеристика основных мероприятий, в том числе реализуемых участниками </w:t>
      </w:r>
      <w:proofErr w:type="gramStart"/>
      <w:r>
        <w:rPr>
          <w:rFonts w:ascii="Times New Roman" w:hAnsi="Times New Roman" w:cs="Times New Roman"/>
          <w:color w:val="000000" w:themeColor="text1"/>
        </w:rPr>
        <w:t>муниципальной  программы</w:t>
      </w:r>
      <w:proofErr w:type="gramEnd"/>
      <w:r>
        <w:rPr>
          <w:rFonts w:ascii="Times New Roman" w:hAnsi="Times New Roman" w:cs="Times New Roman"/>
          <w:color w:val="000000" w:themeColor="text1"/>
        </w:rPr>
        <w:t>, приводится на основе обобщения соответствующих сведений по подпрограммам муниципальной программы.</w:t>
      </w:r>
      <w:bookmarkStart w:id="13" w:name="sub_29"/>
      <w:bookmarkEnd w:id="12"/>
      <w:r>
        <w:rPr>
          <w:rFonts w:ascii="Times New Roman" w:hAnsi="Times New Roman" w:cs="Times New Roman"/>
          <w:color w:val="000000" w:themeColor="text1"/>
        </w:rPr>
        <w:t xml:space="preserve">  Региональный проект, соответствующий сфере реализации муниципальной программы, отражается в составе данной муниципальной программы в форме подпрограммы и (или) основного мероприятия подпрограммы.</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2.8.  Для включенных в муниципальную программу подпрограмм приводятся их паспорта, текстовые части и приложения к подпрограммам. Подпрограммы приводятся в приложениях к муниципальной программе. </w:t>
      </w:r>
      <w:bookmarkEnd w:id="13"/>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 </w:t>
      </w:r>
    </w:p>
    <w:p>
      <w:pPr>
        <w:pStyle w:val="1"/>
        <w:rPr>
          <w:rFonts w:ascii="Times New Roman" w:hAnsi="Times New Roman" w:cs="Times New Roman"/>
          <w:color w:val="000000" w:themeColor="text1"/>
        </w:rPr>
      </w:pPr>
      <w:bookmarkStart w:id="14" w:name="sub_1003"/>
      <w:r>
        <w:rPr>
          <w:rFonts w:ascii="Times New Roman" w:hAnsi="Times New Roman" w:cs="Times New Roman"/>
          <w:color w:val="000000" w:themeColor="text1"/>
        </w:rPr>
        <w:t>III. Основание и этапы разработки муниципальной программы</w:t>
      </w:r>
    </w:p>
    <w:p>
      <w:pPr>
        <w:ind w:firstLine="708"/>
        <w:rPr>
          <w:rFonts w:ascii="Times New Roman" w:hAnsi="Times New Roman" w:cs="Times New Roman"/>
          <w:color w:val="000000" w:themeColor="text1"/>
        </w:rPr>
      </w:pPr>
      <w:bookmarkStart w:id="15" w:name="sub_31"/>
      <w:bookmarkEnd w:id="14"/>
      <w:r>
        <w:rPr>
          <w:rFonts w:ascii="Times New Roman" w:hAnsi="Times New Roman" w:cs="Times New Roman"/>
          <w:color w:val="000000" w:themeColor="text1"/>
        </w:rPr>
        <w:t xml:space="preserve">3.1. Разработка муниципальных программ осуществляется на основании перечня муниципальных программ, утверждаемого постановлением администрации города Канаш. </w:t>
      </w:r>
      <w:bookmarkEnd w:id="15"/>
      <w:r>
        <w:rPr>
          <w:rFonts w:ascii="Times New Roman" w:hAnsi="Times New Roman" w:cs="Times New Roman"/>
          <w:color w:val="000000" w:themeColor="text1"/>
        </w:rPr>
        <w:tab/>
      </w:r>
      <w:r>
        <w:rPr>
          <w:rFonts w:ascii="Times New Roman" w:hAnsi="Times New Roman" w:cs="Times New Roman"/>
          <w:color w:val="000000" w:themeColor="text1"/>
        </w:rPr>
        <w:tab/>
        <w:t xml:space="preserve">Проект перечня Программ формируется отделом экономики и имущественных отношений по согласованию с финансовым отделом администрации города Канаш (далее - финансовый отдел) </w:t>
      </w:r>
      <w:r>
        <w:rPr>
          <w:rFonts w:ascii="Times New Roman" w:hAnsi="Times New Roman" w:cs="Times New Roman"/>
        </w:rPr>
        <w:t>исходя из стратегии социально-экономического развития города Канаш, документов стратегического планирования города Канаш, на основании положений</w:t>
      </w:r>
      <w:r>
        <w:rPr>
          <w:rFonts w:ascii="Times New Roman" w:hAnsi="Times New Roman" w:cs="Times New Roman"/>
          <w:color w:val="000000" w:themeColor="text1"/>
        </w:rPr>
        <w:t xml:space="preserve"> </w:t>
      </w:r>
      <w:r>
        <w:rPr>
          <w:rFonts w:ascii="Times New Roman" w:hAnsi="Times New Roman" w:cs="Times New Roman"/>
        </w:rPr>
        <w:t>нормативных правовых актов Российской Федерации и Чувашской Республики</w:t>
      </w:r>
      <w:r>
        <w:rPr>
          <w:rFonts w:ascii="Times New Roman" w:hAnsi="Times New Roman" w:cs="Times New Roman"/>
          <w:color w:val="000000" w:themeColor="text1"/>
        </w:rPr>
        <w:t>,</w:t>
      </w:r>
      <w:r>
        <w:rPr>
          <w:rFonts w:ascii="Times New Roman" w:hAnsi="Times New Roman" w:cs="Times New Roman"/>
        </w:rPr>
        <w:t xml:space="preserve"> во исполнение отдельных решений Главы Чувашской Республики и Кабинета Министров Чувашской Республики, а также с учетом предложений органов исполнительной власти Чувашской Республики, </w:t>
      </w:r>
      <w:r>
        <w:rPr>
          <w:rFonts w:ascii="Times New Roman" w:hAnsi="Times New Roman" w:cs="Times New Roman"/>
          <w:color w:val="000000" w:themeColor="text1"/>
        </w:rPr>
        <w:t xml:space="preserve">муниципальных правовых актов, предусматривающих реализацию муниципальных программ города Канаш, а также с учетом предложений органов местного самоуправления города Канаш.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Внесение изменений в перечень муниципальных программ производится по мере необходимости по решению администрации города Канаш на основании предложений отдела экономики и имущественных отношений, подготовленных по предложениям ответственных исполнителей в соответствии с положениями нормативных правовых актов Российской Федерации, нормативных правовых актов Чувашской Республики и нормативных правовых актов органов местного самоуправления города Канаш, предусматривающих ре</w:t>
      </w:r>
      <w:bookmarkStart w:id="16" w:name="sub_32"/>
      <w:r>
        <w:rPr>
          <w:rFonts w:ascii="Times New Roman" w:hAnsi="Times New Roman" w:cs="Times New Roman"/>
          <w:color w:val="000000" w:themeColor="text1"/>
        </w:rPr>
        <w:t xml:space="preserve">ализацию муниципальных программ, </w:t>
      </w:r>
      <w:r>
        <w:rPr>
          <w:rFonts w:ascii="Times New Roman" w:hAnsi="Times New Roman" w:cs="Times New Roman"/>
        </w:rPr>
        <w:t>а также во исполнение отдельных решений главы города Канаш и  администрации города Канаш.</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3.2. Перечень муниципальных программ содержит: </w:t>
      </w:r>
      <w:bookmarkStart w:id="17" w:name="sub_3201"/>
      <w:bookmarkEnd w:id="16"/>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а) наименования муниципальных программ; </w:t>
      </w:r>
      <w:bookmarkStart w:id="18" w:name="sub_3202"/>
      <w:bookmarkEnd w:id="17"/>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б) наименования ответственных исполнителей; </w:t>
      </w:r>
      <w:bookmarkStart w:id="19" w:name="sub_3203"/>
      <w:bookmarkEnd w:id="18"/>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в) перечень подпрограмм муниципальных программ (программы). </w:t>
      </w:r>
      <w:bookmarkStart w:id="20" w:name="sub_33"/>
      <w:bookmarkEnd w:id="19"/>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3.3. Разработка проекта Программы производится ответственным исполнителем совместно с соисполнителями в соответствии с настоящим порядком. </w:t>
      </w:r>
      <w:bookmarkEnd w:id="20"/>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При разработке проекта муниципальной программы ответственным исполнителем обеспечивается соблюдение требований о проведении антикоррупционной экспертизы нормативных правовых актов, установленных постановлением администрации города Канаш от 10 августа 2016 года № 811 «Об утверждении Порядка проведения антикоррупционной экспертизы нормативных правовых актов города Канаш и их проектов».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Проект нормативного правового акта об утверждении муниципальной программы размещается на официальном сайте администрации города Канаш в информационно-телекоммуникационной сети «Интернет» с указанием дат начала и окончания приема заключений по результатам независимой антикоррупционной экспертизы. </w:t>
      </w:r>
      <w:bookmarkStart w:id="21" w:name="sub_34"/>
    </w:p>
    <w:p>
      <w:pPr>
        <w:ind w:firstLine="708"/>
        <w:rPr>
          <w:rFonts w:ascii="Times New Roman" w:hAnsi="Times New Roman" w:cs="Times New Roman"/>
          <w:color w:val="000000" w:themeColor="text1"/>
        </w:rPr>
      </w:pPr>
      <w:r>
        <w:rPr>
          <w:rFonts w:ascii="Times New Roman" w:hAnsi="Times New Roman" w:cs="Times New Roman"/>
        </w:rPr>
        <w:t xml:space="preserve">3.4. Проект </w:t>
      </w:r>
      <w:proofErr w:type="gramStart"/>
      <w:r>
        <w:rPr>
          <w:rFonts w:ascii="Times New Roman" w:hAnsi="Times New Roman" w:cs="Times New Roman"/>
        </w:rPr>
        <w:t>муниципальной  программы</w:t>
      </w:r>
      <w:proofErr w:type="gramEnd"/>
      <w:r>
        <w:rPr>
          <w:rFonts w:ascii="Times New Roman" w:hAnsi="Times New Roman" w:cs="Times New Roman"/>
        </w:rPr>
        <w:t xml:space="preserve">, до направления его на согласование в </w:t>
      </w:r>
      <w:r>
        <w:rPr>
          <w:rFonts w:ascii="Times New Roman" w:hAnsi="Times New Roman" w:cs="Times New Roman"/>
          <w:color w:val="000000" w:themeColor="text1"/>
        </w:rPr>
        <w:t>отдел экономики и имущественных отношений</w:t>
      </w:r>
      <w:r>
        <w:rPr>
          <w:rFonts w:ascii="Times New Roman" w:hAnsi="Times New Roman" w:cs="Times New Roman"/>
        </w:rPr>
        <w:t xml:space="preserve"> и финансовый отдел подлежит общественному обсуждению.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Проект муниципальной программы подлежит размещению на </w:t>
      </w:r>
      <w:hyperlink r:id="rId13" w:history="1">
        <w:r>
          <w:rPr>
            <w:rStyle w:val="a4"/>
            <w:rFonts w:ascii="Times New Roman" w:hAnsi="Times New Roman"/>
            <w:color w:val="auto"/>
          </w:rPr>
          <w:t>официальном сайте</w:t>
        </w:r>
      </w:hyperlink>
      <w:r>
        <w:rPr>
          <w:rFonts w:ascii="Times New Roman" w:hAnsi="Times New Roman" w:cs="Times New Roman"/>
        </w:rPr>
        <w:t xml:space="preserve"> администрации города Канаш в информационно-телекоммуникационной сети «Интернет». Одновременно ответственный исполнитель размещает уведомление об обсуждении проекта муниципальной программы (внесение в нее изменений) на официальном сайте администрации города Канаш в сети «Интернет».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Срок приема предложений к проекту муниципальной </w:t>
      </w:r>
      <w:proofErr w:type="gramStart"/>
      <w:r>
        <w:rPr>
          <w:rFonts w:ascii="Times New Roman" w:hAnsi="Times New Roman" w:cs="Times New Roman"/>
        </w:rPr>
        <w:t>программы  от</w:t>
      </w:r>
      <w:proofErr w:type="gramEnd"/>
      <w:r>
        <w:rPr>
          <w:rFonts w:ascii="Times New Roman" w:hAnsi="Times New Roman" w:cs="Times New Roman"/>
        </w:rPr>
        <w:t xml:space="preserve"> заинтересованных лиц устанавливается ответственным лицом в уведомлении об обсуждении данного проекта.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Указанный срок не может быть меньше семи календарных дней с даты размещения уведомления на </w:t>
      </w:r>
      <w:hyperlink r:id="rId14" w:history="1">
        <w:r>
          <w:rPr>
            <w:rStyle w:val="a4"/>
            <w:rFonts w:ascii="Times New Roman" w:hAnsi="Times New Roman"/>
            <w:color w:val="auto"/>
          </w:rPr>
          <w:t>официальном сайте</w:t>
        </w:r>
      </w:hyperlink>
      <w:r>
        <w:rPr>
          <w:rFonts w:ascii="Times New Roman" w:hAnsi="Times New Roman" w:cs="Times New Roman"/>
        </w:rPr>
        <w:t xml:space="preserve"> администрации города Канаш в сети «Интернет». </w:t>
      </w:r>
      <w:r>
        <w:rPr>
          <w:rFonts w:ascii="Times New Roman" w:hAnsi="Times New Roman" w:cs="Times New Roman"/>
        </w:rPr>
        <w:tab/>
        <w:t xml:space="preserve">Ответственный исполнитель в течение пяти календарных дней рассматривает поступившие предложения и оформляет протокол по результатам общественного обсуждения муниципальной программы (далее - протокол), в котором указываются: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поступившие от заинтересованных лиц предложения к проекту муниципальной программы; </w:t>
      </w:r>
      <w:r>
        <w:rPr>
          <w:rFonts w:ascii="Times New Roman" w:hAnsi="Times New Roman" w:cs="Times New Roman"/>
        </w:rPr>
        <w:tab/>
        <w:t xml:space="preserve">результаты рассмотрения ответственным лицом поступивших предложений. </w:t>
      </w:r>
      <w:r>
        <w:rPr>
          <w:rFonts w:ascii="Times New Roman" w:hAnsi="Times New Roman" w:cs="Times New Roman"/>
        </w:rPr>
        <w:tab/>
        <w:t xml:space="preserve">Протокол подписывается руководителем структурного подразделения, размещается на </w:t>
      </w:r>
      <w:hyperlink r:id="rId15" w:history="1">
        <w:r>
          <w:rPr>
            <w:rStyle w:val="a4"/>
            <w:rFonts w:ascii="Times New Roman" w:hAnsi="Times New Roman"/>
            <w:color w:val="auto"/>
          </w:rPr>
          <w:t>официальном сайте</w:t>
        </w:r>
      </w:hyperlink>
      <w:r>
        <w:rPr>
          <w:rFonts w:ascii="Times New Roman" w:hAnsi="Times New Roman" w:cs="Times New Roman"/>
        </w:rPr>
        <w:t xml:space="preserve"> администрации города Канаш в сети «Интернет» и передается в составе материалов к проекту постановления администрации города Канаш об утверждении муниципальной программы. </w:t>
      </w:r>
      <w:r>
        <w:rPr>
          <w:rFonts w:ascii="Times New Roman" w:hAnsi="Times New Roman" w:cs="Times New Roman"/>
          <w:color w:val="000000" w:themeColor="text1"/>
        </w:rPr>
        <w:tab/>
      </w:r>
      <w:r>
        <w:rPr>
          <w:rFonts w:ascii="Times New Roman" w:hAnsi="Times New Roman" w:cs="Times New Roman"/>
          <w:color w:val="000000" w:themeColor="text1"/>
        </w:rPr>
        <w:tab/>
        <w:t xml:space="preserve">3.5. Проект муниципальной программы направляется на согласование соисполнителям и участникам муниципальной программы. </w:t>
      </w:r>
      <w:bookmarkEnd w:id="21"/>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rPr>
      </w:pPr>
      <w:r>
        <w:rPr>
          <w:rFonts w:ascii="Times New Roman" w:hAnsi="Times New Roman" w:cs="Times New Roman"/>
          <w:color w:val="000000" w:themeColor="text1"/>
        </w:rPr>
        <w:t xml:space="preserve">Соисполнители (участники) муниципальной программы в течение 3 рабочих дней, со дня получения проекта муниципальной программы, согласовывают проект Программы в части, касающейся реализуемых ими подпрограмм, основных мероприятий (мероприятий). </w:t>
      </w:r>
      <w:bookmarkStart w:id="22" w:name="sub_35"/>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rPr>
        <w:t xml:space="preserve">3.6. Проект муниципальной программы, согласованный со всеми соисполнителями и участниками муниципальной программы, направляется ответственным исполнителем Программы на финансово-экономическую экспертизу в Контрольно-счетную палату Чувашской Республики. Внесения изменений в муниципальную программу на финансово-экономическую экспертизу в Контрольно-счетную палату Чувашской Республики не направляются. </w:t>
      </w:r>
      <w:bookmarkStart w:id="23" w:name="sub_37"/>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3.7. Собрание депутатов города Канаш Чувашской Республики (далее - Собрание депутатов города Канаш) вправе осуществлять рассмотрение проектов муниципальных программ города Канаш и предложений о внесении изменений в муниципальные программы в порядке, установленном решением Собрания депутатов города Канаш.</w:t>
      </w:r>
      <w:bookmarkEnd w:id="23"/>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Проект муниципальной программы, согласованный со всеми соисполнителями и участниками муниципальной программы, направляется ответственным исполнителем </w:t>
      </w:r>
      <w:r>
        <w:rPr>
          <w:rFonts w:ascii="Times New Roman" w:hAnsi="Times New Roman" w:cs="Times New Roman"/>
        </w:rPr>
        <w:lastRenderedPageBreak/>
        <w:t>муниципальной программы на рассмотрение в Собрание депутатов города Канаш. Вместе с проектом муниципальной программы в Собрание депутатов города Канаш должны быть представлены:</w:t>
      </w:r>
      <w:bookmarkStart w:id="24" w:name="sub_371"/>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а) пояснительная записка к проекту муниципальной программы; </w:t>
      </w:r>
      <w:bookmarkStart w:id="25" w:name="sub_372"/>
      <w:bookmarkEnd w:id="2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б) при направлении проекта вновь принимаемой муниципальной программы - копия заключения Контрольно-счетной палаты Чувашской Республики о проведении финансово-экономической экспертизы проекта Программы.</w:t>
      </w:r>
      <w:bookmarkStart w:id="26" w:name="sub_38"/>
      <w:bookmarkEnd w:id="25"/>
      <w:r>
        <w:rPr>
          <w:rFonts w:ascii="Times New Roman" w:hAnsi="Times New Roman" w:cs="Times New Roman"/>
        </w:rPr>
        <w:t xml:space="preserve"> </w:t>
      </w:r>
    </w:p>
    <w:p>
      <w:pPr>
        <w:ind w:firstLine="708"/>
        <w:rPr>
          <w:rFonts w:ascii="Times New Roman" w:hAnsi="Times New Roman" w:cs="Times New Roman"/>
        </w:rPr>
      </w:pPr>
      <w:r>
        <w:rPr>
          <w:rFonts w:ascii="Times New Roman" w:hAnsi="Times New Roman" w:cs="Times New Roman"/>
        </w:rPr>
        <w:t xml:space="preserve">3.8. В отдел экономики и имущественных отношений и финансовый отдел ответственным исполнителем направляется проект муниципальной программы, согласованный со всеми соисполнителями и участниками Программы, на бумажном носителе и в электронном виде с приложением копии заключения Контрольно-счетной палаты Чувашской Республики о финансово-экономической экспертизе проекта муниципальной программы (при направлении проекта вновь принимаемой муниципальной программы), копии информации (протокола) постоянной (профильной) комиссии Собрания депутатов города Канаш о результатах рассмотрения проекта муниципальной программы. </w:t>
      </w:r>
      <w:bookmarkEnd w:id="2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b/>
          <w:color w:val="000000" w:themeColor="text1"/>
        </w:rPr>
      </w:pPr>
      <w:r>
        <w:rPr>
          <w:rFonts w:ascii="Times New Roman" w:hAnsi="Times New Roman" w:cs="Times New Roman"/>
        </w:rPr>
        <w:t>3.9. Проект постановления администрации города Канаш об утверждении муниципальной программы представляется в отдел экономики и имущественных отношений и финансовый отдел с приложением копии заключения о проведении антикоррупционной экспертизы указанного проекта.</w:t>
      </w:r>
      <w:bookmarkStart w:id="27" w:name="sub_36"/>
      <w:bookmarkEnd w:id="22"/>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3.10. Отдел экономики и имущественных отношений, финансовый отдел в течение 3 рабочих дней со дня получения проекта муниципальной программы проводят согласование проекта и направляют ответственному исполнителю Программы. </w:t>
      </w:r>
      <w:bookmarkEnd w:id="27"/>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bookmarkStart w:id="28" w:name="sub_311"/>
      <w:bookmarkStart w:id="29" w:name="sub_352"/>
    </w:p>
    <w:p>
      <w:pPr>
        <w:ind w:firstLine="708"/>
        <w:rPr>
          <w:rFonts w:ascii="Times New Roman" w:hAnsi="Times New Roman" w:cs="Times New Roman"/>
        </w:rPr>
      </w:pPr>
      <w:r>
        <w:rPr>
          <w:rFonts w:ascii="Times New Roman" w:hAnsi="Times New Roman" w:cs="Times New Roman"/>
        </w:rPr>
        <w:t xml:space="preserve">3.11. Текст муниципальной программы размещается на </w:t>
      </w:r>
      <w:hyperlink r:id="rId16" w:history="1">
        <w:r>
          <w:rPr>
            <w:rStyle w:val="a4"/>
            <w:rFonts w:ascii="Times New Roman" w:hAnsi="Times New Roman"/>
            <w:color w:val="auto"/>
          </w:rPr>
          <w:t>официальном</w:t>
        </w:r>
      </w:hyperlink>
      <w:r>
        <w:rPr>
          <w:rStyle w:val="a4"/>
          <w:rFonts w:ascii="Times New Roman" w:hAnsi="Times New Roman"/>
          <w:color w:val="auto"/>
        </w:rPr>
        <w:t xml:space="preserve"> сайте администрации города Канаш</w:t>
      </w:r>
      <w:r>
        <w:rPr>
          <w:rStyle w:val="a4"/>
          <w:rFonts w:ascii="Times New Roman" w:hAnsi="Times New Roman"/>
        </w:rPr>
        <w:t xml:space="preserve"> </w:t>
      </w:r>
      <w:r>
        <w:rPr>
          <w:rFonts w:ascii="Times New Roman" w:hAnsi="Times New Roman" w:cs="Times New Roman"/>
        </w:rPr>
        <w:t xml:space="preserve">в информационно-телекоммуникационной сети «Интернет» в течение 3 рабочих дней со дня утверждения муниципальной программы или внесения изменений в действующую муниципальную программу, за исключением сведений, составляющих государственную тайну, и сведений конфиденциального характера. </w:t>
      </w:r>
      <w:bookmarkStart w:id="30" w:name="sub_312"/>
      <w:bookmarkEnd w:id="28"/>
      <w:bookmarkEnd w:id="29"/>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color w:val="000000" w:themeColor="text1"/>
        </w:rPr>
      </w:pPr>
      <w:r>
        <w:rPr>
          <w:rFonts w:ascii="Times New Roman" w:hAnsi="Times New Roman" w:cs="Times New Roman"/>
        </w:rPr>
        <w:t xml:space="preserve">3.12. Основные параметры утвержденных муниципальных программ подлежат отражению в   прогнозе социально-экономического развития города Канаш Чувашской Республики. </w:t>
      </w:r>
      <w:r>
        <w:rPr>
          <w:rFonts w:ascii="Times New Roman" w:hAnsi="Times New Roman" w:cs="Times New Roman"/>
        </w:rPr>
        <w:tab/>
      </w:r>
      <w:r>
        <w:rPr>
          <w:rFonts w:ascii="Times New Roman" w:hAnsi="Times New Roman" w:cs="Times New Roman"/>
        </w:rPr>
        <w:tab/>
      </w:r>
    </w:p>
    <w:p>
      <w:pPr>
        <w:pStyle w:val="1"/>
        <w:rPr>
          <w:rFonts w:ascii="Times New Roman" w:hAnsi="Times New Roman" w:cs="Times New Roman"/>
          <w:color w:val="000000" w:themeColor="text1"/>
        </w:rPr>
      </w:pPr>
      <w:bookmarkStart w:id="31" w:name="sub_1004"/>
      <w:bookmarkEnd w:id="30"/>
      <w:r>
        <w:rPr>
          <w:rFonts w:ascii="Times New Roman" w:hAnsi="Times New Roman" w:cs="Times New Roman"/>
          <w:color w:val="000000" w:themeColor="text1"/>
        </w:rPr>
        <w:t xml:space="preserve">IV. Финансовое обеспечение реализации </w:t>
      </w:r>
      <w:proofErr w:type="gramStart"/>
      <w:r>
        <w:rPr>
          <w:rFonts w:ascii="Times New Roman" w:hAnsi="Times New Roman" w:cs="Times New Roman"/>
          <w:color w:val="000000" w:themeColor="text1"/>
        </w:rPr>
        <w:t>муниципальных  программ</w:t>
      </w:r>
      <w:proofErr w:type="gramEnd"/>
    </w:p>
    <w:bookmarkEnd w:id="31"/>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4.1. Финансовое обеспечение реализации муниципальных программ осуществляется за счет бюджетных и внебюджетных средств с расшифровкой по ответственным исполнителям и соисполнителям Программы.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Распределение бюджетных ассигнований на реализацию муниципальных программ (подпрограмм) утверждается решением Собрания депутатов города Канаш о бюджете города Канаш на очередной финансовый год и плановый период.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4.2. Объем бюджетных ассигнований указывается в тысячах рублях с точностью до первого знака после запятой. Расходы указываются по муниципальной программе в целом, с распределением по подпрограммам муниципальной программы, основным мероприятиям подпрограмм и по мероприятиям основных </w:t>
      </w:r>
      <w:proofErr w:type="gramStart"/>
      <w:r>
        <w:rPr>
          <w:rFonts w:ascii="Times New Roman" w:hAnsi="Times New Roman" w:cs="Times New Roman"/>
          <w:color w:val="000000" w:themeColor="text1"/>
        </w:rPr>
        <w:t>мероприятий  по</w:t>
      </w:r>
      <w:proofErr w:type="gramEnd"/>
      <w:r>
        <w:rPr>
          <w:rFonts w:ascii="Times New Roman" w:hAnsi="Times New Roman" w:cs="Times New Roman"/>
          <w:color w:val="000000" w:themeColor="text1"/>
        </w:rPr>
        <w:t xml:space="preserve"> кодам классификации расходов бюджетов.</w:t>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4.3. Объемы финансового обеспечения реализации Программы за счет средств бюджета города Канаш на очередной финансовый год и плановый период указываются в муниципальной программе в соответствии с показателями бюджета города Канаш на очередной финансовый год и плановый период. </w:t>
      </w:r>
      <w:bookmarkStart w:id="32" w:name="sub_442"/>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 xml:space="preserve">Ресурсное обеспечение и прогнозная (справочная) оценка расходов за счет всех источников финансирования реализации муниципальной программы (подпрограмм, основных мероприятий) представляются по форме согласно </w:t>
      </w:r>
      <w:r>
        <w:rPr>
          <w:rFonts w:ascii="Times New Roman" w:hAnsi="Times New Roman" w:cs="Times New Roman"/>
          <w:b/>
          <w:color w:val="000000" w:themeColor="text1"/>
        </w:rPr>
        <w:t xml:space="preserve">приложению № 3 </w:t>
      </w:r>
      <w:r>
        <w:rPr>
          <w:rFonts w:ascii="Times New Roman" w:hAnsi="Times New Roman" w:cs="Times New Roman"/>
          <w:color w:val="000000" w:themeColor="text1"/>
        </w:rPr>
        <w:t xml:space="preserve">к настоящему Порядку. </w:t>
      </w:r>
      <w:bookmarkEnd w:id="32"/>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 xml:space="preserve">4.4. Муниципальные программы подлежат приведению в соответствие с решением Собрания депутатов города Канаш о бюджете города Канаш на очередной финансовый год и плановый период </w:t>
      </w:r>
      <w:r>
        <w:rPr>
          <w:rFonts w:ascii="Times New Roman" w:hAnsi="Times New Roman" w:cs="Times New Roman"/>
          <w:b/>
          <w:color w:val="000000" w:themeColor="text1"/>
        </w:rPr>
        <w:t>не позднее трех месяцев</w:t>
      </w:r>
      <w:r>
        <w:rPr>
          <w:rFonts w:ascii="Times New Roman" w:hAnsi="Times New Roman" w:cs="Times New Roman"/>
          <w:color w:val="000000" w:themeColor="text1"/>
        </w:rPr>
        <w:t xml:space="preserve"> со дня вступления его в силу.</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lastRenderedPageBreak/>
        <w:t>4.5. Планирование бюджетных ассигнований на реализацию муниципальных программ в очередном финансовом году (очередном финансовом году и плановом периоде) осуществляется в соответствии с бюджетным законодательством Российской Федерации и нормативными правовыми актами Чувашской Республики и города Канаш, регулирующими бюджетные правоотношения, а также с учетом результатов реализации муниципальных программ за предыдущий год.</w:t>
      </w:r>
      <w:r>
        <w:rPr>
          <w:rFonts w:ascii="Times New Roman" w:hAnsi="Times New Roman" w:cs="Times New Roman"/>
          <w:color w:val="000000" w:themeColor="text1"/>
        </w:rPr>
        <w:tab/>
      </w:r>
      <w:r>
        <w:rPr>
          <w:rFonts w:ascii="Times New Roman" w:hAnsi="Times New Roman" w:cs="Times New Roman"/>
          <w:color w:val="000000" w:themeColor="text1"/>
        </w:rPr>
        <w:tab/>
        <w:t xml:space="preserve">Объем финансового обеспечения реализации Программы за счет средств бюджета города Канаш на период после планового периода определяется в соответствии с показателями бюджета города Канаш в пределах утвержденных лимитов бюджетных ассигнований на реализацию Программы второго года планового периода. </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p>
    <w:p>
      <w:pPr>
        <w:ind w:firstLine="708"/>
        <w:rPr>
          <w:rFonts w:ascii="Times New Roman" w:hAnsi="Times New Roman" w:cs="Times New Roman"/>
          <w:color w:val="000000" w:themeColor="text1"/>
        </w:rPr>
      </w:pPr>
      <w:r>
        <w:rPr>
          <w:rFonts w:ascii="Times New Roman" w:hAnsi="Times New Roman" w:cs="Times New Roman"/>
          <w:color w:val="000000" w:themeColor="text1"/>
        </w:rPr>
        <w:t>4.6. В финансовое обеспечение реализации муниципальных программ могут быть включены расходы на содержание органов местного самоуправления города Канаш, являющихся ответственными исполнителями и соисполнителями муниципальной программы, бюджетных и казенных учреждений города Канаш. Такие расходы также могут учитываться в подпрограмме «Обеспечение реализации муниципальной программы».</w:t>
      </w:r>
    </w:p>
    <w:p>
      <w:pPr>
        <w:pStyle w:val="1"/>
        <w:ind w:left="708" w:firstLine="708"/>
        <w:jc w:val="both"/>
        <w:rPr>
          <w:rFonts w:ascii="Times New Roman" w:hAnsi="Times New Roman" w:cs="Times New Roman"/>
        </w:rPr>
      </w:pPr>
      <w:r>
        <w:rPr>
          <w:rFonts w:ascii="Times New Roman" w:hAnsi="Times New Roman" w:cs="Times New Roman"/>
        </w:rPr>
        <w:t xml:space="preserve">V. Разработка подпрограммы муниципальной программы </w:t>
      </w:r>
    </w:p>
    <w:p>
      <w:pPr>
        <w:ind w:firstLine="708"/>
        <w:rPr>
          <w:rFonts w:ascii="Times New Roman" w:hAnsi="Times New Roman" w:cs="Times New Roman"/>
        </w:rPr>
      </w:pPr>
      <w:r>
        <w:rPr>
          <w:rFonts w:ascii="Times New Roman" w:hAnsi="Times New Roman" w:cs="Times New Roman"/>
        </w:rPr>
        <w:t xml:space="preserve">5.1. Подпрограмма является неотъемлемой частью муниципальной программы и формируется с учетом согласованности основных параметров подпрограммы 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5.2. Подпрограмма имеет следующую структуру: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5.2.1. Паспорт подпрограммы муниципальной программы города Канаш (по форме согласно </w:t>
      </w:r>
      <w:hyperlink w:anchor="sub_11000" w:history="1">
        <w:r>
          <w:rPr>
            <w:rStyle w:val="a4"/>
            <w:rFonts w:ascii="Times New Roman" w:hAnsi="Times New Roman"/>
            <w:b/>
            <w:color w:val="000000" w:themeColor="text1"/>
          </w:rPr>
          <w:t>приложению № 4</w:t>
        </w:r>
      </w:hyperlink>
      <w:r>
        <w:rPr>
          <w:rFonts w:ascii="Times New Roman" w:hAnsi="Times New Roman" w:cs="Times New Roman"/>
          <w:color w:val="000000" w:themeColor="text1"/>
        </w:rPr>
        <w:t xml:space="preserve"> к наст</w:t>
      </w:r>
      <w:r>
        <w:rPr>
          <w:rFonts w:ascii="Times New Roman" w:hAnsi="Times New Roman" w:cs="Times New Roman"/>
        </w:rPr>
        <w:t xml:space="preserve">оящему Порядку).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5.2.2. Текстовая часть подпрограммы по следующим разделам: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приоритеты и цели подпрограммы, общая характеристика участия органов местного самоуправления городского округа в реализации подпрограммы;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перечень и сведения о целевых показателях (индикаторах) подпрограммы с расшифровкой плановых значений по годам ее реализации; </w:t>
      </w:r>
    </w:p>
    <w:p>
      <w:pPr>
        <w:ind w:firstLine="708"/>
        <w:rPr>
          <w:rFonts w:ascii="Times New Roman" w:hAnsi="Times New Roman" w:cs="Times New Roman"/>
        </w:rPr>
      </w:pPr>
      <w:r>
        <w:rPr>
          <w:rFonts w:ascii="Times New Roman" w:hAnsi="Times New Roman" w:cs="Times New Roman"/>
        </w:rPr>
        <w:t xml:space="preserve">характеристики основных мероприятий, мероприятий подпрограммы с указанием сроков и этапов их реализации; </w:t>
      </w:r>
    </w:p>
    <w:p>
      <w:pPr>
        <w:ind w:firstLine="708"/>
        <w:rPr>
          <w:rFonts w:ascii="Times New Roman" w:hAnsi="Times New Roman" w:cs="Times New Roman"/>
        </w:rPr>
      </w:pPr>
      <w:r>
        <w:rPr>
          <w:rFonts w:ascii="Times New Roman" w:hAnsi="Times New Roman" w:cs="Times New Roman"/>
        </w:rPr>
        <w:t xml:space="preserve">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 </w:t>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5.2.3. Правила предоставления межбюджетной субсидии, направленной на достижение целей и решение задач местного значения, соответствующих муниципальной программе. </w:t>
      </w:r>
      <w:r>
        <w:rPr>
          <w:rFonts w:ascii="Times New Roman" w:hAnsi="Times New Roman" w:cs="Times New Roman"/>
        </w:rPr>
        <w:tab/>
        <w:t xml:space="preserve">К подпрограмме могут быть приложены иные приложения, необходимые для выполнения официальных требований (методических рекомендаций) Правительства Российской Федерации, федеральных органов исполнительной власти, государственных корпораций по разработке государственных программ субъектов Российской Федерации (подпрограмм государственных программ субъектов Российской Федерации). </w:t>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5.3. Требования, указанные </w:t>
      </w:r>
      <w:r>
        <w:rPr>
          <w:rFonts w:ascii="Times New Roman" w:hAnsi="Times New Roman" w:cs="Times New Roman"/>
          <w:color w:val="000000" w:themeColor="text1"/>
        </w:rPr>
        <w:t xml:space="preserve">в </w:t>
      </w:r>
      <w:hyperlink w:anchor="sub_51" w:history="1">
        <w:r>
          <w:rPr>
            <w:rStyle w:val="a4"/>
            <w:rFonts w:ascii="Times New Roman" w:hAnsi="Times New Roman"/>
            <w:color w:val="000000" w:themeColor="text1"/>
          </w:rPr>
          <w:t>пунктах 5.1-5.2</w:t>
        </w:r>
      </w:hyperlink>
      <w:r>
        <w:rPr>
          <w:rFonts w:ascii="Times New Roman" w:hAnsi="Times New Roman" w:cs="Times New Roman"/>
          <w:color w:val="000000" w:themeColor="text1"/>
        </w:rPr>
        <w:t xml:space="preserve"> настоящего </w:t>
      </w:r>
      <w:r>
        <w:rPr>
          <w:rFonts w:ascii="Times New Roman" w:hAnsi="Times New Roman" w:cs="Times New Roman"/>
        </w:rPr>
        <w:t xml:space="preserve">Порядка, не распространяются на подпрограмму «Обеспечение реализации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Подпрограмма «Обеспечение реализации муниципальной программы» содержит только обоснование объема финансовых ресурсов, необходимых для реализации муниципальной программы, по форме согласно </w:t>
      </w:r>
      <w:hyperlink w:anchor="sub_9000" w:history="1">
        <w:r>
          <w:rPr>
            <w:rStyle w:val="a4"/>
            <w:rFonts w:ascii="Times New Roman" w:hAnsi="Times New Roman"/>
            <w:b/>
            <w:color w:val="000000" w:themeColor="text1"/>
          </w:rPr>
          <w:t>приложению № 3</w:t>
        </w:r>
      </w:hyperlink>
      <w:r>
        <w:rPr>
          <w:rFonts w:ascii="Times New Roman" w:hAnsi="Times New Roman" w:cs="Times New Roman"/>
          <w:b/>
          <w:color w:val="000000" w:themeColor="text1"/>
        </w:rPr>
        <w:t xml:space="preserve"> </w:t>
      </w:r>
      <w:r>
        <w:rPr>
          <w:rFonts w:ascii="Times New Roman" w:hAnsi="Times New Roman" w:cs="Times New Roman"/>
        </w:rPr>
        <w:t>к настоящему Порядку.</w:t>
      </w:r>
    </w:p>
    <w:p>
      <w:pPr>
        <w:pStyle w:val="1"/>
        <w:ind w:left="708" w:firstLine="708"/>
        <w:jc w:val="both"/>
        <w:rPr>
          <w:rFonts w:ascii="Times New Roman" w:hAnsi="Times New Roman" w:cs="Times New Roman"/>
        </w:rPr>
      </w:pPr>
      <w:bookmarkStart w:id="33" w:name="sub_1006"/>
      <w:r>
        <w:rPr>
          <w:rFonts w:ascii="Times New Roman" w:hAnsi="Times New Roman" w:cs="Times New Roman"/>
        </w:rPr>
        <w:t>VI. Управление и контроль реализации муниципальной программы</w:t>
      </w:r>
    </w:p>
    <w:bookmarkEnd w:id="33"/>
    <w:p>
      <w:pPr>
        <w:ind w:firstLine="708"/>
        <w:rPr>
          <w:rFonts w:ascii="Times New Roman" w:hAnsi="Times New Roman" w:cs="Times New Roman"/>
        </w:rPr>
      </w:pPr>
      <w:r>
        <w:rPr>
          <w:rFonts w:ascii="Times New Roman" w:hAnsi="Times New Roman" w:cs="Times New Roman"/>
        </w:rPr>
        <w:t xml:space="preserve">6.1. Текущее управление реализацией муниципальной программы осуществляется ответственным исполнителем.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6.2. В процессе реализации муниципальной программы в случае изменения законодательства Российской Федерации, законодательства Чувашской Республики и нормативных правовых актов города Канаш по мере необходимости ответственный исполнитель вправе принимать решения о внесении изменений в перечни и состав основных мероприятий </w:t>
      </w:r>
      <w:r>
        <w:rPr>
          <w:rFonts w:ascii="Times New Roman" w:hAnsi="Times New Roman" w:cs="Times New Roman"/>
        </w:rPr>
        <w:lastRenderedPageBreak/>
        <w:t xml:space="preserve">(мероприятий), сроки их реализации, а также в объемы бюджетных ассигнований на реализацию основных мероприятий (мероприятий) в пределах утвержденных лимитов бюджетных ассигнований на реализацию муниципальной программы в целом.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Указанное решение принимается ответственным исполнителем при условии, что планируемые изменения не оказывают влияния на параметры муниципальной программы, утвержденные постановлением администрации города Канаш, и не приведут к ухудшению плановых значений целевых показателей (индикаторов) муниципальной программы, а также к увеличению сроков исполнения основных мероприятий (мероприятий) подпрограмм.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Внесение изменений в муниципальную программу принимается постановлением администрации города Канаш, по мере необходимости, по предложениям ответственного исполнителя, в порядке определенном пунктами 3.3 - 3.5, 3.8 - 3.10 настоящего Порядка. При внесении изменений в муниципальную программу до окончания срока ее реализации корректировка финансового обеспечения муниципальной программы, ее целевых показателей (индикаторов) за истекший год </w:t>
      </w:r>
      <w:r>
        <w:rPr>
          <w:rFonts w:ascii="Times New Roman" w:hAnsi="Times New Roman" w:cs="Times New Roman"/>
          <w:b/>
        </w:rPr>
        <w:t>позднее 1 февраля года</w:t>
      </w:r>
      <w:r>
        <w:rPr>
          <w:rFonts w:ascii="Times New Roman" w:hAnsi="Times New Roman" w:cs="Times New Roman"/>
        </w:rPr>
        <w:t>, следующего за отчетным годом, не допускается.</w:t>
      </w:r>
    </w:p>
    <w:p>
      <w:pPr>
        <w:pStyle w:val="1"/>
        <w:rPr>
          <w:rFonts w:ascii="Times New Roman" w:hAnsi="Times New Roman" w:cs="Times New Roman"/>
        </w:rPr>
      </w:pPr>
      <w:r>
        <w:rPr>
          <w:rFonts w:ascii="Times New Roman" w:hAnsi="Times New Roman" w:cs="Times New Roman"/>
        </w:rPr>
        <w:t>VII. Подготовка годовых отчетов и докладов о ходе реализации муниципальной программы</w:t>
      </w:r>
    </w:p>
    <w:p>
      <w:pPr>
        <w:ind w:firstLine="708"/>
        <w:rPr>
          <w:rFonts w:ascii="Times New Roman" w:hAnsi="Times New Roman" w:cs="Times New Roman"/>
        </w:rPr>
      </w:pPr>
      <w:r>
        <w:rPr>
          <w:rFonts w:ascii="Times New Roman" w:hAnsi="Times New Roman" w:cs="Times New Roman"/>
        </w:rPr>
        <w:t xml:space="preserve">7.1. Годовой отчет и годовой доклад о ходе реализации муниципальной  программы (далее соответственно - годовой отчет, годовой доклад) подготавливаются ответственным исполнителем совместно с соисполнителями и участниками муниципальной программы и представляются ответственным исполнителем в отдел экономики и имущественных отношений </w:t>
      </w:r>
      <w:r>
        <w:rPr>
          <w:rFonts w:ascii="Times New Roman" w:hAnsi="Times New Roman" w:cs="Times New Roman"/>
          <w:b/>
        </w:rPr>
        <w:t>до 1 марта года</w:t>
      </w:r>
      <w:r>
        <w:rPr>
          <w:rFonts w:ascii="Times New Roman" w:hAnsi="Times New Roman" w:cs="Times New Roman"/>
        </w:rPr>
        <w:t xml:space="preserve">, следующего за отчетным, на бумажном носителе и в электронном виде. </w:t>
      </w:r>
      <w:bookmarkStart w:id="34" w:name="sub_711163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Уточненный годовой отчет и уточненный годовой доклад в части сведений о степени соответствия установленных и достигнутых целевых показателей (индикаторов) муниципальных программ, подпрограмм муниципальных программ за отчетный год подготавливаются ответственным исполнителем совместно с соисполнителями и участниками муниципальной программы и представляются ответственным исполнителем в отдел экономики и имущественных отношений </w:t>
      </w:r>
      <w:r>
        <w:rPr>
          <w:rFonts w:ascii="Times New Roman" w:hAnsi="Times New Roman" w:cs="Times New Roman"/>
          <w:b/>
        </w:rPr>
        <w:t>до 20 июля года</w:t>
      </w:r>
      <w:r>
        <w:rPr>
          <w:rFonts w:ascii="Times New Roman" w:hAnsi="Times New Roman" w:cs="Times New Roman"/>
        </w:rPr>
        <w:t xml:space="preserve">, следующего за отчетным, на бумажном носителе и в электронном виде. </w:t>
      </w:r>
      <w:bookmarkEnd w:id="3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7.2. Годовой отчет содержит: </w:t>
      </w:r>
      <w:bookmarkStart w:id="35" w:name="sub_723"/>
    </w:p>
    <w:p>
      <w:pPr>
        <w:ind w:firstLine="708"/>
        <w:rPr>
          <w:rFonts w:ascii="Times New Roman" w:hAnsi="Times New Roman" w:cs="Times New Roman"/>
        </w:rPr>
      </w:pPr>
      <w:r>
        <w:rPr>
          <w:rFonts w:ascii="Times New Roman" w:hAnsi="Times New Roman" w:cs="Times New Roman"/>
        </w:rPr>
        <w:t xml:space="preserve">сведения о достижении значений целевых показателей (индикаторов) муниципальной программы, подпрограмм муниципальной программы (программ) согласно </w:t>
      </w:r>
      <w:hyperlink w:anchor="sub_12000" w:history="1">
        <w:r>
          <w:rPr>
            <w:rStyle w:val="a4"/>
            <w:rFonts w:ascii="Times New Roman" w:hAnsi="Times New Roman"/>
            <w:b/>
            <w:color w:val="auto"/>
          </w:rPr>
          <w:t>приложению № 6</w:t>
        </w:r>
      </w:hyperlink>
      <w:r>
        <w:rPr>
          <w:rFonts w:ascii="Times New Roman" w:hAnsi="Times New Roman" w:cs="Times New Roman"/>
        </w:rPr>
        <w:t xml:space="preserve"> к настоящему Порядку с обоснованием отклонений по целевым показателям (индикаторам), плановые значения которых не достигнуты; </w:t>
      </w:r>
      <w:bookmarkEnd w:id="35"/>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информацию о финансировании реализации муниципальной программы города Канаш за счет всех источников финансирования, согласно </w:t>
      </w:r>
      <w:hyperlink w:anchor="sub_14000" w:history="1">
        <w:r>
          <w:rPr>
            <w:rStyle w:val="a4"/>
            <w:rFonts w:ascii="Times New Roman" w:hAnsi="Times New Roman"/>
            <w:b/>
            <w:color w:val="auto"/>
          </w:rPr>
          <w:t>приложению № 7</w:t>
        </w:r>
      </w:hyperlink>
      <w:r>
        <w:rPr>
          <w:rStyle w:val="a4"/>
          <w:rFonts w:ascii="Times New Roman" w:hAnsi="Times New Roman"/>
        </w:rPr>
        <w:t xml:space="preserve"> </w:t>
      </w:r>
      <w:r>
        <w:rPr>
          <w:rFonts w:ascii="Times New Roman" w:hAnsi="Times New Roman" w:cs="Times New Roman"/>
        </w:rPr>
        <w:t xml:space="preserve">к настоящему Порядку; </w:t>
      </w:r>
      <w:r>
        <w:rPr>
          <w:rFonts w:ascii="Times New Roman" w:hAnsi="Times New Roman" w:cs="Times New Roman"/>
        </w:rPr>
        <w:tab/>
      </w:r>
      <w:r>
        <w:rPr>
          <w:rFonts w:ascii="Times New Roman" w:hAnsi="Times New Roman" w:cs="Times New Roman"/>
        </w:rPr>
        <w:tab/>
        <w:t xml:space="preserve">данные, необходимые для оценки эффективности муниципальной программы; </w:t>
      </w:r>
      <w:r>
        <w:rPr>
          <w:rFonts w:ascii="Times New Roman" w:hAnsi="Times New Roman" w:cs="Times New Roman"/>
        </w:rPr>
        <w:tab/>
      </w:r>
      <w:r>
        <w:rPr>
          <w:rFonts w:ascii="Times New Roman" w:hAnsi="Times New Roman" w:cs="Times New Roman"/>
        </w:rPr>
        <w:tab/>
        <w:t xml:space="preserve">иную информацию, необходимую для проведения анализа реализации муниципальной программы. </w:t>
      </w:r>
      <w:bookmarkStart w:id="36" w:name="sub_7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7.3. Годовой доклад содержит:</w:t>
      </w:r>
      <w:bookmarkEnd w:id="3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основные результаты, достигнутые в отчетном году согласно </w:t>
      </w:r>
      <w:hyperlink w:anchor="sub_12000" w:history="1">
        <w:r>
          <w:rPr>
            <w:rStyle w:val="a4"/>
            <w:rFonts w:ascii="Times New Roman" w:hAnsi="Times New Roman"/>
            <w:b/>
            <w:color w:val="auto"/>
          </w:rPr>
          <w:t>приложению № 8</w:t>
        </w:r>
      </w:hyperlink>
      <w:r>
        <w:rPr>
          <w:rFonts w:ascii="Times New Roman" w:hAnsi="Times New Roman" w:cs="Times New Roman"/>
        </w:rPr>
        <w:t xml:space="preserve"> к настоящему Порядку; Характеристику вклада основных результатов в решение задач и достижение целей государственной программы;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сведения об использовании бюджетных ассигнований бюджета города Канаш на реализацию муниципальной программы города Канаш согласно </w:t>
      </w:r>
      <w:hyperlink w:anchor="sub_12000" w:history="1">
        <w:r>
          <w:rPr>
            <w:rStyle w:val="a4"/>
            <w:rFonts w:ascii="Times New Roman" w:hAnsi="Times New Roman"/>
            <w:b/>
            <w:color w:val="auto"/>
          </w:rPr>
          <w:t>приложению № 9</w:t>
        </w:r>
      </w:hyperlink>
      <w:r>
        <w:rPr>
          <w:rFonts w:ascii="Times New Roman" w:hAnsi="Times New Roman" w:cs="Times New Roman"/>
        </w:rPr>
        <w:t xml:space="preserve"> к настоящему Порядку;</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запланированные, но не достигнутые результаты с указанием нереализованных или реализованных не в полной мере основных мероприятий (мероприятий);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анализ факторов, повлиявших на ход реализации муниципальной программы;</w:t>
      </w:r>
      <w:r>
        <w:rPr>
          <w:rFonts w:ascii="Times New Roman" w:hAnsi="Times New Roman" w:cs="Times New Roman"/>
        </w:rPr>
        <w:tab/>
      </w:r>
      <w:r>
        <w:rPr>
          <w:rFonts w:ascii="Times New Roman" w:hAnsi="Times New Roman" w:cs="Times New Roman"/>
        </w:rPr>
        <w:tab/>
        <w:t xml:space="preserve">анализ фактических и вероятных последствий влияния указанных факторов на основные параметры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информацию об изменениях, внесенных в муниципальную программу;</w:t>
      </w:r>
      <w:r>
        <w:rPr>
          <w:rFonts w:ascii="Times New Roman" w:hAnsi="Times New Roman" w:cs="Times New Roman"/>
        </w:rPr>
        <w:tab/>
      </w:r>
      <w:r>
        <w:rPr>
          <w:rFonts w:ascii="Times New Roman" w:hAnsi="Times New Roman" w:cs="Times New Roman"/>
        </w:rPr>
        <w:tab/>
        <w:t xml:space="preserve">предложения по дальнейшей реализации муниципальной программы, в том числе по </w:t>
      </w:r>
      <w:r>
        <w:rPr>
          <w:rFonts w:ascii="Times New Roman" w:hAnsi="Times New Roman" w:cs="Times New Roman"/>
        </w:rPr>
        <w:lastRenderedPageBreak/>
        <w:t xml:space="preserve">изменению форм и методов управления реализацией муниципальной программы, сокращению (увеличению) финансирования и (или) корректировке, досрочному прекращению выполнения основных мероприятий (мероприятий) или муниципальной программы в целом. </w:t>
      </w:r>
      <w:bookmarkStart w:id="37" w:name="sub_7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7.4. Информация об изменениях, внесенных ответственным исполнителем в муниципальную программу, должна содержать перечень изменений, внесенных ответственным исполнителем в муниципальной программу и реквизиты соответствующих нормативных правовых актов администрации города Канаш. </w:t>
      </w:r>
      <w:bookmarkStart w:id="38" w:name="sub_77"/>
      <w:bookmarkEnd w:id="37"/>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7.5. В случае отклонений от плановой динамики реализации муниципальной программы или воздействия факторов риска, оказывающих негативное влияние на основные параметры муниципальной программы, в годовой отчет включаются предложения по дальнейшей реализации муниципальной программы и их обоснование. </w:t>
      </w:r>
      <w:bookmarkStart w:id="39" w:name="sub_78"/>
      <w:bookmarkEnd w:id="38"/>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7.6. Финансовый отдел представляет в отдел экономики и имущественных отношений информацию о кассовых расходах бюджета города Канаш на реализацию муниципальных программ: </w:t>
      </w:r>
      <w:bookmarkStart w:id="40" w:name="sub_782"/>
      <w:bookmarkEnd w:id="39"/>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раз в полугодие - </w:t>
      </w:r>
      <w:r>
        <w:rPr>
          <w:rFonts w:ascii="Times New Roman" w:hAnsi="Times New Roman" w:cs="Times New Roman"/>
          <w:b/>
        </w:rPr>
        <w:t>до 20 числа месяца</w:t>
      </w:r>
      <w:r>
        <w:rPr>
          <w:rFonts w:ascii="Times New Roman" w:hAnsi="Times New Roman" w:cs="Times New Roman"/>
        </w:rPr>
        <w:t xml:space="preserve">, следующего за отчетным полугодием; </w:t>
      </w:r>
      <w:bookmarkStart w:id="41" w:name="sub_783"/>
      <w:bookmarkEnd w:id="40"/>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ежегодно - </w:t>
      </w:r>
      <w:r>
        <w:rPr>
          <w:rFonts w:ascii="Times New Roman" w:hAnsi="Times New Roman" w:cs="Times New Roman"/>
          <w:b/>
        </w:rPr>
        <w:t>до 1 марта года</w:t>
      </w:r>
      <w:r>
        <w:rPr>
          <w:rFonts w:ascii="Times New Roman" w:hAnsi="Times New Roman" w:cs="Times New Roman"/>
        </w:rPr>
        <w:t xml:space="preserve">, следующего за отчетным годом. </w:t>
      </w:r>
      <w:bookmarkStart w:id="42" w:name="sub_713"/>
      <w:bookmarkEnd w:id="41"/>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7.7. В рамках представления сведений об использовании бюджетных ассигнований бюджета города Канаш на реализацию основных мероприятий (мероприятий) подпрограмм необходимо указать следующие сведения:</w:t>
      </w:r>
      <w:bookmarkEnd w:id="42"/>
    </w:p>
    <w:p>
      <w:pPr>
        <w:ind w:firstLine="708"/>
        <w:rPr>
          <w:rFonts w:ascii="Times New Roman" w:hAnsi="Times New Roman" w:cs="Times New Roman"/>
        </w:rPr>
      </w:pPr>
      <w:r>
        <w:rPr>
          <w:rFonts w:ascii="Times New Roman" w:hAnsi="Times New Roman" w:cs="Times New Roman"/>
        </w:rPr>
        <w:t xml:space="preserve">запланированные объемы бюджетных ассигнований за счет средств бюджета города Канаш на текущий год; </w:t>
      </w:r>
      <w:bookmarkStart w:id="43" w:name="sub_713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фактические расходы за отчетный год; </w:t>
      </w:r>
      <w:bookmarkEnd w:id="4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предложения по корректировке объема бюджетных ассигнований за счет средств бюджета города Канаш с обоснованием и оценкой их планируемого влияния на эффективность реализации муниципальной программы. </w:t>
      </w:r>
      <w:bookmarkStart w:id="44" w:name="sub_71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7.8. Предложения по дальнейшей реализации муниципальной программы и их обоснование должны включать оценку необходимости корректировки муниципальной программы. </w:t>
      </w:r>
      <w:bookmarkEnd w:id="44"/>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7.9. Титульный лист к годовому отчету должен содержать следующую информацию: </w:t>
      </w:r>
      <w:r>
        <w:rPr>
          <w:rFonts w:ascii="Times New Roman" w:hAnsi="Times New Roman" w:cs="Times New Roman"/>
        </w:rPr>
        <w:tab/>
        <w:t xml:space="preserve">наименование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наименование ответственного исполнителя;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отчетный год;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дата составления годового отчета; </w:t>
      </w:r>
      <w:bookmarkStart w:id="45" w:name="sub_715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должность, фамилия, имя, отчество (последнее - при наличии), номер телефона и электронный адрес непосредственного исполнителя. </w:t>
      </w:r>
      <w:bookmarkEnd w:id="45"/>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Титульный лист подписывается руководителем структурного подразделения администрации города Канаш - ответственного исполнителя муниципальной программы или его заместителем.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7.10. Отдел экономики и имущественных отношений ежегодно </w:t>
      </w:r>
      <w:r>
        <w:rPr>
          <w:rFonts w:ascii="Times New Roman" w:hAnsi="Times New Roman" w:cs="Times New Roman"/>
          <w:b/>
        </w:rPr>
        <w:t>до 10 марта года</w:t>
      </w:r>
      <w:r>
        <w:rPr>
          <w:rFonts w:ascii="Times New Roman" w:hAnsi="Times New Roman" w:cs="Times New Roman"/>
        </w:rPr>
        <w:t xml:space="preserve">, следующего за отчетным, разрабатывает и представляет на согласование в финансовый отдел сводный годовой доклад о ходе реализации и об оценке эффективности муниципальных программ (далее - сводный годовой доклад), который содержит: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сведения об основных результатах реализации муниципальных программ за отчетный период;</w:t>
      </w:r>
      <w:bookmarkStart w:id="46" w:name="sub_716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сведения о степени соответствия установленных и достигнутых целевых показателей (индикаторов) муниципальных программ за отчетный год; </w:t>
      </w:r>
      <w:bookmarkEnd w:id="4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сведения о выполнении расходных обязательств города Канаш, связанных с реализацией муниципальных 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оценку деятельности ответственных исполнителей в части, касающейся реализации муниципальных 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при необходимости - предложения об изменении форм и методов управления реализацией муниципальной программы, о сокращении (увеличении) финансирования и (или) досрочном </w:t>
      </w:r>
      <w:r>
        <w:rPr>
          <w:rFonts w:ascii="Times New Roman" w:hAnsi="Times New Roman" w:cs="Times New Roman"/>
        </w:rPr>
        <w:lastRenderedPageBreak/>
        <w:t xml:space="preserve">прекращении основных мероприятий (мероприятий) или муниципальной программы в целом. </w:t>
      </w:r>
      <w:r>
        <w:rPr>
          <w:rFonts w:ascii="Times New Roman" w:hAnsi="Times New Roman" w:cs="Times New Roman"/>
        </w:rPr>
        <w:tab/>
        <w:t xml:space="preserve">Финансовый отдел использует сводный годовой доклад при формировании материалов к проекту решения Собрания депутатов города Канаш Чувашской Республики об исполнении бюджета города Канаш за отчетный финансовый год.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Согласованный с финансовым отделом администрации города Канаш сводный годовой доклад ежегодно в срок </w:t>
      </w:r>
      <w:r>
        <w:rPr>
          <w:rFonts w:ascii="Times New Roman" w:hAnsi="Times New Roman" w:cs="Times New Roman"/>
          <w:b/>
        </w:rPr>
        <w:t>до 15 марта года</w:t>
      </w:r>
      <w:r>
        <w:rPr>
          <w:rFonts w:ascii="Times New Roman" w:hAnsi="Times New Roman" w:cs="Times New Roman"/>
        </w:rPr>
        <w:t xml:space="preserve">, следующего за отчетным, отдел экономики и имущественных отношений представляет главе администрации города Канаш. </w:t>
      </w:r>
      <w:bookmarkStart w:id="47" w:name="sub_7162"/>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Уточненный сводный годовой доклад отдел экономики и имущественных отношений представляет </w:t>
      </w:r>
      <w:bookmarkStart w:id="48" w:name="sub_717"/>
      <w:bookmarkEnd w:id="47"/>
      <w:r>
        <w:rPr>
          <w:rFonts w:ascii="Times New Roman" w:hAnsi="Times New Roman" w:cs="Times New Roman"/>
        </w:rPr>
        <w:t xml:space="preserve">главе администрации города Канаш в срок </w:t>
      </w:r>
      <w:r>
        <w:rPr>
          <w:rFonts w:ascii="Times New Roman" w:hAnsi="Times New Roman" w:cs="Times New Roman"/>
          <w:b/>
        </w:rPr>
        <w:t>до 1 сентября года</w:t>
      </w:r>
      <w:r>
        <w:rPr>
          <w:rFonts w:ascii="Times New Roman" w:hAnsi="Times New Roman" w:cs="Times New Roman"/>
        </w:rPr>
        <w:t xml:space="preserve">, следующего за отчетным.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7.11. Годовой отчет подлежит размещению на официальном сайте администрации города Канаш в информационно-телекоммуникационной сети «Интернет». </w:t>
      </w:r>
      <w:r>
        <w:rPr>
          <w:rFonts w:ascii="Times New Roman" w:hAnsi="Times New Roman" w:cs="Times New Roman"/>
        </w:rPr>
        <w:tab/>
      </w:r>
      <w:r>
        <w:rPr>
          <w:rFonts w:ascii="Times New Roman" w:hAnsi="Times New Roman" w:cs="Times New Roman"/>
        </w:rPr>
        <w:tab/>
        <w:t xml:space="preserve">  </w:t>
      </w:r>
      <w:bookmarkStart w:id="49" w:name="sub_718"/>
      <w:bookmarkEnd w:id="48"/>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7.12. В целях контроля реализации муниципальных программ отдел экономики и имущественных отношений один раз в полугодие осуществляет мониторинг реализации муниципальных программ ответственным исполнителем и соисполнителями. </w:t>
      </w:r>
      <w:bookmarkStart w:id="50" w:name="sub_719"/>
      <w:bookmarkEnd w:id="49"/>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7.13. Финансовый отдел представляет в отдел экономики и имущественных отношений информацию, необходимую для проведения мониторинга реализации муниципальных программ в части их финансового обеспечения. </w:t>
      </w:r>
      <w:bookmarkStart w:id="51" w:name="sub_722"/>
      <w:bookmarkEnd w:id="50"/>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7.14. По поручению главы администрации города Канаш годовой доклад ответственного исполнителя заслушивается на заседании администрации города Канаш. </w:t>
      </w:r>
      <w:bookmarkEnd w:id="51"/>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7.15. Руководители структурных подразделений администрации города Канаш - ответственных исполнителей, соисполнителей и участников муниципальной программы несут персональную ответственность за недостижение целевых показателей (индикаторов) муниципальной программы.</w:t>
      </w:r>
      <w:bookmarkStart w:id="52" w:name="sub_611"/>
    </w:p>
    <w:bookmarkEnd w:id="52"/>
    <w:p>
      <w:pPr>
        <w:pStyle w:val="1"/>
        <w:rPr>
          <w:rFonts w:ascii="Times New Roman" w:hAnsi="Times New Roman" w:cs="Times New Roman"/>
        </w:rPr>
      </w:pPr>
      <w:r>
        <w:rPr>
          <w:rFonts w:ascii="Times New Roman" w:hAnsi="Times New Roman" w:cs="Times New Roman"/>
        </w:rPr>
        <w:t>8. Подготовка сводного годового отчета о ходе реализации и оценке эффективности муниципальных программ</w:t>
      </w:r>
    </w:p>
    <w:p>
      <w:pPr>
        <w:ind w:firstLine="708"/>
        <w:rPr>
          <w:rFonts w:ascii="Times New Roman" w:hAnsi="Times New Roman" w:cs="Times New Roman"/>
        </w:rPr>
      </w:pPr>
      <w:r>
        <w:rPr>
          <w:rFonts w:ascii="Times New Roman" w:hAnsi="Times New Roman" w:cs="Times New Roman"/>
        </w:rPr>
        <w:t xml:space="preserve">8.1. Отдел экономики и имущественных отношений готовит сводный годовой отчет о ходе реализации и оценке эффективности муниципальных программ в течение одного месяца со дня получения от ответственного исполнителя годового отчета и оценки эффективности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8.2. Финансовый отдел в срок </w:t>
      </w:r>
      <w:r>
        <w:rPr>
          <w:rFonts w:ascii="Times New Roman" w:hAnsi="Times New Roman" w:cs="Times New Roman"/>
          <w:b/>
        </w:rPr>
        <w:t>до 1 марта года</w:t>
      </w:r>
      <w:r>
        <w:rPr>
          <w:rFonts w:ascii="Times New Roman" w:hAnsi="Times New Roman" w:cs="Times New Roman"/>
        </w:rPr>
        <w:t xml:space="preserve">, следующего за отчетным годом, представляет в отдел экономики и имущественных отношений информацию о кассовых расходах бюджета города Канаш на реализацию 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8.3. Отдел экономики и имущественных отношений ежегодно, </w:t>
      </w:r>
      <w:r>
        <w:rPr>
          <w:rFonts w:ascii="Times New Roman" w:hAnsi="Times New Roman" w:cs="Times New Roman"/>
          <w:b/>
        </w:rPr>
        <w:t>до 15 апреля года</w:t>
      </w:r>
      <w:r>
        <w:rPr>
          <w:rFonts w:ascii="Times New Roman" w:hAnsi="Times New Roman" w:cs="Times New Roman"/>
        </w:rPr>
        <w:t xml:space="preserve">, следующего за отчетным годом, разрабатывает и представляет в финансовый отдел на согласование сводный годовой отчет о ходе реализации и оценке эффективности муниципальных программ, который содержит: </w:t>
      </w:r>
      <w:bookmarkStart w:id="53" w:name="sub_100015"/>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а) сведения об основных результатах реализации муниципальных программ за отчетный год; </w:t>
      </w:r>
      <w:bookmarkStart w:id="54" w:name="sub_100016"/>
      <w:bookmarkEnd w:id="53"/>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б) сведения о степени соответствия установленных и достигнутых целевых показателей (индикаторов) муниципальных программ за отчетный год; </w:t>
      </w:r>
      <w:bookmarkStart w:id="55" w:name="sub_100017"/>
      <w:bookmarkEnd w:id="5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в) сведения о выполнении расходных обязательств города Канаш, связанных с реализацией муниципальных программ; </w:t>
      </w:r>
      <w:bookmarkStart w:id="56" w:name="sub_100018"/>
      <w:bookmarkEnd w:id="55"/>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г) оценку деятельности ответственных исполнителей в части, касающейся реализации муниципальных программ; </w:t>
      </w:r>
      <w:bookmarkStart w:id="57" w:name="sub_100019"/>
      <w:bookmarkEnd w:id="56"/>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д) при необходимости - предложения об изменении форм и методов управления реализацией муниципальной программы, о сокращении (увеличении) финансирования и (или) досрочном прекращении основных мероприятий (мероприятий) или муниципальной программы в целом. </w:t>
      </w:r>
      <w:bookmarkEnd w:id="57"/>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8.3. Отдел экономики и имущественных отношений представляет </w:t>
      </w:r>
      <w:proofErr w:type="gramStart"/>
      <w:r>
        <w:rPr>
          <w:rFonts w:ascii="Times New Roman" w:hAnsi="Times New Roman" w:cs="Times New Roman"/>
        </w:rPr>
        <w:t>главе администрации города Канаш</w:t>
      </w:r>
      <w:proofErr w:type="gramEnd"/>
      <w:r>
        <w:rPr>
          <w:rFonts w:ascii="Times New Roman" w:hAnsi="Times New Roman" w:cs="Times New Roman"/>
        </w:rPr>
        <w:t xml:space="preserve"> согласованный с финансовым отделом администрации города Канаш </w:t>
      </w:r>
      <w:r>
        <w:rPr>
          <w:rFonts w:ascii="Times New Roman" w:hAnsi="Times New Roman" w:cs="Times New Roman"/>
        </w:rPr>
        <w:lastRenderedPageBreak/>
        <w:t xml:space="preserve">сводный годовой отчет ежегодно в срок </w:t>
      </w:r>
      <w:r>
        <w:rPr>
          <w:rFonts w:ascii="Times New Roman" w:hAnsi="Times New Roman" w:cs="Times New Roman"/>
          <w:b/>
        </w:rPr>
        <w:t>до 1 мая года</w:t>
      </w:r>
      <w:r>
        <w:rPr>
          <w:rFonts w:ascii="Times New Roman" w:hAnsi="Times New Roman" w:cs="Times New Roman"/>
        </w:rPr>
        <w:t xml:space="preserve">, следующего за отчетным.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В срок до 1 сентября года, следующего за отчетным, отдел экономики и имущественных </w:t>
      </w:r>
      <w:proofErr w:type="gramStart"/>
      <w:r>
        <w:rPr>
          <w:rFonts w:ascii="Times New Roman" w:hAnsi="Times New Roman" w:cs="Times New Roman"/>
        </w:rPr>
        <w:t>отношений  администрации</w:t>
      </w:r>
      <w:proofErr w:type="gramEnd"/>
      <w:r>
        <w:rPr>
          <w:rFonts w:ascii="Times New Roman" w:hAnsi="Times New Roman" w:cs="Times New Roman"/>
        </w:rPr>
        <w:t xml:space="preserve"> города Канаш представляет главе администрации города Канаш уточненный сводный годовой отчет.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8.4. Сводный годовой отчет о ходе реализации и оценке эффективности муниципальных программ подлежит размещению на официальном сайте города Канаш в информационно-телекоммуникационной сети «Интернет».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8.5. По результатам оценки эффективности реализации муниципальных программ глава администрации города Канаш может принять решение об изменении форм и методов управления реализацией Программы, о сокращении (увеличении) объемов финансирования и (или) досрочном прекращении отдельных мероприятий или Программы в целом, начиная с очередного финансового года. </w:t>
      </w:r>
    </w:p>
    <w:p>
      <w:pPr>
        <w:pStyle w:val="1"/>
        <w:jc w:val="both"/>
        <w:rPr>
          <w:rFonts w:ascii="Times New Roman" w:hAnsi="Times New Roman" w:cs="Times New Roman"/>
        </w:rPr>
      </w:pPr>
      <w:bookmarkStart w:id="58" w:name="sub_1008"/>
      <w:r>
        <w:rPr>
          <w:rFonts w:ascii="Times New Roman" w:hAnsi="Times New Roman" w:cs="Times New Roman"/>
          <w:lang w:val="en-US"/>
        </w:rPr>
        <w:t>IX</w:t>
      </w:r>
      <w:r>
        <w:rPr>
          <w:rFonts w:ascii="Times New Roman" w:hAnsi="Times New Roman" w:cs="Times New Roman"/>
        </w:rPr>
        <w:t xml:space="preserve">. Полномочия ответственного исполнителя, соисполнителей и участников муниципальной программы при разработке и реализации </w:t>
      </w:r>
      <w:proofErr w:type="gramStart"/>
      <w:r>
        <w:rPr>
          <w:rFonts w:ascii="Times New Roman" w:hAnsi="Times New Roman" w:cs="Times New Roman"/>
        </w:rPr>
        <w:t>муниципальных  программ</w:t>
      </w:r>
      <w:proofErr w:type="gramEnd"/>
    </w:p>
    <w:bookmarkEnd w:id="58"/>
    <w:p>
      <w:pPr>
        <w:ind w:firstLine="708"/>
        <w:rPr>
          <w:rFonts w:ascii="Times New Roman" w:hAnsi="Times New Roman" w:cs="Times New Roman"/>
        </w:rPr>
      </w:pPr>
      <w:r>
        <w:rPr>
          <w:rFonts w:ascii="Times New Roman" w:hAnsi="Times New Roman" w:cs="Times New Roman"/>
        </w:rPr>
        <w:t xml:space="preserve">9.1. Ответственный исполнитель: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обеспечивает разработку муниципальной программы, ее согласование с соисполнителями и участниками муниципальной программы и утверждение в соответствии с положениями настоящего Порядка;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формирует структуру муниципальной программы, а также перечень соисполнителей и участников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организует реализацию муниципальной программы, принимает решение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показателей (индикаторов) муниципальной программы, а также конечных результатов ее реализации;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предоставляет по запросу отдела экономики и имущественных отношений и финансового отдела сведения, необходимые для проведения мониторинга реализации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запрашивает у соисполнителей и участников муниципальной программы информацию, необходимую для подготовки ответов на запросы отдела экономики и имущественных отношений  администрации города Канаш и финансового отдела;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проводит оценку эффективности реализации муниципальной программы, подпрограмм, основных мероприятий (мероприятий), осуществляемых соисполнителями и участниками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запрашивает у соисполнителей и участников муниципальной программы информацию, необходимую для проведения оценки эффективности муниципальной программы, подготовки годового отчета и годового доклада;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рекомендует соисполнителям осуществить разработку основных мероприятий (мероприятий) и планов;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подготавливает и представляет в отдел экономики и имущественных отношений годовой отчет и годовой доклад;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несет ответственность за качество и достоверность информации, содержащейся в годовом отчете и годовом докладе.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9.2. Соисполнители: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обеспечивают разработку и реализацию подпрограммы (подпрограмм), согласование проекта муниципальной программы с участниками муниципальной программы в части соответствующей подпрограммы, в реализации которой предполагается их участие;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осуществляют реализацию основных мероприятий (мероприятий) подпрограмм в рамках своей компетенции;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запрашивают у участников муниципальной программы информацию, необходимую для подготовки ответов на запросы ответственного исполнителя, а также информацию, необходимую для проведения оценки </w:t>
      </w:r>
      <w:r>
        <w:rPr>
          <w:rFonts w:ascii="Times New Roman" w:hAnsi="Times New Roman" w:cs="Times New Roman"/>
        </w:rPr>
        <w:lastRenderedPageBreak/>
        <w:t xml:space="preserve">эффективности муниципальной программы, подготовки годового отчета и годового доклада;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ind w:firstLine="708"/>
        <w:rPr>
          <w:rFonts w:ascii="Times New Roman" w:hAnsi="Times New Roman" w:cs="Times New Roman"/>
        </w:rPr>
      </w:pPr>
      <w:r>
        <w:rPr>
          <w:rFonts w:ascii="Times New Roman" w:hAnsi="Times New Roman" w:cs="Times New Roman"/>
        </w:rPr>
        <w:t xml:space="preserve">- представляют в установленный срок ответственному исполнителю необходимую информацию для подготовки ответов на запросы отдела экономики и имущественных отношений и финансового отдела, а также отчет о ходе реализации основных мероприятий (мероприятий) подпрограмм;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информацию, необходимую для проведения оценки эффективности муниципальной программы, подготовки годового отчета;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основных мероприятий (мероприятий) подпрограмм. </w:t>
      </w:r>
      <w:r>
        <w:rPr>
          <w:rFonts w:ascii="Times New Roman" w:hAnsi="Times New Roman" w:cs="Times New Roman"/>
        </w:rPr>
        <w:tab/>
      </w:r>
      <w:r>
        <w:rPr>
          <w:rFonts w:ascii="Times New Roman" w:hAnsi="Times New Roman" w:cs="Times New Roman"/>
        </w:rPr>
        <w:tab/>
        <w:t xml:space="preserve">9.3. Участники муниципальной программы: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осуществляют реализацию основных мероприятий (мероприятий) подпрограмм в рамках своей компетенции;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и соисполнителю предложения при разработке муниципальной программы в части основных мероприятий (мероприятий) подпрограмм, в реализации которых предполагается их участие;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и соисполнителю необходимую информацию для подготовки ответов на запросы отдела экономики и имущественных отношений и финансового отдела, а также отчет о ходе реализации основных мероприятий (мероприятий) подпрограмм; </w:t>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и соисполнителю информацию, необходимую для проведения оценки эффективности муниципальной программы, подготовки годового отчета;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представляют ответственному исполнителю и соисполнителю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основных мероприятий (мероприятий) подпрограмм.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9.4. Ответственный исполнитель, соисполнители, участники муниципальной программы представляют по запросу отдела экономики и имущественных отношений дополнительную (уточненную) информацию о ходе реализации муниципальной программы.</w:t>
      </w:r>
    </w:p>
    <w:p>
      <w:pPr>
        <w:rPr>
          <w:rFonts w:ascii="Times New Roman" w:hAnsi="Times New Roman" w:cs="Times New Roman"/>
          <w:color w:val="000000" w:themeColor="text1"/>
        </w:rPr>
      </w:pPr>
    </w:p>
    <w:p>
      <w:pPr>
        <w:widowControl/>
        <w:autoSpaceDE/>
        <w:autoSpaceDN/>
        <w:adjustRightInd/>
        <w:spacing w:after="160" w:line="259" w:lineRule="auto"/>
        <w:ind w:firstLine="0"/>
        <w:jc w:val="left"/>
        <w:rPr>
          <w:rFonts w:ascii="Times New Roman" w:hAnsi="Times New Roman" w:cs="Times New Roman"/>
          <w:color w:val="000000" w:themeColor="text1"/>
        </w:rPr>
      </w:pPr>
      <w:r>
        <w:rPr>
          <w:rFonts w:ascii="Times New Roman" w:hAnsi="Times New Roman" w:cs="Times New Roman"/>
          <w:color w:val="000000" w:themeColor="text1"/>
        </w:rPr>
        <w:br w:type="page"/>
      </w:r>
    </w:p>
    <w:p>
      <w:pPr>
        <w:jc w:val="right"/>
        <w:rPr>
          <w:rStyle w:val="a3"/>
          <w:rFonts w:ascii="Times New Roman" w:hAnsi="Times New Roman" w:cs="Times New Roman"/>
          <w:bCs/>
          <w:color w:val="auto"/>
        </w:rPr>
      </w:pPr>
      <w:bookmarkStart w:id="59" w:name="sub_10000"/>
      <w:r>
        <w:rPr>
          <w:rStyle w:val="a3"/>
          <w:rFonts w:ascii="Times New Roman" w:hAnsi="Times New Roman" w:cs="Times New Roman"/>
          <w:bCs/>
          <w:color w:val="auto"/>
        </w:rPr>
        <w:lastRenderedPageBreak/>
        <w:t>Утверждена</w:t>
      </w:r>
      <w:r>
        <w:rPr>
          <w:rStyle w:val="a3"/>
          <w:rFonts w:ascii="Times New Roman" w:hAnsi="Times New Roman" w:cs="Times New Roman"/>
          <w:bCs/>
          <w:color w:val="auto"/>
        </w:rPr>
        <w:br/>
      </w:r>
      <w:hyperlink w:anchor="sub_0" w:history="1">
        <w:r>
          <w:rPr>
            <w:rStyle w:val="a4"/>
            <w:rFonts w:ascii="Times New Roman" w:hAnsi="Times New Roman"/>
            <w:b/>
            <w:color w:val="auto"/>
          </w:rPr>
          <w:t>постановлением</w:t>
        </w:r>
      </w:hyperlink>
      <w:r>
        <w:rPr>
          <w:rStyle w:val="a3"/>
          <w:rFonts w:ascii="Times New Roman" w:hAnsi="Times New Roman" w:cs="Times New Roman"/>
          <w:bCs/>
          <w:color w:val="auto"/>
        </w:rPr>
        <w:t xml:space="preserve"> администрации</w:t>
      </w:r>
    </w:p>
    <w:p>
      <w:pPr>
        <w:jc w:val="right"/>
        <w:rPr>
          <w:rStyle w:val="a3"/>
          <w:rFonts w:ascii="Times New Roman" w:hAnsi="Times New Roman" w:cs="Times New Roman"/>
          <w:bCs/>
          <w:color w:val="auto"/>
        </w:rPr>
      </w:pPr>
      <w:r>
        <w:rPr>
          <w:rStyle w:val="a3"/>
          <w:rFonts w:ascii="Times New Roman" w:hAnsi="Times New Roman" w:cs="Times New Roman"/>
          <w:bCs/>
          <w:color w:val="auto"/>
        </w:rPr>
        <w:t>города Канаш</w:t>
      </w:r>
      <w:r>
        <w:rPr>
          <w:rStyle w:val="a3"/>
          <w:rFonts w:ascii="Times New Roman" w:hAnsi="Times New Roman" w:cs="Times New Roman"/>
          <w:bCs/>
          <w:color w:val="auto"/>
        </w:rPr>
        <w:br/>
        <w:t>Чувашской Республики</w:t>
      </w:r>
      <w:r>
        <w:rPr>
          <w:rStyle w:val="a3"/>
          <w:rFonts w:ascii="Times New Roman" w:hAnsi="Times New Roman" w:cs="Times New Roman"/>
          <w:bCs/>
          <w:color w:val="auto"/>
        </w:rPr>
        <w:br/>
        <w:t xml:space="preserve">                              </w:t>
      </w:r>
      <w:r>
        <w:rPr>
          <w:rStyle w:val="a3"/>
          <w:rFonts w:ascii="Times New Roman" w:hAnsi="Times New Roman" w:cs="Times New Roman"/>
          <w:bCs/>
          <w:color w:val="auto"/>
        </w:rPr>
        <w:tab/>
      </w:r>
      <w:r>
        <w:rPr>
          <w:rStyle w:val="a3"/>
          <w:rFonts w:ascii="Times New Roman" w:hAnsi="Times New Roman" w:cs="Times New Roman"/>
          <w:bCs/>
          <w:color w:val="auto"/>
        </w:rPr>
        <w:tab/>
      </w:r>
      <w:r>
        <w:rPr>
          <w:rStyle w:val="a3"/>
          <w:rFonts w:ascii="Times New Roman" w:hAnsi="Times New Roman" w:cs="Times New Roman"/>
          <w:bCs/>
          <w:color w:val="auto"/>
        </w:rPr>
        <w:tab/>
      </w:r>
      <w:r>
        <w:rPr>
          <w:rStyle w:val="a3"/>
          <w:rFonts w:ascii="Times New Roman" w:hAnsi="Times New Roman" w:cs="Times New Roman"/>
          <w:bCs/>
          <w:color w:val="auto"/>
        </w:rPr>
        <w:tab/>
      </w:r>
      <w:r>
        <w:rPr>
          <w:rStyle w:val="a3"/>
          <w:rFonts w:ascii="Times New Roman" w:hAnsi="Times New Roman" w:cs="Times New Roman"/>
          <w:bCs/>
          <w:color w:val="auto"/>
        </w:rPr>
        <w:tab/>
        <w:t xml:space="preserve"> от _______ г.   №_____    </w:t>
      </w:r>
    </w:p>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Муниципальная программа</w:t>
      </w:r>
    </w:p>
    <w:p>
      <w:pPr>
        <w:pStyle w:val="1"/>
        <w:rPr>
          <w:rFonts w:ascii="Times New Roman" w:hAnsi="Times New Roman" w:cs="Times New Roman"/>
          <w:color w:val="auto"/>
        </w:rPr>
      </w:pPr>
      <w:r>
        <w:rPr>
          <w:rFonts w:ascii="Times New Roman" w:hAnsi="Times New Roman" w:cs="Times New Roman"/>
          <w:color w:val="auto"/>
        </w:rPr>
        <w:br/>
      </w:r>
      <w:r>
        <w:rPr>
          <w:rFonts w:ascii="Times New Roman" w:hAnsi="Times New Roman" w:cs="Times New Roman"/>
          <w:b w:val="0"/>
          <w:color w:val="auto"/>
        </w:rPr>
        <w:t>города Канаш Чувашской Республики__</w:t>
      </w:r>
      <w:r>
        <w:rPr>
          <w:rFonts w:ascii="Times New Roman" w:hAnsi="Times New Roman" w:cs="Times New Roman"/>
          <w:color w:val="auto"/>
        </w:rPr>
        <w:t>_________________________________________________</w:t>
      </w:r>
    </w:p>
    <w:p>
      <w:pPr>
        <w:rPr>
          <w:rFonts w:ascii="Times New Roman" w:hAnsi="Times New Roman" w:cs="Times New Roman"/>
        </w:rPr>
      </w:pPr>
    </w:p>
    <w:tbl>
      <w:tblPr>
        <w:tblW w:w="1742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6"/>
        <w:gridCol w:w="703"/>
        <w:gridCol w:w="6519"/>
      </w:tblGrid>
      <w:tr>
        <w:tblPrEx>
          <w:tblCellMar>
            <w:top w:w="0" w:type="dxa"/>
            <w:bottom w:w="0" w:type="dxa"/>
          </w:tblCellMar>
        </w:tblPrEx>
        <w:tc>
          <w:tcPr>
            <w:tcW w:w="10206" w:type="dxa"/>
            <w:tcBorders>
              <w:top w:val="nil"/>
              <w:left w:val="nil"/>
              <w:bottom w:val="nil"/>
              <w:right w:val="nil"/>
            </w:tcBorders>
          </w:tcPr>
          <w:p>
            <w:pPr>
              <w:pStyle w:val="a9"/>
              <w:rPr>
                <w:rFonts w:ascii="Times New Roman" w:hAnsi="Times New Roman" w:cs="Times New Roman"/>
              </w:rPr>
            </w:pPr>
          </w:p>
          <w:p>
            <w:pPr>
              <w:pStyle w:val="a9"/>
              <w:ind w:right="-7486"/>
              <w:rPr>
                <w:rFonts w:ascii="Times New Roman" w:hAnsi="Times New Roman" w:cs="Times New Roman"/>
              </w:rPr>
            </w:pPr>
            <w:r>
              <w:rPr>
                <w:rFonts w:ascii="Times New Roman" w:hAnsi="Times New Roman" w:cs="Times New Roman"/>
              </w:rPr>
              <w:t>Ответственный исполнитель________________________________________________________________</w:t>
            </w:r>
          </w:p>
        </w:tc>
        <w:tc>
          <w:tcPr>
            <w:tcW w:w="703" w:type="dxa"/>
            <w:tcBorders>
              <w:top w:val="nil"/>
              <w:left w:val="nil"/>
              <w:bottom w:val="nil"/>
              <w:right w:val="nil"/>
            </w:tcBorders>
          </w:tcPr>
          <w:p>
            <w:pPr>
              <w:pStyle w:val="a7"/>
              <w:ind w:left="-101" w:firstLine="101"/>
              <w:rPr>
                <w:rFonts w:ascii="Times New Roman" w:hAnsi="Times New Roman" w:cs="Times New Roman"/>
              </w:rPr>
            </w:pPr>
          </w:p>
        </w:tc>
        <w:tc>
          <w:tcPr>
            <w:tcW w:w="6519" w:type="dxa"/>
            <w:tcBorders>
              <w:top w:val="nil"/>
              <w:left w:val="nil"/>
              <w:bottom w:val="nil"/>
              <w:right w:val="nil"/>
            </w:tcBorders>
          </w:tcPr>
          <w:p>
            <w:pPr>
              <w:pStyle w:val="a9"/>
              <w:rPr>
                <w:rFonts w:ascii="Times New Roman" w:hAnsi="Times New Roman" w:cs="Times New Roman"/>
              </w:rPr>
            </w:pPr>
          </w:p>
        </w:tc>
      </w:tr>
    </w:tbl>
    <w:p>
      <w:pPr>
        <w:jc w:val="right"/>
        <w:rPr>
          <w:rStyle w:val="a3"/>
          <w:rFonts w:ascii="Times New Roman" w:hAnsi="Times New Roman" w:cs="Times New Roman"/>
          <w:bCs/>
          <w:color w:val="auto"/>
        </w:rPr>
      </w:pPr>
    </w:p>
    <w:p>
      <w:pPr>
        <w:jc w:val="right"/>
        <w:rPr>
          <w:rStyle w:val="a3"/>
          <w:rFonts w:ascii="Times New Roman" w:hAnsi="Times New Roman" w:cs="Times New Roman"/>
          <w:bCs/>
          <w:color w:val="auto"/>
        </w:rPr>
      </w:pPr>
    </w:p>
    <w:p>
      <w:pPr>
        <w:ind w:firstLine="0"/>
        <w:rPr>
          <w:rFonts w:ascii="Times New Roman" w:hAnsi="Times New Roman" w:cs="Times New Roman"/>
        </w:rPr>
      </w:pPr>
      <w:r>
        <w:rPr>
          <w:rFonts w:ascii="Times New Roman" w:hAnsi="Times New Roman" w:cs="Times New Roman"/>
        </w:rPr>
        <w:t xml:space="preserve"> Дата составления проекта </w:t>
      </w:r>
    </w:p>
    <w:p>
      <w:pPr>
        <w:ind w:firstLine="0"/>
        <w:rPr>
          <w:rFonts w:ascii="Times New Roman" w:hAnsi="Times New Roman" w:cs="Times New Roman"/>
        </w:rPr>
      </w:pPr>
      <w:r>
        <w:rPr>
          <w:rFonts w:ascii="Times New Roman" w:hAnsi="Times New Roman" w:cs="Times New Roman"/>
        </w:rPr>
        <w:t xml:space="preserve"> муниципальной программы____________________________________________________________</w:t>
      </w:r>
    </w:p>
    <w:p>
      <w:pPr>
        <w:ind w:firstLine="0"/>
        <w:rPr>
          <w:rFonts w:ascii="Times New Roman" w:hAnsi="Times New Roman" w:cs="Times New Roman"/>
        </w:rPr>
      </w:pPr>
    </w:p>
    <w:p>
      <w:pPr>
        <w:ind w:left="142" w:firstLine="0"/>
        <w:rPr>
          <w:rFonts w:ascii="Times New Roman" w:hAnsi="Times New Roman" w:cs="Times New Roman"/>
        </w:rPr>
      </w:pPr>
      <w:bookmarkStart w:id="60" w:name="sub_245"/>
      <w:r>
        <w:rPr>
          <w:rFonts w:ascii="Times New Roman" w:hAnsi="Times New Roman" w:cs="Times New Roman"/>
        </w:rPr>
        <w:t xml:space="preserve">Должность, фамилия, имя, отчество, </w:t>
      </w:r>
    </w:p>
    <w:p>
      <w:pPr>
        <w:ind w:left="142" w:firstLine="0"/>
        <w:rPr>
          <w:rFonts w:ascii="Times New Roman" w:hAnsi="Times New Roman" w:cs="Times New Roman"/>
        </w:rPr>
      </w:pPr>
      <w:r>
        <w:rPr>
          <w:rFonts w:ascii="Times New Roman" w:hAnsi="Times New Roman" w:cs="Times New Roman"/>
        </w:rPr>
        <w:t xml:space="preserve">номер телефона и электронный адрес </w:t>
      </w:r>
    </w:p>
    <w:p>
      <w:pPr>
        <w:ind w:left="142" w:firstLine="0"/>
        <w:rPr>
          <w:rFonts w:ascii="Times New Roman" w:hAnsi="Times New Roman" w:cs="Times New Roman"/>
        </w:rPr>
      </w:pPr>
      <w:r>
        <w:rPr>
          <w:rFonts w:ascii="Times New Roman" w:hAnsi="Times New Roman" w:cs="Times New Roman"/>
        </w:rPr>
        <w:t>непосредственного исполнителя________________________________________________________</w:t>
      </w:r>
    </w:p>
    <w:bookmarkEnd w:id="60"/>
    <w:p>
      <w:pPr>
        <w:rPr>
          <w:rFonts w:ascii="Times New Roman" w:hAnsi="Times New Roman" w:cs="Times New Roman"/>
        </w:rPr>
      </w:pPr>
    </w:p>
    <w:p>
      <w:pPr>
        <w:ind w:left="142" w:firstLine="0"/>
        <w:rPr>
          <w:rFonts w:ascii="Times New Roman" w:hAnsi="Times New Roman" w:cs="Times New Roman"/>
        </w:rPr>
      </w:pPr>
      <w:r>
        <w:rPr>
          <w:rFonts w:ascii="Times New Roman" w:hAnsi="Times New Roman" w:cs="Times New Roman"/>
        </w:rPr>
        <w:t xml:space="preserve">Руководитель структурного подразделения </w:t>
      </w:r>
    </w:p>
    <w:p>
      <w:pPr>
        <w:ind w:firstLine="0"/>
        <w:rPr>
          <w:rFonts w:ascii="Times New Roman" w:hAnsi="Times New Roman" w:cs="Times New Roman"/>
        </w:rPr>
      </w:pPr>
      <w:r>
        <w:rPr>
          <w:rFonts w:ascii="Times New Roman" w:hAnsi="Times New Roman" w:cs="Times New Roman"/>
        </w:rPr>
        <w:t xml:space="preserve"> администрации города Канаш Чувашской Республики – </w:t>
      </w:r>
    </w:p>
    <w:p>
      <w:pPr>
        <w:ind w:firstLine="142"/>
        <w:rPr>
          <w:rFonts w:ascii="Times New Roman" w:hAnsi="Times New Roman" w:cs="Times New Roman"/>
        </w:rPr>
      </w:pPr>
      <w:r>
        <w:rPr>
          <w:rFonts w:ascii="Times New Roman" w:hAnsi="Times New Roman" w:cs="Times New Roman"/>
        </w:rPr>
        <w:t>ответственного исполнителя муниципальной программы   ____________________ ФИО</w:t>
      </w:r>
    </w:p>
    <w:p>
      <w:pPr>
        <w:jc w:val="left"/>
        <w:rPr>
          <w:rStyle w:val="a3"/>
          <w:rFonts w:ascii="Times New Roman" w:hAnsi="Times New Roman" w:cs="Times New Roman"/>
          <w:b w:val="0"/>
          <w:bCs/>
          <w:color w:val="auto"/>
        </w:rPr>
      </w:pPr>
      <w:r>
        <w:rPr>
          <w:rStyle w:val="a3"/>
          <w:rFonts w:ascii="Times New Roman" w:hAnsi="Times New Roman" w:cs="Times New Roman"/>
          <w:b w:val="0"/>
          <w:bCs/>
          <w:color w:val="auto"/>
        </w:rPr>
        <w:t xml:space="preserve">                                                                подпись</w:t>
      </w:r>
    </w:p>
    <w:p>
      <w:pPr>
        <w:jc w:val="right"/>
        <w:rPr>
          <w:rStyle w:val="a3"/>
          <w:rFonts w:ascii="Times New Roman" w:hAnsi="Times New Roman" w:cs="Times New Roman"/>
          <w:bCs/>
          <w:color w:val="auto"/>
        </w:rPr>
      </w:pPr>
    </w:p>
    <w:p>
      <w:pPr>
        <w:widowControl/>
        <w:autoSpaceDE/>
        <w:autoSpaceDN/>
        <w:adjustRightInd/>
        <w:spacing w:after="160" w:line="259" w:lineRule="auto"/>
        <w:ind w:firstLine="0"/>
        <w:jc w:val="left"/>
        <w:rPr>
          <w:rStyle w:val="a3"/>
          <w:rFonts w:ascii="Times New Roman" w:hAnsi="Times New Roman" w:cs="Times New Roman"/>
          <w:bCs/>
          <w:color w:val="auto"/>
        </w:rPr>
      </w:pPr>
      <w:r>
        <w:rPr>
          <w:rStyle w:val="a3"/>
          <w:rFonts w:ascii="Times New Roman" w:hAnsi="Times New Roman" w:cs="Times New Roman"/>
          <w:bCs/>
          <w:color w:val="auto"/>
        </w:rPr>
        <w:br w:type="page"/>
      </w:r>
    </w:p>
    <w:p>
      <w:pPr>
        <w:jc w:val="right"/>
        <w:rPr>
          <w:rStyle w:val="a3"/>
          <w:rFonts w:ascii="Times New Roman" w:hAnsi="Times New Roman" w:cs="Times New Roman"/>
          <w:bCs/>
          <w:color w:val="auto"/>
        </w:rPr>
      </w:pPr>
      <w:r>
        <w:rPr>
          <w:rStyle w:val="a3"/>
          <w:rFonts w:ascii="Times New Roman" w:hAnsi="Times New Roman" w:cs="Times New Roman"/>
          <w:bCs/>
          <w:color w:val="auto"/>
        </w:rPr>
        <w:lastRenderedPageBreak/>
        <w:t>Приложение № 1</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59"/>
    <w:p>
      <w:pPr>
        <w:rPr>
          <w:rFonts w:ascii="Times New Roman" w:hAnsi="Times New Roman" w:cs="Times New Roman"/>
        </w:rPr>
      </w:pPr>
    </w:p>
    <w:p>
      <w:pPr>
        <w:pStyle w:val="1"/>
        <w:rPr>
          <w:rFonts w:ascii="Times New Roman" w:hAnsi="Times New Roman" w:cs="Times New Roman"/>
          <w:b w:val="0"/>
          <w:color w:val="auto"/>
        </w:rPr>
      </w:pPr>
      <w:r>
        <w:rPr>
          <w:rFonts w:ascii="Times New Roman" w:hAnsi="Times New Roman" w:cs="Times New Roman"/>
          <w:color w:val="auto"/>
        </w:rPr>
        <w:t>Паспорт</w:t>
      </w:r>
      <w:r>
        <w:rPr>
          <w:rFonts w:ascii="Times New Roman" w:hAnsi="Times New Roman" w:cs="Times New Roman"/>
          <w:color w:val="auto"/>
        </w:rPr>
        <w:br/>
        <w:t>муниципальной программы города Канаш Чувашской Республики «________________________________________________________»</w:t>
      </w:r>
      <w:r>
        <w:rPr>
          <w:rFonts w:ascii="Times New Roman" w:hAnsi="Times New Roman" w:cs="Times New Roman"/>
          <w:color w:val="auto"/>
        </w:rPr>
        <w:br/>
      </w:r>
      <w:r>
        <w:rPr>
          <w:rFonts w:ascii="Times New Roman" w:hAnsi="Times New Roman" w:cs="Times New Roman"/>
          <w:b w:val="0"/>
          <w:color w:val="auto"/>
        </w:rPr>
        <w:t>(наименование муниципальной программы)</w:t>
      </w:r>
    </w:p>
    <w:p>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80"/>
        <w:gridCol w:w="4340"/>
      </w:tblGrid>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Ответственный исполнитель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Соисполнители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Участники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Подпрограммы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Задачи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Целевые показатели (индикаторы)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Сроки реализации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Объем финансирования муниципальной программы с разбивкой по годам реализации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Ожидаемые результаты реализации муниципальной программы</w:t>
            </w:r>
          </w:p>
        </w:tc>
        <w:tc>
          <w:tcPr>
            <w:tcW w:w="434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jc w:val="right"/>
        <w:rPr>
          <w:rStyle w:val="a3"/>
          <w:rFonts w:ascii="Times New Roman" w:hAnsi="Times New Roman" w:cs="Times New Roman"/>
          <w:bCs/>
          <w:color w:val="auto"/>
        </w:rPr>
        <w:sectPr>
          <w:footerReference w:type="default" r:id="rId17"/>
          <w:pgSz w:w="11900" w:h="16800"/>
          <w:pgMar w:top="1134" w:right="799" w:bottom="1440" w:left="799" w:header="720" w:footer="720" w:gutter="0"/>
          <w:cols w:space="720"/>
          <w:noEndnote/>
        </w:sectPr>
      </w:pPr>
      <w:bookmarkStart w:id="61" w:name="sub_2000"/>
    </w:p>
    <w:p>
      <w:pPr>
        <w:jc w:val="right"/>
        <w:rPr>
          <w:rStyle w:val="a3"/>
          <w:rFonts w:ascii="Times New Roman" w:hAnsi="Times New Roman" w:cs="Times New Roman"/>
          <w:bCs/>
          <w:color w:val="auto"/>
        </w:rPr>
      </w:pPr>
      <w:r>
        <w:rPr>
          <w:rStyle w:val="a3"/>
          <w:rFonts w:ascii="Times New Roman" w:hAnsi="Times New Roman" w:cs="Times New Roman"/>
          <w:bCs/>
          <w:color w:val="auto"/>
        </w:rPr>
        <w:lastRenderedPageBreak/>
        <w:t>Приложение № 2</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61"/>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Сведения</w:t>
      </w:r>
      <w:r>
        <w:rPr>
          <w:rFonts w:ascii="Times New Roman" w:hAnsi="Times New Roman" w:cs="Times New Roman"/>
          <w:color w:val="auto"/>
        </w:rPr>
        <w:br/>
        <w:t>о целевых показателях (индикаторах) муниципальной программы города Канаш Чувашской Республики «____________________________________________________»</w:t>
      </w:r>
      <w:r>
        <w:rPr>
          <w:rFonts w:ascii="Times New Roman" w:hAnsi="Times New Roman" w:cs="Times New Roman"/>
          <w:color w:val="auto"/>
        </w:rPr>
        <w:br/>
      </w:r>
      <w:r>
        <w:rPr>
          <w:rFonts w:ascii="Times New Roman" w:hAnsi="Times New Roman" w:cs="Times New Roman"/>
          <w:b w:val="0"/>
          <w:color w:val="auto"/>
        </w:rPr>
        <w:t>(наименование муниципальной программы)</w:t>
      </w:r>
      <w:r>
        <w:rPr>
          <w:rFonts w:ascii="Times New Roman" w:hAnsi="Times New Roman" w:cs="Times New Roman"/>
          <w:b w:val="0"/>
          <w:color w:val="auto"/>
        </w:rPr>
        <w:br/>
        <w:t>подпрограмм муниципальной программы и их значениях</w:t>
      </w:r>
    </w:p>
    <w:p>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394"/>
        <w:gridCol w:w="1276"/>
        <w:gridCol w:w="1276"/>
        <w:gridCol w:w="1843"/>
        <w:gridCol w:w="1842"/>
        <w:gridCol w:w="1560"/>
        <w:gridCol w:w="1275"/>
      </w:tblGrid>
      <w:tr>
        <w:tblPrEx>
          <w:tblCellMar>
            <w:top w:w="0" w:type="dxa"/>
            <w:bottom w:w="0" w:type="dxa"/>
          </w:tblCellMar>
        </w:tblPrEx>
        <w:tc>
          <w:tcPr>
            <w:tcW w:w="709" w:type="dxa"/>
            <w:vMerge w:val="restart"/>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t>п/п</w:t>
            </w:r>
          </w:p>
        </w:tc>
        <w:tc>
          <w:tcPr>
            <w:tcW w:w="4394"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Целевой показатель</w:t>
            </w:r>
          </w:p>
          <w:p>
            <w:pPr>
              <w:pStyle w:val="a7"/>
              <w:jc w:val="center"/>
              <w:rPr>
                <w:rFonts w:ascii="Times New Roman" w:hAnsi="Times New Roman" w:cs="Times New Roman"/>
              </w:rPr>
            </w:pPr>
            <w:r>
              <w:rPr>
                <w:rFonts w:ascii="Times New Roman" w:hAnsi="Times New Roman" w:cs="Times New Roman"/>
              </w:rPr>
              <w:t>(индикатор)</w:t>
            </w:r>
          </w:p>
          <w:p>
            <w:pPr>
              <w:pStyle w:val="a7"/>
              <w:jc w:val="center"/>
              <w:rPr>
                <w:rFonts w:ascii="Times New Roman" w:hAnsi="Times New Roman" w:cs="Times New Roman"/>
              </w:rPr>
            </w:pPr>
            <w:r>
              <w:rPr>
                <w:rFonts w:ascii="Times New Roman" w:hAnsi="Times New Roman" w:cs="Times New Roman"/>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Единица измерения</w:t>
            </w:r>
          </w:p>
        </w:tc>
        <w:tc>
          <w:tcPr>
            <w:tcW w:w="7796" w:type="dxa"/>
            <w:gridSpan w:val="5"/>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Значение целевых показателей (индикаторов)</w:t>
            </w:r>
          </w:p>
        </w:tc>
      </w:tr>
      <w:tr>
        <w:tblPrEx>
          <w:tblCellMar>
            <w:top w:w="0" w:type="dxa"/>
            <w:bottom w:w="0" w:type="dxa"/>
          </w:tblCellMar>
        </w:tblPrEx>
        <w:tc>
          <w:tcPr>
            <w:tcW w:w="709"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43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отчетный год</w:t>
            </w:r>
          </w:p>
        </w:tc>
        <w:tc>
          <w:tcPr>
            <w:tcW w:w="1843"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очередной год</w:t>
            </w:r>
          </w:p>
        </w:tc>
        <w:tc>
          <w:tcPr>
            <w:tcW w:w="1842"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первый год планового периода</w:t>
            </w:r>
          </w:p>
        </w:tc>
        <w:tc>
          <w:tcPr>
            <w:tcW w:w="156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второй год планового периода</w:t>
            </w:r>
          </w:p>
        </w:tc>
        <w:tc>
          <w:tcPr>
            <w:tcW w:w="1275"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w:t>
            </w:r>
          </w:p>
        </w:tc>
      </w:tr>
      <w:tr>
        <w:tblPrEx>
          <w:tblCellMar>
            <w:top w:w="0" w:type="dxa"/>
            <w:bottom w:w="0" w:type="dxa"/>
          </w:tblCellMar>
        </w:tblPrEx>
        <w:tc>
          <w:tcPr>
            <w:tcW w:w="709"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43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1843"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1842"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156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7</w:t>
            </w:r>
          </w:p>
        </w:tc>
        <w:tc>
          <w:tcPr>
            <w:tcW w:w="1275"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8</w:t>
            </w:r>
          </w:p>
        </w:tc>
      </w:tr>
      <w:tr>
        <w:tblPrEx>
          <w:tblCellMar>
            <w:top w:w="0" w:type="dxa"/>
            <w:bottom w:w="0" w:type="dxa"/>
          </w:tblCellMar>
        </w:tblPrEx>
        <w:tc>
          <w:tcPr>
            <w:tcW w:w="14175" w:type="dxa"/>
            <w:gridSpan w:val="8"/>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Муниципальная программа</w:t>
            </w:r>
          </w:p>
        </w:tc>
      </w:tr>
      <w:tr>
        <w:tblPrEx>
          <w:tblCellMar>
            <w:top w:w="0" w:type="dxa"/>
            <w:bottom w:w="0" w:type="dxa"/>
          </w:tblCellMar>
        </w:tblPrEx>
        <w:tc>
          <w:tcPr>
            <w:tcW w:w="709"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43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w:t>
            </w: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709"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43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4175" w:type="dxa"/>
            <w:gridSpan w:val="8"/>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Подпрограмма 1</w:t>
            </w:r>
          </w:p>
        </w:tc>
      </w:tr>
      <w:tr>
        <w:tblPrEx>
          <w:tblCellMar>
            <w:top w:w="0" w:type="dxa"/>
            <w:bottom w:w="0" w:type="dxa"/>
          </w:tblCellMar>
        </w:tblPrEx>
        <w:tc>
          <w:tcPr>
            <w:tcW w:w="709"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43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w:t>
            </w: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709"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43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4175" w:type="dxa"/>
            <w:gridSpan w:val="8"/>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w:t>
            </w:r>
          </w:p>
        </w:tc>
      </w:tr>
    </w:tbl>
    <w:p>
      <w:pPr>
        <w:rPr>
          <w:rFonts w:ascii="Times New Roman" w:hAnsi="Times New Roman" w:cs="Times New Roman"/>
        </w:rPr>
      </w:pPr>
    </w:p>
    <w:p>
      <w:pPr>
        <w:ind w:firstLine="0"/>
        <w:jc w:val="left"/>
        <w:rPr>
          <w:rFonts w:ascii="Times New Roman" w:hAnsi="Times New Roman" w:cs="Times New Roman"/>
        </w:rPr>
        <w:sectPr>
          <w:pgSz w:w="16800" w:h="11900" w:orient="landscape"/>
          <w:pgMar w:top="799" w:right="1134" w:bottom="799" w:left="1440" w:header="720" w:footer="720" w:gutter="0"/>
          <w:cols w:space="720"/>
          <w:noEndnote/>
        </w:sectPr>
      </w:pPr>
    </w:p>
    <w:p>
      <w:pPr>
        <w:jc w:val="right"/>
        <w:rPr>
          <w:rStyle w:val="a3"/>
          <w:rFonts w:ascii="Times New Roman" w:hAnsi="Times New Roman" w:cs="Times New Roman"/>
          <w:bCs/>
          <w:color w:val="auto"/>
        </w:rPr>
      </w:pPr>
      <w:bookmarkStart w:id="62" w:name="sub_4000"/>
      <w:r>
        <w:rPr>
          <w:rStyle w:val="a3"/>
          <w:rFonts w:ascii="Times New Roman" w:hAnsi="Times New Roman" w:cs="Times New Roman"/>
          <w:bCs/>
          <w:color w:val="auto"/>
        </w:rPr>
        <w:lastRenderedPageBreak/>
        <w:t>Приложение № 3</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62"/>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Ресурсное обеспечение</w:t>
      </w:r>
      <w:r>
        <w:rPr>
          <w:rFonts w:ascii="Times New Roman" w:hAnsi="Times New Roman" w:cs="Times New Roman"/>
          <w:color w:val="auto"/>
        </w:rPr>
        <w:br/>
        <w:t xml:space="preserve">и прогнозная (справочная) оценка расходов за счет всех источников финансирования реализации муниципальной программы города Канаш Чувашской Республики </w:t>
      </w:r>
    </w:p>
    <w:p>
      <w:pPr>
        <w:rPr>
          <w:rFonts w:ascii="Times New Roman" w:hAnsi="Times New Roman" w:cs="Times New Roman"/>
        </w:rPr>
      </w:pPr>
    </w:p>
    <w:tbl>
      <w:tblPr>
        <w:tblW w:w="151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5"/>
        <w:gridCol w:w="1701"/>
        <w:gridCol w:w="1276"/>
        <w:gridCol w:w="1275"/>
        <w:gridCol w:w="2694"/>
        <w:gridCol w:w="1559"/>
        <w:gridCol w:w="1559"/>
        <w:gridCol w:w="1559"/>
        <w:gridCol w:w="1560"/>
      </w:tblGrid>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Статус</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программы, подпрограммы</w:t>
            </w:r>
          </w:p>
          <w:p>
            <w:pPr>
              <w:pStyle w:val="a7"/>
              <w:jc w:val="center"/>
              <w:rPr>
                <w:rFonts w:ascii="Times New Roman" w:hAnsi="Times New Roman" w:cs="Times New Roman"/>
              </w:rPr>
            </w:pPr>
            <w:r>
              <w:rPr>
                <w:rFonts w:ascii="Times New Roman" w:hAnsi="Times New Roman" w:cs="Times New Roman"/>
              </w:rPr>
              <w:t>муниципальной программы (основного мероприятия, мероприятия)</w:t>
            </w:r>
          </w:p>
        </w:tc>
        <w:tc>
          <w:tcPr>
            <w:tcW w:w="2551" w:type="dxa"/>
            <w:gridSpan w:val="2"/>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Код бюджетной классификации</w:t>
            </w:r>
          </w:p>
        </w:tc>
        <w:tc>
          <w:tcPr>
            <w:tcW w:w="2694"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Источники финансирования</w:t>
            </w:r>
          </w:p>
        </w:tc>
        <w:tc>
          <w:tcPr>
            <w:tcW w:w="6237" w:type="dxa"/>
            <w:gridSpan w:val="4"/>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Расходы по годам, тыс. рублей</w:t>
            </w:r>
          </w:p>
        </w:tc>
      </w:tr>
      <w:tr>
        <w:tblPrEx>
          <w:tblCellMar>
            <w:top w:w="0" w:type="dxa"/>
            <w:bottom w:w="0" w:type="dxa"/>
          </w:tblCellMar>
        </w:tblPrEx>
        <w:trPr>
          <w:trHeight w:val="3963"/>
        </w:trPr>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главный распорядитель бюджетных средств</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целевая статья расходов</w:t>
            </w:r>
          </w:p>
        </w:tc>
        <w:tc>
          <w:tcPr>
            <w:tcW w:w="26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Очередной</w:t>
            </w:r>
          </w:p>
          <w:p>
            <w:pPr>
              <w:pStyle w:val="a7"/>
              <w:jc w:val="center"/>
              <w:rPr>
                <w:rFonts w:ascii="Times New Roman" w:hAnsi="Times New Roman" w:cs="Times New Roman"/>
              </w:rPr>
            </w:pPr>
            <w:r>
              <w:rPr>
                <w:rFonts w:ascii="Times New Roman" w:hAnsi="Times New Roman" w:cs="Times New Roman"/>
              </w:rPr>
              <w:t>год</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первый год</w:t>
            </w:r>
          </w:p>
          <w:p>
            <w:pPr>
              <w:pStyle w:val="a7"/>
              <w:jc w:val="center"/>
              <w:rPr>
                <w:rFonts w:ascii="Times New Roman" w:hAnsi="Times New Roman" w:cs="Times New Roman"/>
              </w:rPr>
            </w:pPr>
            <w:r>
              <w:rPr>
                <w:rFonts w:ascii="Times New Roman" w:hAnsi="Times New Roman" w:cs="Times New Roman"/>
              </w:rPr>
              <w:t>планового</w:t>
            </w:r>
          </w:p>
          <w:p>
            <w:pPr>
              <w:pStyle w:val="a7"/>
              <w:jc w:val="center"/>
              <w:rPr>
                <w:rFonts w:ascii="Times New Roman" w:hAnsi="Times New Roman" w:cs="Times New Roman"/>
              </w:rPr>
            </w:pPr>
            <w:r>
              <w:rPr>
                <w:rFonts w:ascii="Times New Roman" w:hAnsi="Times New Roman" w:cs="Times New Roman"/>
              </w:rPr>
              <w:t>периода</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второй</w:t>
            </w:r>
          </w:p>
          <w:p>
            <w:pPr>
              <w:pStyle w:val="a7"/>
              <w:jc w:val="center"/>
              <w:rPr>
                <w:rFonts w:ascii="Times New Roman" w:hAnsi="Times New Roman" w:cs="Times New Roman"/>
              </w:rPr>
            </w:pPr>
            <w:r>
              <w:rPr>
                <w:rFonts w:ascii="Times New Roman" w:hAnsi="Times New Roman" w:cs="Times New Roman"/>
              </w:rPr>
              <w:t>год</w:t>
            </w:r>
          </w:p>
          <w:p>
            <w:pPr>
              <w:pStyle w:val="a7"/>
              <w:jc w:val="center"/>
              <w:rPr>
                <w:rFonts w:ascii="Times New Roman" w:hAnsi="Times New Roman" w:cs="Times New Roman"/>
              </w:rPr>
            </w:pPr>
            <w:r>
              <w:rPr>
                <w:rFonts w:ascii="Times New Roman" w:hAnsi="Times New Roman" w:cs="Times New Roman"/>
              </w:rPr>
              <w:t>планового периода</w:t>
            </w:r>
          </w:p>
        </w:tc>
        <w:tc>
          <w:tcPr>
            <w:tcW w:w="1560"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w:t>
            </w:r>
          </w:p>
        </w:tc>
      </w:tr>
      <w:tr>
        <w:tblPrEx>
          <w:tblCellMar>
            <w:top w:w="0" w:type="dxa"/>
            <w:bottom w:w="0" w:type="dxa"/>
          </w:tblCellMar>
        </w:tblPrEx>
        <w:tc>
          <w:tcPr>
            <w:tcW w:w="1985"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26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7</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8</w:t>
            </w:r>
          </w:p>
        </w:tc>
        <w:tc>
          <w:tcPr>
            <w:tcW w:w="1560"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9</w:t>
            </w: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Муниципальная программа города Канаш Чувашской Республики</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1</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1.1</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2</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2.1.</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lastRenderedPageBreak/>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Мероприятие 2.1.1</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Мероприятие 2.1.2</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«Обеспечение реализации муниципальной программы» «______»</w:t>
            </w: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w:t>
            </w:r>
          </w:p>
          <w:p>
            <w:pPr>
              <w:pStyle w:val="a9"/>
              <w:rPr>
                <w:rFonts w:ascii="Times New Roman" w:hAnsi="Times New Roman" w:cs="Times New Roman"/>
              </w:rPr>
            </w:pPr>
            <w:r>
              <w:rPr>
                <w:rFonts w:ascii="Times New Roman" w:hAnsi="Times New Roman" w:cs="Times New Roman"/>
              </w:rPr>
              <w:t>Чувашской Республики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985"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127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694"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6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r>
        <w:rPr>
          <w:rFonts w:ascii="Times New Roman" w:hAnsi="Times New Roman" w:cs="Times New Roman"/>
        </w:rPr>
        <w:t xml:space="preserve"> </w:t>
      </w:r>
    </w:p>
    <w:p>
      <w:pPr>
        <w:jc w:val="right"/>
        <w:rPr>
          <w:rStyle w:val="a3"/>
          <w:rFonts w:ascii="Times New Roman" w:hAnsi="Times New Roman" w:cs="Times New Roman"/>
          <w:bCs/>
          <w:color w:val="auto"/>
        </w:rPr>
      </w:pPr>
    </w:p>
    <w:p>
      <w:pPr>
        <w:jc w:val="right"/>
        <w:rPr>
          <w:rStyle w:val="a3"/>
          <w:rFonts w:ascii="Times New Roman" w:hAnsi="Times New Roman" w:cs="Times New Roman"/>
          <w:bCs/>
          <w:color w:val="auto"/>
        </w:rPr>
      </w:pPr>
    </w:p>
    <w:p>
      <w:pPr>
        <w:tabs>
          <w:tab w:val="left" w:pos="7192"/>
        </w:tabs>
        <w:rPr>
          <w:rStyle w:val="a3"/>
          <w:rFonts w:ascii="Times New Roman" w:hAnsi="Times New Roman" w:cs="Times New Roman"/>
          <w:bCs/>
          <w:color w:val="auto"/>
        </w:rPr>
        <w:sectPr>
          <w:headerReference w:type="default" r:id="rId18"/>
          <w:footerReference w:type="default" r:id="rId19"/>
          <w:pgSz w:w="16837" w:h="11905" w:orient="landscape"/>
          <w:pgMar w:top="1440" w:right="800" w:bottom="1440" w:left="800" w:header="720" w:footer="720" w:gutter="0"/>
          <w:cols w:space="720"/>
          <w:noEndnote/>
        </w:sectPr>
      </w:pPr>
      <w:r>
        <w:rPr>
          <w:rStyle w:val="a3"/>
          <w:rFonts w:ascii="Times New Roman" w:hAnsi="Times New Roman" w:cs="Times New Roman"/>
          <w:bCs/>
          <w:color w:val="auto"/>
        </w:rPr>
        <w:tab/>
      </w:r>
      <w:bookmarkStart w:id="63" w:name="sub_8000"/>
    </w:p>
    <w:p>
      <w:pPr>
        <w:jc w:val="right"/>
        <w:rPr>
          <w:rStyle w:val="a3"/>
          <w:rFonts w:ascii="Times New Roman" w:hAnsi="Times New Roman" w:cs="Times New Roman"/>
          <w:bCs/>
          <w:color w:val="auto"/>
        </w:rPr>
      </w:pPr>
      <w:r>
        <w:rPr>
          <w:rStyle w:val="a3"/>
          <w:rFonts w:ascii="Times New Roman" w:hAnsi="Times New Roman" w:cs="Times New Roman"/>
          <w:bCs/>
          <w:color w:val="auto"/>
        </w:rPr>
        <w:lastRenderedPageBreak/>
        <w:t>Приложение № 4</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63"/>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Паспорт</w:t>
      </w:r>
      <w:r>
        <w:rPr>
          <w:rFonts w:ascii="Times New Roman" w:hAnsi="Times New Roman" w:cs="Times New Roman"/>
          <w:color w:val="auto"/>
        </w:rPr>
        <w:br/>
        <w:t>подпрограммы муниципальной программы города Канаш Чувашской Республики</w:t>
      </w:r>
    </w:p>
    <w:p>
      <w:pPr>
        <w:ind w:firstLine="0"/>
      </w:pPr>
      <w:r>
        <w:t>___________________________________________________________________________</w:t>
      </w:r>
    </w:p>
    <w:p>
      <w:r>
        <w:t xml:space="preserve">                             наименование подпрограммы</w:t>
      </w:r>
    </w:p>
    <w:p>
      <w:pPr>
        <w:pStyle w:val="1"/>
        <w:rPr>
          <w:b w:val="0"/>
          <w:color w:val="auto"/>
        </w:rPr>
      </w:pPr>
      <w:r>
        <w:rPr>
          <w:color w:val="auto"/>
        </w:rPr>
        <w:t>__________________________________________________________________________</w:t>
      </w:r>
      <w:r>
        <w:rPr>
          <w:color w:val="auto"/>
        </w:rPr>
        <w:br/>
      </w:r>
      <w:r>
        <w:rPr>
          <w:b w:val="0"/>
          <w:color w:val="auto"/>
        </w:rPr>
        <w:t>(наименование муниципальной программы)</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80"/>
        <w:gridCol w:w="3476"/>
      </w:tblGrid>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Ответственный исполнитель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Соисполнители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Цели подпрограммы (если имеются)</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Задачи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Целевые показатели (индикаторы)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Этапы и сроки реализации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Объемы финансирования подпрограммы с разбивкой по годам реализации 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588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Ожидаемые результаты реализации подпрограммы</w:t>
            </w:r>
          </w:p>
        </w:tc>
        <w:tc>
          <w:tcPr>
            <w:tcW w:w="3476"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jc w:val="right"/>
        <w:rPr>
          <w:rStyle w:val="a3"/>
          <w:rFonts w:ascii="Times New Roman" w:hAnsi="Times New Roman" w:cs="Times New Roman"/>
          <w:bCs/>
          <w:color w:val="auto"/>
        </w:rPr>
      </w:pPr>
    </w:p>
    <w:p>
      <w:pPr>
        <w:jc w:val="right"/>
        <w:rPr>
          <w:rStyle w:val="a3"/>
          <w:rFonts w:ascii="Times New Roman" w:hAnsi="Times New Roman" w:cs="Times New Roman"/>
          <w:bCs/>
          <w:color w:val="auto"/>
        </w:rPr>
      </w:pPr>
    </w:p>
    <w:p>
      <w:pPr>
        <w:ind w:firstLine="0"/>
        <w:jc w:val="right"/>
        <w:rPr>
          <w:rStyle w:val="a3"/>
          <w:rFonts w:ascii="Times New Roman" w:hAnsi="Times New Roman" w:cs="Times New Roman"/>
          <w:bCs/>
          <w:color w:val="auto"/>
        </w:rPr>
      </w:pPr>
    </w:p>
    <w:p>
      <w:pPr>
        <w:ind w:firstLine="0"/>
        <w:jc w:val="right"/>
        <w:rPr>
          <w:rStyle w:val="a3"/>
          <w:rFonts w:ascii="Times New Roman" w:hAnsi="Times New Roman" w:cs="Times New Roman"/>
          <w:bCs/>
          <w:color w:val="auto"/>
        </w:rPr>
      </w:pPr>
    </w:p>
    <w:p>
      <w:pPr>
        <w:ind w:firstLine="0"/>
        <w:jc w:val="right"/>
        <w:rPr>
          <w:rStyle w:val="a3"/>
          <w:rFonts w:ascii="Times New Roman" w:hAnsi="Times New Roman" w:cs="Times New Roman"/>
          <w:bCs/>
          <w:color w:val="auto"/>
        </w:rPr>
        <w:sectPr>
          <w:pgSz w:w="11905" w:h="16837"/>
          <w:pgMar w:top="799" w:right="1440" w:bottom="799" w:left="1440" w:header="720" w:footer="720" w:gutter="0"/>
          <w:cols w:space="720"/>
          <w:noEndnote/>
        </w:sectPr>
      </w:pPr>
    </w:p>
    <w:p>
      <w:pPr>
        <w:ind w:firstLine="0"/>
        <w:jc w:val="right"/>
        <w:rPr>
          <w:rFonts w:ascii="Times New Roman" w:hAnsi="Times New Roman" w:cs="Times New Roman"/>
        </w:rPr>
      </w:pPr>
      <w:r>
        <w:rPr>
          <w:rStyle w:val="a3"/>
          <w:rFonts w:ascii="Times New Roman" w:hAnsi="Times New Roman" w:cs="Times New Roman"/>
          <w:bCs/>
          <w:color w:val="auto"/>
        </w:rPr>
        <w:lastRenderedPageBreak/>
        <w:t>Приложение № 5</w:t>
      </w:r>
    </w:p>
    <w:p>
      <w:pPr>
        <w:ind w:firstLine="0"/>
        <w:jc w:val="right"/>
        <w:rPr>
          <w:rFonts w:ascii="Times New Roman" w:hAnsi="Times New Roman" w:cs="Times New Roman"/>
        </w:rPr>
      </w:pPr>
      <w:r>
        <w:rPr>
          <w:rStyle w:val="a3"/>
          <w:rFonts w:ascii="Times New Roman" w:hAnsi="Times New Roman" w:cs="Times New Roman"/>
          <w:bCs/>
          <w:color w:val="auto"/>
        </w:rPr>
        <w:t>к п</w:t>
      </w:r>
      <w:hyperlink w:anchor="sub_1000" w:history="1">
        <w:r>
          <w:rPr>
            <w:rStyle w:val="a4"/>
            <w:rFonts w:ascii="Times New Roman" w:hAnsi="Times New Roman"/>
            <w:b/>
            <w:color w:val="auto"/>
          </w:rPr>
          <w:t>орядку</w:t>
        </w:r>
      </w:hyperlink>
      <w:r>
        <w:rPr>
          <w:rStyle w:val="a3"/>
          <w:rFonts w:ascii="Times New Roman" w:hAnsi="Times New Roman" w:cs="Times New Roman"/>
          <w:bCs/>
          <w:color w:val="auto"/>
        </w:rPr>
        <w:t xml:space="preserve"> разработки и реализации</w:t>
      </w:r>
    </w:p>
    <w:p>
      <w:pPr>
        <w:ind w:firstLine="0"/>
        <w:jc w:val="right"/>
        <w:rPr>
          <w:rFonts w:ascii="Times New Roman" w:hAnsi="Times New Roman" w:cs="Times New Roman"/>
        </w:rPr>
      </w:pPr>
      <w:r>
        <w:rPr>
          <w:rStyle w:val="a3"/>
          <w:rFonts w:ascii="Times New Roman" w:hAnsi="Times New Roman" w:cs="Times New Roman"/>
          <w:bCs/>
          <w:color w:val="auto"/>
        </w:rPr>
        <w:t>муниципальных программ города Канаш</w:t>
      </w:r>
    </w:p>
    <w:p>
      <w:pPr>
        <w:ind w:firstLine="0"/>
        <w:jc w:val="right"/>
        <w:rPr>
          <w:rFonts w:ascii="Times New Roman" w:hAnsi="Times New Roman" w:cs="Times New Roman"/>
        </w:rPr>
      </w:pPr>
      <w:r>
        <w:rPr>
          <w:rStyle w:val="a3"/>
          <w:rFonts w:ascii="Times New Roman" w:hAnsi="Times New Roman" w:cs="Times New Roman"/>
          <w:bCs/>
          <w:color w:val="auto"/>
        </w:rPr>
        <w:t>Чувашской Республики</w:t>
      </w:r>
    </w:p>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 xml:space="preserve">Ресурсное обеспечение </w:t>
      </w:r>
      <w:r>
        <w:rPr>
          <w:rFonts w:ascii="Times New Roman" w:hAnsi="Times New Roman" w:cs="Times New Roman"/>
          <w:color w:val="auto"/>
        </w:rPr>
        <w:br/>
        <w:t xml:space="preserve">реализации подпрограммы муниципальной программы города Канаш Чувашской Республики за счет всех источников финансирования </w:t>
      </w:r>
    </w:p>
    <w:p>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2"/>
        <w:gridCol w:w="1494"/>
        <w:gridCol w:w="1494"/>
        <w:gridCol w:w="1494"/>
        <w:gridCol w:w="815"/>
        <w:gridCol w:w="815"/>
        <w:gridCol w:w="815"/>
        <w:gridCol w:w="815"/>
        <w:gridCol w:w="2037"/>
        <w:gridCol w:w="1086"/>
        <w:gridCol w:w="1086"/>
        <w:gridCol w:w="1086"/>
        <w:gridCol w:w="952"/>
      </w:tblGrid>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Статус</w:t>
            </w:r>
          </w:p>
        </w:tc>
        <w:tc>
          <w:tcPr>
            <w:tcW w:w="1494"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подпрограммы муниципальной программы города Канаш Чувашской Республики (</w:t>
            </w:r>
            <w:proofErr w:type="gramStart"/>
            <w:r>
              <w:rPr>
                <w:rFonts w:ascii="Times New Roman" w:hAnsi="Times New Roman" w:cs="Times New Roman"/>
              </w:rPr>
              <w:t>программы,  основного</w:t>
            </w:r>
            <w:proofErr w:type="gramEnd"/>
            <w:r>
              <w:rPr>
                <w:rFonts w:ascii="Times New Roman" w:hAnsi="Times New Roman" w:cs="Times New Roman"/>
              </w:rPr>
              <w:t xml:space="preserve"> мероприятия, мероприятия)</w:t>
            </w:r>
          </w:p>
        </w:tc>
        <w:tc>
          <w:tcPr>
            <w:tcW w:w="1494"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Задача подпрограммы муниципальной программы города Канаш</w:t>
            </w:r>
          </w:p>
        </w:tc>
        <w:tc>
          <w:tcPr>
            <w:tcW w:w="1494"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Ответственный исполнитель, соисполнитель, участники</w:t>
            </w:r>
          </w:p>
        </w:tc>
        <w:tc>
          <w:tcPr>
            <w:tcW w:w="3260" w:type="dxa"/>
            <w:gridSpan w:val="4"/>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 xml:space="preserve">Код </w:t>
            </w:r>
            <w:hyperlink r:id="rId20" w:history="1">
              <w:r>
                <w:rPr>
                  <w:rStyle w:val="a4"/>
                  <w:rFonts w:ascii="Times New Roman" w:hAnsi="Times New Roman"/>
                  <w:color w:val="auto"/>
                </w:rPr>
                <w:t>бюджетной классификации</w:t>
              </w:r>
            </w:hyperlink>
          </w:p>
        </w:tc>
        <w:tc>
          <w:tcPr>
            <w:tcW w:w="2037"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Источники финансирования</w:t>
            </w:r>
          </w:p>
        </w:tc>
        <w:tc>
          <w:tcPr>
            <w:tcW w:w="4210" w:type="dxa"/>
            <w:gridSpan w:val="4"/>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Расходы по годам, тыс. рублей</w:t>
            </w: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главный распорядитель бюджетных средств</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hyperlink r:id="rId21" w:history="1">
              <w:r>
                <w:rPr>
                  <w:rStyle w:val="a4"/>
                  <w:rFonts w:ascii="Times New Roman" w:hAnsi="Times New Roman"/>
                  <w:color w:val="auto"/>
                </w:rPr>
                <w:t>раздел</w:t>
              </w:r>
            </w:hyperlink>
            <w:r>
              <w:rPr>
                <w:rFonts w:ascii="Times New Roman" w:hAnsi="Times New Roman" w:cs="Times New Roman"/>
              </w:rPr>
              <w:t>, подраздел</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hyperlink r:id="rId22" w:history="1">
              <w:r>
                <w:rPr>
                  <w:rStyle w:val="a4"/>
                  <w:rFonts w:ascii="Times New Roman" w:hAnsi="Times New Roman"/>
                  <w:color w:val="auto"/>
                </w:rPr>
                <w:t>целевая статья расходов</w:t>
              </w:r>
            </w:hyperlink>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 xml:space="preserve">группа (подгруппа) </w:t>
            </w:r>
            <w:hyperlink r:id="rId23" w:history="1">
              <w:r>
                <w:rPr>
                  <w:rStyle w:val="a4"/>
                  <w:rFonts w:ascii="Times New Roman" w:hAnsi="Times New Roman"/>
                  <w:color w:val="auto"/>
                </w:rPr>
                <w:t>вида расходов</w:t>
              </w:r>
            </w:hyperlink>
          </w:p>
        </w:tc>
        <w:tc>
          <w:tcPr>
            <w:tcW w:w="203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очередной год</w:t>
            </w: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первый год планового периода</w:t>
            </w: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второй год планового периода</w:t>
            </w:r>
          </w:p>
        </w:tc>
        <w:tc>
          <w:tcPr>
            <w:tcW w:w="952"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w:t>
            </w:r>
          </w:p>
        </w:tc>
      </w:tr>
      <w:tr>
        <w:tblPrEx>
          <w:tblCellMar>
            <w:top w:w="0" w:type="dxa"/>
            <w:bottom w:w="0" w:type="dxa"/>
          </w:tblCellMar>
        </w:tblPrEx>
        <w:tc>
          <w:tcPr>
            <w:tcW w:w="1222"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14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14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149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7</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8</w:t>
            </w:r>
          </w:p>
        </w:tc>
        <w:tc>
          <w:tcPr>
            <w:tcW w:w="203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9</w:t>
            </w: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10</w:t>
            </w: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11</w:t>
            </w:r>
          </w:p>
        </w:tc>
        <w:tc>
          <w:tcPr>
            <w:tcW w:w="1086"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12</w:t>
            </w:r>
          </w:p>
        </w:tc>
        <w:tc>
          <w:tcPr>
            <w:tcW w:w="952"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13</w:t>
            </w: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Подпрограмма 1 </w:t>
            </w:r>
          </w:p>
        </w:tc>
        <w:tc>
          <w:tcPr>
            <w:tcW w:w="1494"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hyperlink w:anchor="sub_1111" w:history="1">
              <w:r>
                <w:rPr>
                  <w:rStyle w:val="a4"/>
                  <w:rFonts w:ascii="Times New Roman" w:hAnsi="Times New Roman"/>
                  <w:color w:val="auto"/>
                </w:rPr>
                <w:t>*(1)</w:t>
              </w:r>
            </w:hyperlink>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республиканский бюджет Чувашской </w:t>
            </w:r>
            <w:r>
              <w:rPr>
                <w:rFonts w:ascii="Times New Roman" w:hAnsi="Times New Roman" w:cs="Times New Roman"/>
              </w:rPr>
              <w:lastRenderedPageBreak/>
              <w:t>Республики</w:t>
            </w:r>
            <w:hyperlink w:anchor="sub_2222" w:history="1">
              <w:r>
                <w:rPr>
                  <w:rStyle w:val="a4"/>
                  <w:rFonts w:ascii="Times New Roman" w:hAnsi="Times New Roman"/>
                  <w:color w:val="auto"/>
                </w:rPr>
                <w:t>*(2)</w:t>
              </w:r>
            </w:hyperlink>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бюджет города Канаш </w:t>
            </w:r>
            <w:hyperlink w:anchor="sub_3333" w:history="1">
              <w:r>
                <w:rPr>
                  <w:rStyle w:val="a4"/>
                  <w:rFonts w:ascii="Times New Roman" w:hAnsi="Times New Roman"/>
                  <w:color w:val="auto"/>
                </w:rPr>
                <w:t>*(3)</w:t>
              </w:r>
            </w:hyperlink>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hyperlink w:anchor="sub_4444" w:history="1">
              <w:r>
                <w:rPr>
                  <w:rStyle w:val="a4"/>
                  <w:rFonts w:ascii="Times New Roman" w:hAnsi="Times New Roman"/>
                  <w:color w:val="auto"/>
                </w:rPr>
                <w:t>*(4)</w:t>
              </w:r>
            </w:hyperlink>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211" w:type="dxa"/>
            <w:gridSpan w:val="13"/>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Цель 1 подпрограммы 1</w:t>
            </w: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1.1</w:t>
            </w:r>
          </w:p>
        </w:tc>
        <w:tc>
          <w:tcPr>
            <w:tcW w:w="1494"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tcBorders>
              <w:top w:val="single" w:sz="4" w:space="0" w:color="auto"/>
              <w:bottom w:val="single" w:sz="4" w:space="0" w:color="auto"/>
              <w:right w:val="single" w:sz="4" w:space="0" w:color="auto"/>
            </w:tcBorders>
          </w:tcPr>
          <w:p>
            <w:pPr>
              <w:pStyle w:val="a7"/>
              <w:rPr>
                <w:rFonts w:ascii="Times New Roman" w:hAnsi="Times New Roman" w:cs="Times New Roman"/>
              </w:rPr>
            </w:pPr>
            <w:r>
              <w:rPr>
                <w:rFonts w:ascii="Times New Roman" w:hAnsi="Times New Roman" w:cs="Times New Roman"/>
              </w:rPr>
              <w:t>Целевые показатели (индикаторы) муниципальной программы, подпрограммы, увязанные с основным мероприя</w:t>
            </w:r>
            <w:r>
              <w:rPr>
                <w:rFonts w:ascii="Times New Roman" w:hAnsi="Times New Roman" w:cs="Times New Roman"/>
              </w:rPr>
              <w:lastRenderedPageBreak/>
              <w:t>тием 1.1</w:t>
            </w:r>
          </w:p>
        </w:tc>
        <w:tc>
          <w:tcPr>
            <w:tcW w:w="7742" w:type="dxa"/>
            <w:gridSpan w:val="7"/>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х</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211" w:type="dxa"/>
            <w:gridSpan w:val="13"/>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Цель 2 подпрограммы 1</w:t>
            </w: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2.1</w:t>
            </w: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tcBorders>
              <w:top w:val="single" w:sz="4" w:space="0" w:color="auto"/>
              <w:bottom w:val="single" w:sz="4" w:space="0" w:color="auto"/>
              <w:right w:val="single" w:sz="4" w:space="0" w:color="auto"/>
            </w:tcBorders>
          </w:tcPr>
          <w:p>
            <w:pPr>
              <w:pStyle w:val="a7"/>
              <w:rPr>
                <w:rFonts w:ascii="Times New Roman" w:hAnsi="Times New Roman" w:cs="Times New Roman"/>
              </w:rPr>
            </w:pPr>
            <w:r>
              <w:rPr>
                <w:rFonts w:ascii="Times New Roman" w:hAnsi="Times New Roman" w:cs="Times New Roman"/>
              </w:rPr>
              <w:t>Целевые показатели (индикаторы) муниципальной программы, подпрограммы, увязанные с основным мероприятием 2.1</w:t>
            </w:r>
          </w:p>
        </w:tc>
        <w:tc>
          <w:tcPr>
            <w:tcW w:w="7742" w:type="dxa"/>
            <w:gridSpan w:val="7"/>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х</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211" w:type="dxa"/>
            <w:gridSpan w:val="13"/>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Цель 1 подпрограммы 2</w:t>
            </w: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w:t>
            </w:r>
            <w:r>
              <w:rPr>
                <w:rFonts w:ascii="Times New Roman" w:hAnsi="Times New Roman" w:cs="Times New Roman"/>
              </w:rPr>
              <w:lastRenderedPageBreak/>
              <w:t>тие 1.2</w:t>
            </w: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федеральный </w:t>
            </w:r>
            <w:r>
              <w:rPr>
                <w:rFonts w:ascii="Times New Roman" w:hAnsi="Times New Roman" w:cs="Times New Roman"/>
              </w:rPr>
              <w:lastRenderedPageBreak/>
              <w:t>бюджет</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tcBorders>
              <w:top w:val="single" w:sz="4" w:space="0" w:color="auto"/>
              <w:bottom w:val="single" w:sz="4" w:space="0" w:color="auto"/>
              <w:right w:val="single" w:sz="4" w:space="0" w:color="auto"/>
            </w:tcBorders>
          </w:tcPr>
          <w:p>
            <w:pPr>
              <w:pStyle w:val="a7"/>
              <w:rPr>
                <w:rFonts w:ascii="Times New Roman" w:hAnsi="Times New Roman" w:cs="Times New Roman"/>
              </w:rPr>
            </w:pPr>
            <w:r>
              <w:rPr>
                <w:rFonts w:ascii="Times New Roman" w:hAnsi="Times New Roman" w:cs="Times New Roman"/>
              </w:rPr>
              <w:t>Целевые показатели (индикаторы) государственной программы, подпрограммы, увязанные с основным мероприятием 1.2</w:t>
            </w:r>
          </w:p>
        </w:tc>
        <w:tc>
          <w:tcPr>
            <w:tcW w:w="7742" w:type="dxa"/>
            <w:gridSpan w:val="7"/>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х</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Мероприятие 1.2.1</w:t>
            </w: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Мероприятие 1.2.2</w:t>
            </w: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222"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815"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х</w:t>
            </w:r>
          </w:p>
        </w:tc>
        <w:tc>
          <w:tcPr>
            <w:tcW w:w="203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086"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52"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ind w:firstLine="0"/>
        <w:jc w:val="left"/>
        <w:rPr>
          <w:rFonts w:ascii="Times New Roman" w:hAnsi="Times New Roman" w:cs="Times New Roman"/>
        </w:rPr>
      </w:pPr>
    </w:p>
    <w:p>
      <w:pPr>
        <w:rPr>
          <w:rFonts w:ascii="Times New Roman" w:hAnsi="Times New Roman" w:cs="Times New Roman"/>
          <w:sz w:val="22"/>
          <w:szCs w:val="22"/>
        </w:rPr>
      </w:pPr>
      <w:r>
        <w:rPr>
          <w:rFonts w:ascii="Times New Roman" w:hAnsi="Times New Roman" w:cs="Times New Roman"/>
          <w:sz w:val="22"/>
          <w:szCs w:val="22"/>
        </w:rPr>
        <w:t>*(1) Здесь и далее в таблице федеральный бюджет указывается в соответствии с ресурсным обеспечением реализации муниципальной программы города Канаш Чувашской Республики за счет субсидий, субвенций и иных межбюджетных трансфертов, предоставляемых бюджету города Канаш Чувашской Республики из федерального бюджета.</w:t>
      </w:r>
    </w:p>
    <w:p>
      <w:pPr>
        <w:rPr>
          <w:rFonts w:ascii="Times New Roman" w:hAnsi="Times New Roman" w:cs="Times New Roman"/>
          <w:sz w:val="22"/>
          <w:szCs w:val="22"/>
        </w:rPr>
      </w:pPr>
      <w:r>
        <w:rPr>
          <w:rFonts w:ascii="Times New Roman" w:hAnsi="Times New Roman" w:cs="Times New Roman"/>
          <w:sz w:val="22"/>
          <w:szCs w:val="22"/>
        </w:rPr>
        <w:t>*(2) Здесь и далее в таблице республиканский бюджет Чувашской Республики указывается в соответствии с ресурсным обеспечением реализации муниципальной программы города Канаш Чувашской Республики за счет средств республиканского бюджета Чувашской Республики.</w:t>
      </w:r>
    </w:p>
    <w:p>
      <w:pPr>
        <w:rPr>
          <w:rFonts w:ascii="Times New Roman" w:hAnsi="Times New Roman" w:cs="Times New Roman"/>
          <w:sz w:val="22"/>
          <w:szCs w:val="22"/>
        </w:rPr>
      </w:pPr>
      <w:r>
        <w:rPr>
          <w:rFonts w:ascii="Times New Roman" w:hAnsi="Times New Roman" w:cs="Times New Roman"/>
          <w:sz w:val="22"/>
          <w:szCs w:val="22"/>
        </w:rPr>
        <w:t>*(3) Здесь и далее в таблице бюджет города Канаш указывается в соответствии с ресурсным обеспечением реализации муниципальной программы города Канаш Чувашской Республики за счет средств бюджета города Канаш.</w:t>
      </w:r>
    </w:p>
    <w:p>
      <w:pPr>
        <w:rPr>
          <w:rFonts w:ascii="Times New Roman" w:hAnsi="Times New Roman" w:cs="Times New Roman"/>
          <w:sz w:val="22"/>
          <w:szCs w:val="22"/>
        </w:rPr>
      </w:pPr>
      <w:r>
        <w:rPr>
          <w:rFonts w:ascii="Times New Roman" w:hAnsi="Times New Roman" w:cs="Times New Roman"/>
          <w:sz w:val="22"/>
          <w:szCs w:val="22"/>
        </w:rPr>
        <w:t>*(4) Здесь и далее в таблице средства публичных акционерных обществ с муниципальным участием, муниципальных унитарных предприятий, общественных, научных и иных организаций, предусмотренные на реализацию муниципальной программы города Канаш Чувашской Республики.</w:t>
      </w:r>
    </w:p>
    <w:p>
      <w:pPr>
        <w:ind w:firstLine="0"/>
        <w:jc w:val="left"/>
        <w:rPr>
          <w:rFonts w:ascii="Times New Roman" w:hAnsi="Times New Roman" w:cs="Times New Roman"/>
          <w:sz w:val="22"/>
          <w:szCs w:val="22"/>
        </w:rPr>
        <w:sectPr>
          <w:headerReference w:type="default" r:id="rId24"/>
          <w:footerReference w:type="default" r:id="rId25"/>
          <w:pgSz w:w="16837" w:h="11905" w:orient="landscape"/>
          <w:pgMar w:top="1440" w:right="800" w:bottom="1134" w:left="800" w:header="720" w:footer="720" w:gutter="0"/>
          <w:cols w:space="720"/>
          <w:noEndnote/>
        </w:sectPr>
      </w:pPr>
    </w:p>
    <w:p>
      <w:pPr>
        <w:jc w:val="right"/>
        <w:rPr>
          <w:rStyle w:val="a3"/>
          <w:rFonts w:ascii="Times New Roman" w:hAnsi="Times New Roman" w:cs="Times New Roman"/>
          <w:bCs/>
          <w:color w:val="auto"/>
        </w:rPr>
      </w:pPr>
      <w:bookmarkStart w:id="64" w:name="sub_100000"/>
      <w:r>
        <w:rPr>
          <w:rStyle w:val="a3"/>
          <w:rFonts w:ascii="Times New Roman" w:hAnsi="Times New Roman" w:cs="Times New Roman"/>
          <w:bCs/>
          <w:color w:val="auto"/>
        </w:rPr>
        <w:lastRenderedPageBreak/>
        <w:t>Приложение № 6</w:t>
      </w:r>
    </w:p>
    <w:p>
      <w:pPr>
        <w:jc w:val="right"/>
        <w:rPr>
          <w:rStyle w:val="a3"/>
          <w:rFonts w:ascii="Times New Roman" w:hAnsi="Times New Roman" w:cs="Times New Roman"/>
          <w:bCs/>
          <w:color w:val="auto"/>
        </w:rPr>
      </w:pPr>
      <w:r>
        <w:rPr>
          <w:rStyle w:val="a3"/>
          <w:rFonts w:ascii="Times New Roman" w:hAnsi="Times New Roman" w:cs="Times New Roman"/>
          <w:bCs/>
          <w:color w:val="auto"/>
        </w:rP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64"/>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Сведения</w:t>
      </w:r>
      <w:r>
        <w:rPr>
          <w:rFonts w:ascii="Times New Roman" w:hAnsi="Times New Roman" w:cs="Times New Roman"/>
          <w:color w:val="auto"/>
        </w:rPr>
        <w:br/>
        <w:t>о достижении значений целевых показателей (индикаторов) муниципальной программы города Канаш Чувашской Республики, подпрограмм муниципальной программы города Канаш Чувашской Республики</w:t>
      </w:r>
    </w:p>
    <w:p>
      <w:pPr>
        <w:rPr>
          <w:rFonts w:ascii="Times New Roman" w:hAnsi="Times New Roman" w:cs="Times New Roman"/>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1680"/>
        <w:gridCol w:w="1120"/>
        <w:gridCol w:w="1400"/>
        <w:gridCol w:w="1623"/>
        <w:gridCol w:w="1559"/>
        <w:gridCol w:w="1559"/>
        <w:gridCol w:w="1701"/>
        <w:gridCol w:w="2977"/>
      </w:tblGrid>
      <w:tr>
        <w:tblPrEx>
          <w:tblCellMar>
            <w:top w:w="0" w:type="dxa"/>
            <w:bottom w:w="0" w:type="dxa"/>
          </w:tblCellMar>
        </w:tblPrEx>
        <w:tc>
          <w:tcPr>
            <w:tcW w:w="840" w:type="dxa"/>
            <w:vMerge w:val="restart"/>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r>
              <w:rPr>
                <w:rFonts w:ascii="Times New Roman" w:hAnsi="Times New Roman" w:cs="Times New Roman"/>
              </w:rPr>
              <w:br/>
              <w:t>п/п</w:t>
            </w:r>
          </w:p>
        </w:tc>
        <w:tc>
          <w:tcPr>
            <w:tcW w:w="168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целевого показателя (индикатора)</w:t>
            </w:r>
          </w:p>
        </w:tc>
        <w:tc>
          <w:tcPr>
            <w:tcW w:w="112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Единица измерения</w:t>
            </w:r>
          </w:p>
        </w:tc>
        <w:tc>
          <w:tcPr>
            <w:tcW w:w="6141" w:type="dxa"/>
            <w:gridSpan w:val="4"/>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Значения целевых показателей (индикаторов) муниципальной программы города Канаш Чувашской Республики (подпрограммы муниципальной программы города Канаш Чувашской Республики)</w:t>
            </w:r>
          </w:p>
        </w:tc>
        <w:tc>
          <w:tcPr>
            <w:tcW w:w="1701"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Обоснование отклонений значений показателя (индикатора) на конец отчетного года (при наличии)</w:t>
            </w:r>
          </w:p>
        </w:tc>
        <w:tc>
          <w:tcPr>
            <w:tcW w:w="2977" w:type="dxa"/>
            <w:vMerge w:val="restart"/>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Значения целевых показателей (индикаторов) муниципальной программы города Канаш Чувашской Республики (подпрограммы муниципальной программы города Канаш Чувашской Республики) на текущий год (план)</w:t>
            </w:r>
          </w:p>
        </w:tc>
      </w:tr>
      <w:tr>
        <w:tblPrEx>
          <w:tblCellMar>
            <w:top w:w="0" w:type="dxa"/>
            <w:bottom w:w="0" w:type="dxa"/>
          </w:tblCellMar>
        </w:tblPrEx>
        <w:tc>
          <w:tcPr>
            <w:tcW w:w="8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68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год, предшествующий отчетному*</w:t>
            </w:r>
          </w:p>
        </w:tc>
        <w:tc>
          <w:tcPr>
            <w:tcW w:w="4741" w:type="dxa"/>
            <w:gridSpan w:val="3"/>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отчетный год</w:t>
            </w: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68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0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первоначальный план</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уточненный план</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факт</w:t>
            </w:r>
          </w:p>
        </w:tc>
        <w:tc>
          <w:tcPr>
            <w:tcW w:w="1701"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nil"/>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16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112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1623"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1559"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7</w:t>
            </w:r>
          </w:p>
        </w:tc>
        <w:tc>
          <w:tcPr>
            <w:tcW w:w="1701"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8</w:t>
            </w:r>
          </w:p>
        </w:tc>
        <w:tc>
          <w:tcPr>
            <w:tcW w:w="2977"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9</w:t>
            </w:r>
          </w:p>
        </w:tc>
      </w:tr>
      <w:tr>
        <w:tblPrEx>
          <w:tblCellMar>
            <w:top w:w="0" w:type="dxa"/>
            <w:bottom w:w="0" w:type="dxa"/>
          </w:tblCellMar>
        </w:tblPrEx>
        <w:tc>
          <w:tcPr>
            <w:tcW w:w="14459" w:type="dxa"/>
            <w:gridSpan w:val="9"/>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Муниципальная программа города Канаш Чувашской Республики</w:t>
            </w: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16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4459" w:type="dxa"/>
            <w:gridSpan w:val="9"/>
            <w:tcBorders>
              <w:top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Подпрограмма муниципальной программы города Канаш Чувашской Республики</w:t>
            </w: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2800" w:type="dxa"/>
            <w:gridSpan w:val="2"/>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140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623"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pStyle w:val="a8"/>
        <w:rPr>
          <w:rFonts w:ascii="Times New Roman" w:hAnsi="Times New Roman" w:cs="Times New Roman"/>
        </w:rPr>
      </w:pPr>
      <w:r>
        <w:rPr>
          <w:rFonts w:ascii="Times New Roman" w:hAnsi="Times New Roman" w:cs="Times New Roman"/>
        </w:rPr>
        <w:t>──────────────────────────────</w:t>
      </w:r>
    </w:p>
    <w:p>
      <w:pPr>
        <w:rPr>
          <w:rFonts w:ascii="Times New Roman" w:hAnsi="Times New Roman" w:cs="Times New Roman"/>
          <w:sz w:val="22"/>
          <w:szCs w:val="22"/>
        </w:rPr>
      </w:pPr>
      <w:bookmarkStart w:id="65" w:name="sub_111"/>
      <w:r>
        <w:rPr>
          <w:rFonts w:ascii="Times New Roman" w:hAnsi="Times New Roman" w:cs="Times New Roman"/>
          <w:sz w:val="22"/>
          <w:szCs w:val="22"/>
        </w:rPr>
        <w:t>* Приводится фактическое значение индикатора или показателя за год, предшествующий отчетному.</w:t>
      </w:r>
    </w:p>
    <w:p>
      <w:pPr>
        <w:rPr>
          <w:rFonts w:ascii="Times New Roman" w:hAnsi="Times New Roman" w:cs="Times New Roman"/>
          <w:sz w:val="22"/>
          <w:szCs w:val="22"/>
        </w:rPr>
      </w:pPr>
    </w:p>
    <w:p>
      <w:pPr>
        <w:jc w:val="right"/>
        <w:rPr>
          <w:rStyle w:val="a3"/>
          <w:rFonts w:ascii="Times New Roman" w:hAnsi="Times New Roman" w:cs="Times New Roman"/>
          <w:bCs/>
          <w:color w:val="auto"/>
        </w:rPr>
      </w:pPr>
      <w:r>
        <w:rPr>
          <w:rStyle w:val="a3"/>
          <w:rFonts w:ascii="Times New Roman" w:hAnsi="Times New Roman" w:cs="Times New Roman"/>
          <w:bCs/>
          <w:color w:val="auto"/>
        </w:rPr>
        <w:lastRenderedPageBreak/>
        <w:t>Приложение № 7</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Информация</w:t>
      </w:r>
      <w:r>
        <w:rPr>
          <w:rFonts w:ascii="Times New Roman" w:hAnsi="Times New Roman" w:cs="Times New Roman"/>
          <w:color w:val="auto"/>
        </w:rPr>
        <w:br/>
        <w:t>о финансировании реализации муниципальной программы города Канаш Чувашской Республики за счет всех источников финансирования за ____ год</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2977"/>
        <w:gridCol w:w="2977"/>
        <w:gridCol w:w="1417"/>
        <w:gridCol w:w="1418"/>
        <w:gridCol w:w="1984"/>
        <w:gridCol w:w="2127"/>
      </w:tblGrid>
      <w:tr>
        <w:tblPrEx>
          <w:tblCellMar>
            <w:top w:w="0" w:type="dxa"/>
            <w:bottom w:w="0" w:type="dxa"/>
          </w:tblCellMar>
        </w:tblPrEx>
        <w:tc>
          <w:tcPr>
            <w:tcW w:w="1701"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Статус</w:t>
            </w:r>
          </w:p>
        </w:tc>
        <w:tc>
          <w:tcPr>
            <w:tcW w:w="297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муниципальной программы города Канаш Чувашской Республики (подпрограммы муниципальной программы города Канаш Чувашской Республики) основного мероприятия</w:t>
            </w:r>
          </w:p>
        </w:tc>
        <w:tc>
          <w:tcPr>
            <w:tcW w:w="297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Источники финансирования</w:t>
            </w:r>
          </w:p>
        </w:tc>
        <w:tc>
          <w:tcPr>
            <w:tcW w:w="141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план расходов на отчетный год*</w:t>
            </w:r>
          </w:p>
          <w:p>
            <w:pPr>
              <w:pStyle w:val="a7"/>
              <w:jc w:val="center"/>
              <w:rPr>
                <w:rFonts w:ascii="Times New Roman" w:hAnsi="Times New Roman" w:cs="Times New Roman"/>
              </w:rPr>
            </w:pPr>
            <w:r>
              <w:rPr>
                <w:rFonts w:ascii="Times New Roman" w:hAnsi="Times New Roman" w:cs="Times New Roman"/>
              </w:rPr>
              <w:t>(тыс. руб.)</w:t>
            </w:r>
          </w:p>
        </w:tc>
        <w:tc>
          <w:tcPr>
            <w:tcW w:w="1418"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фактические расходы за отчетный год**</w:t>
            </w:r>
          </w:p>
          <w:p>
            <w:pPr>
              <w:pStyle w:val="a7"/>
              <w:jc w:val="center"/>
              <w:rPr>
                <w:rFonts w:ascii="Times New Roman" w:hAnsi="Times New Roman" w:cs="Times New Roman"/>
              </w:rPr>
            </w:pPr>
            <w:r>
              <w:rPr>
                <w:rFonts w:ascii="Times New Roman" w:hAnsi="Times New Roman" w:cs="Times New Roman"/>
              </w:rPr>
              <w:t>(тыс. руб.)</w:t>
            </w:r>
          </w:p>
        </w:tc>
        <w:tc>
          <w:tcPr>
            <w:tcW w:w="198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 xml:space="preserve">план расходов с начала реализации муниципальной программы (подпрограммы муниципальной </w:t>
            </w:r>
            <w:proofErr w:type="gramStart"/>
            <w:r>
              <w:rPr>
                <w:rFonts w:ascii="Times New Roman" w:hAnsi="Times New Roman" w:cs="Times New Roman"/>
              </w:rPr>
              <w:t>программы)*</w:t>
            </w:r>
            <w:proofErr w:type="gramEnd"/>
          </w:p>
          <w:p>
            <w:pPr>
              <w:pStyle w:val="a7"/>
              <w:jc w:val="center"/>
              <w:rPr>
                <w:rFonts w:ascii="Times New Roman" w:hAnsi="Times New Roman" w:cs="Times New Roman"/>
              </w:rPr>
            </w:pPr>
            <w:r>
              <w:rPr>
                <w:rFonts w:ascii="Times New Roman" w:hAnsi="Times New Roman" w:cs="Times New Roman"/>
              </w:rPr>
              <w:t>(тыс. руб.)</w:t>
            </w:r>
          </w:p>
        </w:tc>
        <w:tc>
          <w:tcPr>
            <w:tcW w:w="2127"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 xml:space="preserve">фактические расходы с начала реализации муниципальной программы (подпрограммы муниципальной </w:t>
            </w:r>
            <w:proofErr w:type="gramStart"/>
            <w:r>
              <w:rPr>
                <w:rFonts w:ascii="Times New Roman" w:hAnsi="Times New Roman" w:cs="Times New Roman"/>
              </w:rPr>
              <w:t>программы)*</w:t>
            </w:r>
            <w:proofErr w:type="gramEnd"/>
            <w:r>
              <w:rPr>
                <w:rFonts w:ascii="Times New Roman" w:hAnsi="Times New Roman" w:cs="Times New Roman"/>
              </w:rPr>
              <w:t>*</w:t>
            </w:r>
          </w:p>
          <w:p>
            <w:pPr>
              <w:pStyle w:val="a7"/>
              <w:jc w:val="center"/>
              <w:rPr>
                <w:rFonts w:ascii="Times New Roman" w:hAnsi="Times New Roman" w:cs="Times New Roman"/>
              </w:rPr>
            </w:pPr>
            <w:r>
              <w:rPr>
                <w:rFonts w:ascii="Times New Roman" w:hAnsi="Times New Roman" w:cs="Times New Roman"/>
              </w:rPr>
              <w:t>(тыс. руб.)</w:t>
            </w:r>
          </w:p>
        </w:tc>
      </w:tr>
      <w:tr>
        <w:tblPrEx>
          <w:tblCellMar>
            <w:top w:w="0" w:type="dxa"/>
            <w:bottom w:w="0" w:type="dxa"/>
          </w:tblCellMar>
        </w:tblPrEx>
        <w:tc>
          <w:tcPr>
            <w:tcW w:w="1701"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297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1984"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2127"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7</w:t>
            </w:r>
          </w:p>
        </w:tc>
      </w:tr>
      <w:tr>
        <w:tblPrEx>
          <w:tblCellMar>
            <w:top w:w="0" w:type="dxa"/>
            <w:bottom w:w="0" w:type="dxa"/>
          </w:tblCellMar>
        </w:tblPrEx>
        <w:tc>
          <w:tcPr>
            <w:tcW w:w="1701"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Муниципальная программа города Канаш Чувашской Республики</w:t>
            </w:r>
          </w:p>
        </w:tc>
        <w:tc>
          <w:tcPr>
            <w:tcW w:w="2977"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1*</w:t>
            </w:r>
          </w:p>
        </w:tc>
        <w:tc>
          <w:tcPr>
            <w:tcW w:w="2977"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701"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127"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pStyle w:val="a8"/>
        <w:rPr>
          <w:rFonts w:ascii="Times New Roman" w:hAnsi="Times New Roman" w:cs="Times New Roman"/>
        </w:rPr>
      </w:pPr>
      <w:bookmarkStart w:id="66" w:name="sub_11111"/>
      <w:r>
        <w:rPr>
          <w:rFonts w:ascii="Times New Roman" w:hAnsi="Times New Roman" w:cs="Times New Roman"/>
        </w:rPr>
        <w:t>──────────────────────────────</w:t>
      </w:r>
    </w:p>
    <w:p>
      <w:pPr>
        <w:rPr>
          <w:rFonts w:ascii="Times New Roman" w:hAnsi="Times New Roman" w:cs="Times New Roman"/>
          <w:sz w:val="22"/>
          <w:szCs w:val="22"/>
        </w:rPr>
      </w:pPr>
      <w:r>
        <w:rPr>
          <w:rFonts w:ascii="Times New Roman" w:hAnsi="Times New Roman" w:cs="Times New Roman"/>
          <w:sz w:val="22"/>
          <w:szCs w:val="22"/>
        </w:rPr>
        <w:t>* В соответствии с муниципальной программой города Канаш Чувашской Республики.</w:t>
      </w:r>
    </w:p>
    <w:p>
      <w:pPr>
        <w:rPr>
          <w:rFonts w:ascii="Times New Roman" w:hAnsi="Times New Roman" w:cs="Times New Roman"/>
          <w:sz w:val="22"/>
          <w:szCs w:val="22"/>
        </w:rPr>
      </w:pPr>
      <w:bookmarkStart w:id="67" w:name="sub_22222"/>
      <w:bookmarkEnd w:id="66"/>
      <w:r>
        <w:rPr>
          <w:rFonts w:ascii="Times New Roman" w:hAnsi="Times New Roman" w:cs="Times New Roman"/>
          <w:sz w:val="22"/>
          <w:szCs w:val="22"/>
        </w:rPr>
        <w:t>** Кассовые расходы федерального бюджета, республиканского бюджета Чувашской Республики, бюджета города Канаш, внебюджетные источники.</w:t>
      </w:r>
    </w:p>
    <w:bookmarkEnd w:id="67"/>
    <w:p>
      <w:pPr>
        <w:rPr>
          <w:rFonts w:ascii="Times New Roman" w:hAnsi="Times New Roman" w:cs="Times New Roman"/>
          <w:sz w:val="22"/>
          <w:szCs w:val="22"/>
        </w:rPr>
      </w:pPr>
    </w:p>
    <w:p>
      <w:pPr>
        <w:jc w:val="right"/>
        <w:rPr>
          <w:rStyle w:val="a3"/>
          <w:rFonts w:ascii="Times New Roman" w:hAnsi="Times New Roman" w:cs="Times New Roman"/>
          <w:bCs/>
          <w:color w:val="auto"/>
        </w:rPr>
      </w:pPr>
      <w:bookmarkStart w:id="68" w:name="sub_9000"/>
      <w:r>
        <w:rPr>
          <w:rStyle w:val="a3"/>
          <w:rFonts w:ascii="Times New Roman" w:hAnsi="Times New Roman" w:cs="Times New Roman"/>
          <w:bCs/>
          <w:color w:val="auto"/>
        </w:rPr>
        <w:t>Приложение № 8</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bookmarkEnd w:id="68"/>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Отчет</w:t>
      </w:r>
      <w:r>
        <w:rPr>
          <w:rFonts w:ascii="Times New Roman" w:hAnsi="Times New Roman" w:cs="Times New Roman"/>
          <w:color w:val="auto"/>
        </w:rPr>
        <w:br/>
        <w:t>о реализации основных мероприятий (мероприятий) подпрограмм муниципальной программы города Канаш Чувашской Республики за _______ год</w:t>
      </w:r>
    </w:p>
    <w:p>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6531"/>
        <w:gridCol w:w="2127"/>
        <w:gridCol w:w="4819"/>
      </w:tblGrid>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 п/п</w:t>
            </w:r>
          </w:p>
        </w:tc>
        <w:tc>
          <w:tcPr>
            <w:tcW w:w="6531"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муниципальной программы города Канаш Чувашской Республики (подпрограммы муниципальной программы города Канаш Чувашской Республики), основного мероприятия</w:t>
            </w:r>
          </w:p>
        </w:tc>
        <w:tc>
          <w:tcPr>
            <w:tcW w:w="212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 xml:space="preserve">Сведения о выполнении соответствующего </w:t>
            </w:r>
            <w:proofErr w:type="gramStart"/>
            <w:r>
              <w:rPr>
                <w:rFonts w:ascii="Times New Roman" w:hAnsi="Times New Roman" w:cs="Times New Roman"/>
              </w:rPr>
              <w:t>мероприятия(</w:t>
            </w:r>
            <w:proofErr w:type="gramEnd"/>
            <w:r>
              <w:rPr>
                <w:rFonts w:ascii="Times New Roman" w:hAnsi="Times New Roman" w:cs="Times New Roman"/>
              </w:rPr>
              <w:t>1)</w:t>
            </w:r>
          </w:p>
        </w:tc>
        <w:tc>
          <w:tcPr>
            <w:tcW w:w="4819"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proofErr w:type="gramStart"/>
            <w:r>
              <w:rPr>
                <w:rFonts w:ascii="Times New Roman" w:hAnsi="Times New Roman" w:cs="Times New Roman"/>
              </w:rPr>
              <w:t>Примечание(</w:t>
            </w:r>
            <w:proofErr w:type="gramEnd"/>
            <w:r>
              <w:rPr>
                <w:rFonts w:ascii="Times New Roman" w:hAnsi="Times New Roman" w:cs="Times New Roman"/>
              </w:rPr>
              <w:t>2)</w:t>
            </w: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6531"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2127"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4819"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4</w:t>
            </w: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Муниципальная программа города Канаш Чувашской Республики "_______"</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1</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1.1.</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1.1</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1.2.</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1.2</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2</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2.1.</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2.1</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2.2.</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2.2</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8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w:t>
            </w:r>
          </w:p>
        </w:tc>
        <w:tc>
          <w:tcPr>
            <w:tcW w:w="6531"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w:t>
            </w:r>
          </w:p>
        </w:tc>
        <w:tc>
          <w:tcPr>
            <w:tcW w:w="2127"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4819"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pStyle w:val="a8"/>
        <w:rPr>
          <w:rFonts w:ascii="Times New Roman" w:hAnsi="Times New Roman" w:cs="Times New Roman"/>
        </w:rPr>
      </w:pPr>
      <w:r>
        <w:rPr>
          <w:rFonts w:ascii="Times New Roman" w:hAnsi="Times New Roman" w:cs="Times New Roman"/>
        </w:rPr>
        <w:t>──────────────────────────────</w:t>
      </w:r>
    </w:p>
    <w:p>
      <w:pPr>
        <w:rPr>
          <w:rFonts w:ascii="Times New Roman" w:hAnsi="Times New Roman" w:cs="Times New Roman"/>
          <w:sz w:val="22"/>
          <w:szCs w:val="22"/>
        </w:rPr>
      </w:pPr>
      <w:bookmarkStart w:id="69" w:name="sub_1111"/>
      <w:r>
        <w:rPr>
          <w:rFonts w:ascii="Times New Roman" w:hAnsi="Times New Roman" w:cs="Times New Roman"/>
          <w:sz w:val="22"/>
          <w:szCs w:val="22"/>
        </w:rPr>
        <w:t>(1) Указываются значения "выполнено", "не выполнено", "частично выполнено".</w:t>
      </w:r>
    </w:p>
    <w:p>
      <w:pPr>
        <w:rPr>
          <w:rFonts w:ascii="Times New Roman" w:hAnsi="Times New Roman" w:cs="Times New Roman"/>
          <w:sz w:val="22"/>
          <w:szCs w:val="22"/>
        </w:rPr>
      </w:pPr>
      <w:bookmarkStart w:id="70" w:name="sub_222"/>
      <w:bookmarkEnd w:id="69"/>
      <w:r>
        <w:rPr>
          <w:rFonts w:ascii="Times New Roman" w:hAnsi="Times New Roman" w:cs="Times New Roman"/>
          <w:sz w:val="22"/>
          <w:szCs w:val="22"/>
        </w:rPr>
        <w:t>(2) Представляется краткая информация о проделанной работе и о достижении (недостижении) установленных целевых показателей (индикаторов) муниципальной программы (подпрограммы). В случае недостижения установленных целевых показателей (индикаторов) муниципальной программы (подпрограммы) представляются пояснения причин недостижения.</w:t>
      </w:r>
    </w:p>
    <w:bookmarkEnd w:id="70"/>
    <w:p>
      <w:pPr>
        <w:rPr>
          <w:rFonts w:ascii="Times New Roman" w:hAnsi="Times New Roman" w:cs="Times New Roman"/>
        </w:rPr>
      </w:pPr>
    </w:p>
    <w:p>
      <w:pPr>
        <w:ind w:firstLine="0"/>
        <w:jc w:val="left"/>
        <w:rPr>
          <w:rFonts w:ascii="Times New Roman" w:hAnsi="Times New Roman" w:cs="Times New Roman"/>
        </w:rPr>
        <w:sectPr>
          <w:headerReference w:type="default" r:id="rId26"/>
          <w:footerReference w:type="default" r:id="rId27"/>
          <w:pgSz w:w="16837" w:h="11905" w:orient="landscape"/>
          <w:pgMar w:top="799" w:right="961" w:bottom="799" w:left="1440" w:header="720" w:footer="720" w:gutter="0"/>
          <w:cols w:space="720"/>
          <w:noEndnote/>
        </w:sectPr>
      </w:pPr>
    </w:p>
    <w:p>
      <w:pPr>
        <w:rPr>
          <w:rFonts w:ascii="Times New Roman" w:hAnsi="Times New Roman" w:cs="Times New Roman"/>
          <w:sz w:val="22"/>
          <w:szCs w:val="22"/>
        </w:rPr>
      </w:pPr>
    </w:p>
    <w:p>
      <w:pPr>
        <w:jc w:val="right"/>
        <w:rPr>
          <w:rStyle w:val="a3"/>
          <w:rFonts w:ascii="Times New Roman" w:hAnsi="Times New Roman" w:cs="Times New Roman"/>
          <w:bCs/>
          <w:color w:val="auto"/>
        </w:rPr>
      </w:pPr>
      <w:r>
        <w:rPr>
          <w:rStyle w:val="a3"/>
          <w:rFonts w:ascii="Times New Roman" w:hAnsi="Times New Roman" w:cs="Times New Roman"/>
          <w:bCs/>
          <w:color w:val="auto"/>
        </w:rPr>
        <w:t>Приложение № 9</w:t>
      </w:r>
    </w:p>
    <w:p>
      <w:pPr>
        <w:jc w:val="right"/>
        <w:rPr>
          <w:rStyle w:val="a3"/>
          <w:rFonts w:ascii="Times New Roman" w:hAnsi="Times New Roman" w:cs="Times New Roman"/>
          <w:bCs/>
          <w:color w:val="auto"/>
        </w:rPr>
      </w:pPr>
      <w:r>
        <w:rPr>
          <w:rStyle w:val="a3"/>
          <w:rFonts w:ascii="Times New Roman" w:hAnsi="Times New Roman" w:cs="Times New Roman"/>
          <w:bCs/>
          <w:color w:val="auto"/>
        </w:rP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p/>
    <w:p>
      <w:pPr>
        <w:pStyle w:val="1"/>
      </w:pPr>
      <w:r>
        <w:t>Отчет</w:t>
      </w:r>
      <w:r>
        <w:br/>
        <w:t>об использовании бюджетных ассигнований бюджета города Канаш на реализацию муниципальной программы города Канаш</w:t>
      </w:r>
    </w:p>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867"/>
        <w:gridCol w:w="1843"/>
        <w:gridCol w:w="1559"/>
        <w:gridCol w:w="3260"/>
        <w:gridCol w:w="3119"/>
      </w:tblGrid>
      <w:tr>
        <w:tblPrEx>
          <w:tblCellMar>
            <w:top w:w="0" w:type="dxa"/>
            <w:bottom w:w="0" w:type="dxa"/>
          </w:tblCellMar>
        </w:tblPrEx>
        <w:tc>
          <w:tcPr>
            <w:tcW w:w="2520" w:type="dxa"/>
            <w:vMerge w:val="restart"/>
            <w:tcBorders>
              <w:top w:val="single" w:sz="4" w:space="0" w:color="auto"/>
              <w:bottom w:val="single" w:sz="4" w:space="0" w:color="auto"/>
              <w:right w:val="single" w:sz="4" w:space="0" w:color="auto"/>
            </w:tcBorders>
          </w:tcPr>
          <w:p>
            <w:pPr>
              <w:pStyle w:val="a7"/>
              <w:jc w:val="center"/>
            </w:pPr>
            <w:r>
              <w:t>Статус</w:t>
            </w:r>
          </w:p>
        </w:tc>
        <w:tc>
          <w:tcPr>
            <w:tcW w:w="2867" w:type="dxa"/>
            <w:vMerge w:val="restart"/>
            <w:tcBorders>
              <w:top w:val="single" w:sz="4" w:space="0" w:color="auto"/>
              <w:left w:val="single" w:sz="4" w:space="0" w:color="auto"/>
              <w:bottom w:val="single" w:sz="4" w:space="0" w:color="auto"/>
              <w:right w:val="single" w:sz="4" w:space="0" w:color="auto"/>
            </w:tcBorders>
          </w:tcPr>
          <w:p>
            <w:pPr>
              <w:pStyle w:val="a7"/>
              <w:jc w:val="center"/>
            </w:pPr>
            <w:r>
              <w:t>Наименование муниципальной программы города Канаш (подпрограммы муниципальной программы города Канаш)</w:t>
            </w:r>
          </w:p>
        </w:tc>
        <w:tc>
          <w:tcPr>
            <w:tcW w:w="9781" w:type="dxa"/>
            <w:gridSpan w:val="4"/>
            <w:tcBorders>
              <w:top w:val="single" w:sz="4" w:space="0" w:color="auto"/>
              <w:left w:val="single" w:sz="4" w:space="0" w:color="auto"/>
              <w:bottom w:val="single" w:sz="4" w:space="0" w:color="auto"/>
            </w:tcBorders>
          </w:tcPr>
          <w:p>
            <w:pPr>
              <w:pStyle w:val="a7"/>
              <w:jc w:val="center"/>
            </w:pPr>
            <w:r>
              <w:t>Расходы, тыс. рублей</w:t>
            </w:r>
          </w:p>
        </w:tc>
      </w:tr>
      <w:tr>
        <w:tblPrEx>
          <w:tblCellMar>
            <w:top w:w="0" w:type="dxa"/>
            <w:bottom w:w="0" w:type="dxa"/>
          </w:tblCellMar>
        </w:tblPrEx>
        <w:tc>
          <w:tcPr>
            <w:tcW w:w="2520" w:type="dxa"/>
            <w:vMerge/>
            <w:tcBorders>
              <w:top w:val="single" w:sz="4" w:space="0" w:color="auto"/>
              <w:bottom w:val="single" w:sz="4" w:space="0" w:color="auto"/>
              <w:right w:val="single" w:sz="4" w:space="0" w:color="auto"/>
            </w:tcBorders>
          </w:tcPr>
          <w:p>
            <w:pPr>
              <w:pStyle w:val="a7"/>
            </w:pPr>
          </w:p>
        </w:tc>
        <w:tc>
          <w:tcPr>
            <w:tcW w:w="2867" w:type="dxa"/>
            <w:vMerge/>
            <w:tcBorders>
              <w:top w:val="single" w:sz="4" w:space="0" w:color="auto"/>
              <w:left w:val="single" w:sz="4" w:space="0" w:color="auto"/>
              <w:bottom w:val="single" w:sz="4" w:space="0" w:color="auto"/>
              <w:right w:val="single" w:sz="4" w:space="0" w:color="auto"/>
            </w:tcBorders>
          </w:tcPr>
          <w:p>
            <w:pPr>
              <w:pStyle w:val="a7"/>
            </w:pPr>
          </w:p>
        </w:tc>
        <w:tc>
          <w:tcPr>
            <w:tcW w:w="1843" w:type="dxa"/>
            <w:tcBorders>
              <w:top w:val="single" w:sz="4" w:space="0" w:color="auto"/>
              <w:left w:val="single" w:sz="4" w:space="0" w:color="auto"/>
              <w:bottom w:val="single" w:sz="4" w:space="0" w:color="auto"/>
              <w:right w:val="single" w:sz="4" w:space="0" w:color="auto"/>
            </w:tcBorders>
          </w:tcPr>
          <w:p>
            <w:pPr>
              <w:pStyle w:val="a7"/>
              <w:jc w:val="center"/>
            </w:pPr>
            <w:r>
              <w:t>план расходов на отчетный год</w:t>
            </w:r>
          </w:p>
        </w:tc>
        <w:tc>
          <w:tcPr>
            <w:tcW w:w="1559" w:type="dxa"/>
            <w:tcBorders>
              <w:top w:val="single" w:sz="4" w:space="0" w:color="auto"/>
              <w:left w:val="single" w:sz="4" w:space="0" w:color="auto"/>
              <w:bottom w:val="single" w:sz="4" w:space="0" w:color="auto"/>
              <w:right w:val="single" w:sz="4" w:space="0" w:color="auto"/>
            </w:tcBorders>
          </w:tcPr>
          <w:p>
            <w:pPr>
              <w:pStyle w:val="a7"/>
              <w:jc w:val="center"/>
            </w:pPr>
            <w:r>
              <w:t>фактические расходы за отчетный год</w:t>
            </w:r>
          </w:p>
        </w:tc>
        <w:tc>
          <w:tcPr>
            <w:tcW w:w="3260" w:type="dxa"/>
            <w:tcBorders>
              <w:top w:val="single" w:sz="4" w:space="0" w:color="auto"/>
              <w:left w:val="single" w:sz="4" w:space="0" w:color="auto"/>
              <w:bottom w:val="single" w:sz="4" w:space="0" w:color="auto"/>
              <w:right w:val="single" w:sz="4" w:space="0" w:color="auto"/>
            </w:tcBorders>
          </w:tcPr>
          <w:p>
            <w:pPr>
              <w:pStyle w:val="a7"/>
              <w:jc w:val="center"/>
            </w:pPr>
            <w:r>
              <w:t>план расходов с начала реализации муниципальной программы города Канаш (подпрограммы муниципальной программы города Канаш, программы)</w:t>
            </w:r>
          </w:p>
        </w:tc>
        <w:tc>
          <w:tcPr>
            <w:tcW w:w="3119" w:type="dxa"/>
            <w:tcBorders>
              <w:top w:val="single" w:sz="4" w:space="0" w:color="auto"/>
              <w:left w:val="single" w:sz="4" w:space="0" w:color="auto"/>
              <w:bottom w:val="single" w:sz="4" w:space="0" w:color="auto"/>
            </w:tcBorders>
          </w:tcPr>
          <w:p>
            <w:pPr>
              <w:pStyle w:val="a7"/>
              <w:jc w:val="center"/>
            </w:pPr>
            <w:r>
              <w:t>фактические расходы с начала реализации муниципальной программы города Канаш (подпрограммы муниципальной программы города Канаш, программы)</w:t>
            </w:r>
          </w:p>
        </w:tc>
      </w:tr>
      <w:tr>
        <w:tblPrEx>
          <w:tblCellMar>
            <w:top w:w="0" w:type="dxa"/>
            <w:bottom w:w="0" w:type="dxa"/>
          </w:tblCellMar>
        </w:tblPrEx>
        <w:tc>
          <w:tcPr>
            <w:tcW w:w="2520" w:type="dxa"/>
            <w:tcBorders>
              <w:top w:val="single" w:sz="4" w:space="0" w:color="auto"/>
              <w:bottom w:val="single" w:sz="4" w:space="0" w:color="auto"/>
              <w:right w:val="single" w:sz="4" w:space="0" w:color="auto"/>
            </w:tcBorders>
          </w:tcPr>
          <w:p>
            <w:pPr>
              <w:pStyle w:val="a7"/>
              <w:jc w:val="center"/>
            </w:pPr>
            <w:r>
              <w:t>1</w:t>
            </w:r>
          </w:p>
        </w:tc>
        <w:tc>
          <w:tcPr>
            <w:tcW w:w="2867" w:type="dxa"/>
            <w:tcBorders>
              <w:top w:val="single" w:sz="4" w:space="0" w:color="auto"/>
              <w:left w:val="single" w:sz="4" w:space="0" w:color="auto"/>
              <w:bottom w:val="single" w:sz="4" w:space="0" w:color="auto"/>
              <w:right w:val="single" w:sz="4" w:space="0" w:color="auto"/>
            </w:tcBorders>
          </w:tcPr>
          <w:p>
            <w:pPr>
              <w:pStyle w:val="a7"/>
              <w:jc w:val="center"/>
            </w:pPr>
            <w:r>
              <w:t>2</w:t>
            </w:r>
          </w:p>
        </w:tc>
        <w:tc>
          <w:tcPr>
            <w:tcW w:w="1843" w:type="dxa"/>
            <w:tcBorders>
              <w:top w:val="single" w:sz="4" w:space="0" w:color="auto"/>
              <w:left w:val="single" w:sz="4" w:space="0" w:color="auto"/>
              <w:bottom w:val="single" w:sz="4" w:space="0" w:color="auto"/>
              <w:right w:val="single" w:sz="4" w:space="0" w:color="auto"/>
            </w:tcBorders>
          </w:tcPr>
          <w:p>
            <w:pPr>
              <w:pStyle w:val="a7"/>
              <w:jc w:val="center"/>
            </w:pPr>
            <w:r>
              <w:t>3</w:t>
            </w:r>
          </w:p>
        </w:tc>
        <w:tc>
          <w:tcPr>
            <w:tcW w:w="1559" w:type="dxa"/>
            <w:tcBorders>
              <w:top w:val="single" w:sz="4" w:space="0" w:color="auto"/>
              <w:left w:val="single" w:sz="4" w:space="0" w:color="auto"/>
              <w:bottom w:val="single" w:sz="4" w:space="0" w:color="auto"/>
              <w:right w:val="single" w:sz="4" w:space="0" w:color="auto"/>
            </w:tcBorders>
          </w:tcPr>
          <w:p>
            <w:pPr>
              <w:pStyle w:val="a7"/>
              <w:jc w:val="center"/>
            </w:pPr>
            <w:r>
              <w:t>4</w:t>
            </w:r>
          </w:p>
        </w:tc>
        <w:tc>
          <w:tcPr>
            <w:tcW w:w="3260" w:type="dxa"/>
            <w:tcBorders>
              <w:top w:val="single" w:sz="4" w:space="0" w:color="auto"/>
              <w:left w:val="single" w:sz="4" w:space="0" w:color="auto"/>
              <w:bottom w:val="single" w:sz="4" w:space="0" w:color="auto"/>
              <w:right w:val="single" w:sz="4" w:space="0" w:color="auto"/>
            </w:tcBorders>
          </w:tcPr>
          <w:p>
            <w:pPr>
              <w:pStyle w:val="a7"/>
              <w:jc w:val="center"/>
            </w:pPr>
            <w:r>
              <w:t>5</w:t>
            </w:r>
          </w:p>
        </w:tc>
        <w:tc>
          <w:tcPr>
            <w:tcW w:w="3119" w:type="dxa"/>
            <w:tcBorders>
              <w:top w:val="single" w:sz="4" w:space="0" w:color="auto"/>
              <w:left w:val="single" w:sz="4" w:space="0" w:color="auto"/>
              <w:bottom w:val="single" w:sz="4" w:space="0" w:color="auto"/>
            </w:tcBorders>
          </w:tcPr>
          <w:p>
            <w:pPr>
              <w:pStyle w:val="a7"/>
              <w:jc w:val="center"/>
            </w:pPr>
            <w:r>
              <w:t>6</w:t>
            </w:r>
          </w:p>
        </w:tc>
      </w:tr>
      <w:tr>
        <w:tblPrEx>
          <w:tblCellMar>
            <w:top w:w="0" w:type="dxa"/>
            <w:bottom w:w="0" w:type="dxa"/>
          </w:tblCellMar>
        </w:tblPrEx>
        <w:tc>
          <w:tcPr>
            <w:tcW w:w="2520" w:type="dxa"/>
            <w:tcBorders>
              <w:top w:val="single" w:sz="4" w:space="0" w:color="auto"/>
              <w:bottom w:val="single" w:sz="4" w:space="0" w:color="auto"/>
              <w:right w:val="single" w:sz="4" w:space="0" w:color="auto"/>
            </w:tcBorders>
          </w:tcPr>
          <w:p>
            <w:pPr>
              <w:pStyle w:val="a9"/>
            </w:pPr>
            <w:r>
              <w:t>Муниципальная программа города Канаш</w:t>
            </w:r>
          </w:p>
        </w:tc>
        <w:tc>
          <w:tcPr>
            <w:tcW w:w="2867" w:type="dxa"/>
            <w:tcBorders>
              <w:top w:val="single" w:sz="4" w:space="0" w:color="auto"/>
              <w:left w:val="single" w:sz="4" w:space="0" w:color="auto"/>
              <w:bottom w:val="single" w:sz="4" w:space="0" w:color="auto"/>
              <w:right w:val="single" w:sz="4" w:space="0" w:color="auto"/>
            </w:tcBorders>
          </w:tcPr>
          <w:p>
            <w:pPr>
              <w:pStyle w:val="a7"/>
            </w:pPr>
          </w:p>
        </w:tc>
        <w:tc>
          <w:tcPr>
            <w:tcW w:w="1843" w:type="dxa"/>
            <w:tcBorders>
              <w:top w:val="single" w:sz="4" w:space="0" w:color="auto"/>
              <w:left w:val="single" w:sz="4" w:space="0" w:color="auto"/>
              <w:bottom w:val="single" w:sz="4" w:space="0" w:color="auto"/>
              <w:right w:val="single" w:sz="4" w:space="0" w:color="auto"/>
            </w:tcBorders>
          </w:tcPr>
          <w:p>
            <w:pPr>
              <w:pStyle w:val="a7"/>
            </w:pPr>
          </w:p>
        </w:tc>
        <w:tc>
          <w:tcPr>
            <w:tcW w:w="1559" w:type="dxa"/>
            <w:tcBorders>
              <w:top w:val="single" w:sz="4" w:space="0" w:color="auto"/>
              <w:left w:val="single" w:sz="4" w:space="0" w:color="auto"/>
              <w:bottom w:val="single" w:sz="4" w:space="0" w:color="auto"/>
              <w:right w:val="single" w:sz="4" w:space="0" w:color="auto"/>
            </w:tcBorders>
          </w:tcPr>
          <w:p>
            <w:pPr>
              <w:pStyle w:val="a7"/>
            </w:pPr>
          </w:p>
        </w:tc>
        <w:tc>
          <w:tcPr>
            <w:tcW w:w="3260" w:type="dxa"/>
            <w:tcBorders>
              <w:top w:val="single" w:sz="4" w:space="0" w:color="auto"/>
              <w:left w:val="single" w:sz="4" w:space="0" w:color="auto"/>
              <w:bottom w:val="single" w:sz="4" w:space="0" w:color="auto"/>
              <w:right w:val="single" w:sz="4" w:space="0" w:color="auto"/>
            </w:tcBorders>
          </w:tcPr>
          <w:p>
            <w:pPr>
              <w:pStyle w:val="a7"/>
            </w:pPr>
          </w:p>
        </w:tc>
        <w:tc>
          <w:tcPr>
            <w:tcW w:w="3119" w:type="dxa"/>
            <w:tcBorders>
              <w:top w:val="single" w:sz="4" w:space="0" w:color="auto"/>
              <w:left w:val="single" w:sz="4" w:space="0" w:color="auto"/>
              <w:bottom w:val="single" w:sz="4" w:space="0" w:color="auto"/>
            </w:tcBorders>
          </w:tcPr>
          <w:p>
            <w:pPr>
              <w:pStyle w:val="a7"/>
            </w:pPr>
          </w:p>
        </w:tc>
      </w:tr>
      <w:tr>
        <w:tblPrEx>
          <w:tblCellMar>
            <w:top w:w="0" w:type="dxa"/>
            <w:bottom w:w="0" w:type="dxa"/>
          </w:tblCellMar>
        </w:tblPrEx>
        <w:tc>
          <w:tcPr>
            <w:tcW w:w="2520" w:type="dxa"/>
            <w:tcBorders>
              <w:top w:val="single" w:sz="4" w:space="0" w:color="auto"/>
              <w:bottom w:val="single" w:sz="4" w:space="0" w:color="auto"/>
              <w:right w:val="single" w:sz="4" w:space="0" w:color="auto"/>
            </w:tcBorders>
          </w:tcPr>
          <w:p>
            <w:pPr>
              <w:pStyle w:val="a9"/>
            </w:pPr>
            <w:r>
              <w:t>Подпрограмма 1 (программа 1)</w:t>
            </w:r>
          </w:p>
        </w:tc>
        <w:tc>
          <w:tcPr>
            <w:tcW w:w="2867" w:type="dxa"/>
            <w:tcBorders>
              <w:top w:val="single" w:sz="4" w:space="0" w:color="auto"/>
              <w:left w:val="single" w:sz="4" w:space="0" w:color="auto"/>
              <w:bottom w:val="single" w:sz="4" w:space="0" w:color="auto"/>
              <w:right w:val="single" w:sz="4" w:space="0" w:color="auto"/>
            </w:tcBorders>
          </w:tcPr>
          <w:p>
            <w:pPr>
              <w:pStyle w:val="a7"/>
            </w:pPr>
          </w:p>
        </w:tc>
        <w:tc>
          <w:tcPr>
            <w:tcW w:w="1843" w:type="dxa"/>
            <w:tcBorders>
              <w:top w:val="single" w:sz="4" w:space="0" w:color="auto"/>
              <w:left w:val="single" w:sz="4" w:space="0" w:color="auto"/>
              <w:bottom w:val="single" w:sz="4" w:space="0" w:color="auto"/>
              <w:right w:val="single" w:sz="4" w:space="0" w:color="auto"/>
            </w:tcBorders>
          </w:tcPr>
          <w:p>
            <w:pPr>
              <w:pStyle w:val="a7"/>
            </w:pPr>
          </w:p>
        </w:tc>
        <w:tc>
          <w:tcPr>
            <w:tcW w:w="1559" w:type="dxa"/>
            <w:tcBorders>
              <w:top w:val="single" w:sz="4" w:space="0" w:color="auto"/>
              <w:left w:val="single" w:sz="4" w:space="0" w:color="auto"/>
              <w:bottom w:val="single" w:sz="4" w:space="0" w:color="auto"/>
              <w:right w:val="single" w:sz="4" w:space="0" w:color="auto"/>
            </w:tcBorders>
          </w:tcPr>
          <w:p>
            <w:pPr>
              <w:pStyle w:val="a7"/>
            </w:pPr>
          </w:p>
        </w:tc>
        <w:tc>
          <w:tcPr>
            <w:tcW w:w="3260" w:type="dxa"/>
            <w:tcBorders>
              <w:top w:val="single" w:sz="4" w:space="0" w:color="auto"/>
              <w:left w:val="single" w:sz="4" w:space="0" w:color="auto"/>
              <w:bottom w:val="single" w:sz="4" w:space="0" w:color="auto"/>
              <w:right w:val="single" w:sz="4" w:space="0" w:color="auto"/>
            </w:tcBorders>
          </w:tcPr>
          <w:p>
            <w:pPr>
              <w:pStyle w:val="a7"/>
            </w:pPr>
          </w:p>
        </w:tc>
        <w:tc>
          <w:tcPr>
            <w:tcW w:w="3119" w:type="dxa"/>
            <w:tcBorders>
              <w:top w:val="single" w:sz="4" w:space="0" w:color="auto"/>
              <w:left w:val="single" w:sz="4" w:space="0" w:color="auto"/>
              <w:bottom w:val="single" w:sz="4" w:space="0" w:color="auto"/>
            </w:tcBorders>
          </w:tcPr>
          <w:p>
            <w:pPr>
              <w:pStyle w:val="a7"/>
            </w:pPr>
          </w:p>
        </w:tc>
      </w:tr>
      <w:tr>
        <w:tblPrEx>
          <w:tblCellMar>
            <w:top w:w="0" w:type="dxa"/>
            <w:bottom w:w="0" w:type="dxa"/>
          </w:tblCellMar>
        </w:tblPrEx>
        <w:tc>
          <w:tcPr>
            <w:tcW w:w="2520" w:type="dxa"/>
            <w:tcBorders>
              <w:top w:val="single" w:sz="4" w:space="0" w:color="auto"/>
              <w:bottom w:val="single" w:sz="4" w:space="0" w:color="auto"/>
              <w:right w:val="single" w:sz="4" w:space="0" w:color="auto"/>
            </w:tcBorders>
          </w:tcPr>
          <w:p>
            <w:pPr>
              <w:pStyle w:val="a9"/>
            </w:pPr>
            <w:r>
              <w:t>Подпрограмма 2 (программа 2)</w:t>
            </w:r>
          </w:p>
        </w:tc>
        <w:tc>
          <w:tcPr>
            <w:tcW w:w="2867" w:type="dxa"/>
            <w:tcBorders>
              <w:top w:val="single" w:sz="4" w:space="0" w:color="auto"/>
              <w:left w:val="single" w:sz="4" w:space="0" w:color="auto"/>
              <w:bottom w:val="single" w:sz="4" w:space="0" w:color="auto"/>
              <w:right w:val="single" w:sz="4" w:space="0" w:color="auto"/>
            </w:tcBorders>
          </w:tcPr>
          <w:p>
            <w:pPr>
              <w:pStyle w:val="a7"/>
            </w:pPr>
          </w:p>
        </w:tc>
        <w:tc>
          <w:tcPr>
            <w:tcW w:w="1843" w:type="dxa"/>
            <w:tcBorders>
              <w:top w:val="single" w:sz="4" w:space="0" w:color="auto"/>
              <w:left w:val="single" w:sz="4" w:space="0" w:color="auto"/>
              <w:bottom w:val="single" w:sz="4" w:space="0" w:color="auto"/>
              <w:right w:val="single" w:sz="4" w:space="0" w:color="auto"/>
            </w:tcBorders>
          </w:tcPr>
          <w:p>
            <w:pPr>
              <w:pStyle w:val="a7"/>
            </w:pPr>
          </w:p>
        </w:tc>
        <w:tc>
          <w:tcPr>
            <w:tcW w:w="1559" w:type="dxa"/>
            <w:tcBorders>
              <w:top w:val="single" w:sz="4" w:space="0" w:color="auto"/>
              <w:left w:val="single" w:sz="4" w:space="0" w:color="auto"/>
              <w:bottom w:val="single" w:sz="4" w:space="0" w:color="auto"/>
              <w:right w:val="single" w:sz="4" w:space="0" w:color="auto"/>
            </w:tcBorders>
          </w:tcPr>
          <w:p>
            <w:pPr>
              <w:pStyle w:val="a7"/>
            </w:pPr>
          </w:p>
        </w:tc>
        <w:tc>
          <w:tcPr>
            <w:tcW w:w="3260" w:type="dxa"/>
            <w:tcBorders>
              <w:top w:val="single" w:sz="4" w:space="0" w:color="auto"/>
              <w:left w:val="single" w:sz="4" w:space="0" w:color="auto"/>
              <w:bottom w:val="single" w:sz="4" w:space="0" w:color="auto"/>
              <w:right w:val="single" w:sz="4" w:space="0" w:color="auto"/>
            </w:tcBorders>
          </w:tcPr>
          <w:p>
            <w:pPr>
              <w:pStyle w:val="a7"/>
            </w:pPr>
          </w:p>
        </w:tc>
        <w:tc>
          <w:tcPr>
            <w:tcW w:w="3119" w:type="dxa"/>
            <w:tcBorders>
              <w:top w:val="single" w:sz="4" w:space="0" w:color="auto"/>
              <w:left w:val="single" w:sz="4" w:space="0" w:color="auto"/>
              <w:bottom w:val="single" w:sz="4" w:space="0" w:color="auto"/>
            </w:tcBorders>
          </w:tcPr>
          <w:p>
            <w:pPr>
              <w:pStyle w:val="a7"/>
            </w:pPr>
          </w:p>
        </w:tc>
      </w:tr>
      <w:tr>
        <w:tblPrEx>
          <w:tblCellMar>
            <w:top w:w="0" w:type="dxa"/>
            <w:bottom w:w="0" w:type="dxa"/>
          </w:tblCellMar>
        </w:tblPrEx>
        <w:tc>
          <w:tcPr>
            <w:tcW w:w="2520" w:type="dxa"/>
            <w:tcBorders>
              <w:top w:val="single" w:sz="4" w:space="0" w:color="auto"/>
              <w:bottom w:val="single" w:sz="4" w:space="0" w:color="auto"/>
              <w:right w:val="single" w:sz="4" w:space="0" w:color="auto"/>
            </w:tcBorders>
          </w:tcPr>
          <w:p>
            <w:pPr>
              <w:pStyle w:val="a9"/>
            </w:pPr>
            <w:r>
              <w:t>...</w:t>
            </w:r>
          </w:p>
        </w:tc>
        <w:tc>
          <w:tcPr>
            <w:tcW w:w="2867" w:type="dxa"/>
            <w:tcBorders>
              <w:top w:val="single" w:sz="4" w:space="0" w:color="auto"/>
              <w:left w:val="single" w:sz="4" w:space="0" w:color="auto"/>
              <w:bottom w:val="single" w:sz="4" w:space="0" w:color="auto"/>
              <w:right w:val="single" w:sz="4" w:space="0" w:color="auto"/>
            </w:tcBorders>
          </w:tcPr>
          <w:p>
            <w:pPr>
              <w:pStyle w:val="a7"/>
            </w:pPr>
          </w:p>
        </w:tc>
        <w:tc>
          <w:tcPr>
            <w:tcW w:w="1843" w:type="dxa"/>
            <w:tcBorders>
              <w:top w:val="single" w:sz="4" w:space="0" w:color="auto"/>
              <w:left w:val="single" w:sz="4" w:space="0" w:color="auto"/>
              <w:bottom w:val="single" w:sz="4" w:space="0" w:color="auto"/>
              <w:right w:val="single" w:sz="4" w:space="0" w:color="auto"/>
            </w:tcBorders>
          </w:tcPr>
          <w:p>
            <w:pPr>
              <w:pStyle w:val="a7"/>
            </w:pPr>
          </w:p>
        </w:tc>
        <w:tc>
          <w:tcPr>
            <w:tcW w:w="1559" w:type="dxa"/>
            <w:tcBorders>
              <w:top w:val="single" w:sz="4" w:space="0" w:color="auto"/>
              <w:left w:val="single" w:sz="4" w:space="0" w:color="auto"/>
              <w:bottom w:val="single" w:sz="4" w:space="0" w:color="auto"/>
              <w:right w:val="single" w:sz="4" w:space="0" w:color="auto"/>
            </w:tcBorders>
          </w:tcPr>
          <w:p>
            <w:pPr>
              <w:pStyle w:val="a7"/>
            </w:pPr>
          </w:p>
        </w:tc>
        <w:tc>
          <w:tcPr>
            <w:tcW w:w="3260" w:type="dxa"/>
            <w:tcBorders>
              <w:top w:val="single" w:sz="4" w:space="0" w:color="auto"/>
              <w:left w:val="single" w:sz="4" w:space="0" w:color="auto"/>
              <w:bottom w:val="single" w:sz="4" w:space="0" w:color="auto"/>
              <w:right w:val="single" w:sz="4" w:space="0" w:color="auto"/>
            </w:tcBorders>
          </w:tcPr>
          <w:p>
            <w:pPr>
              <w:pStyle w:val="a7"/>
            </w:pPr>
          </w:p>
        </w:tc>
        <w:tc>
          <w:tcPr>
            <w:tcW w:w="3119" w:type="dxa"/>
            <w:tcBorders>
              <w:top w:val="single" w:sz="4" w:space="0" w:color="auto"/>
              <w:left w:val="single" w:sz="4" w:space="0" w:color="auto"/>
              <w:bottom w:val="single" w:sz="4" w:space="0" w:color="auto"/>
            </w:tcBorders>
          </w:tcPr>
          <w:p>
            <w:pPr>
              <w:pStyle w:val="a7"/>
            </w:pPr>
          </w:p>
        </w:tc>
      </w:tr>
      <w:tr>
        <w:tblPrEx>
          <w:tblCellMar>
            <w:top w:w="0" w:type="dxa"/>
            <w:bottom w:w="0" w:type="dxa"/>
          </w:tblCellMar>
        </w:tblPrEx>
        <w:tc>
          <w:tcPr>
            <w:tcW w:w="5387" w:type="dxa"/>
            <w:gridSpan w:val="2"/>
            <w:tcBorders>
              <w:top w:val="single" w:sz="4" w:space="0" w:color="auto"/>
              <w:bottom w:val="single" w:sz="4" w:space="0" w:color="auto"/>
              <w:right w:val="single" w:sz="4" w:space="0" w:color="auto"/>
            </w:tcBorders>
          </w:tcPr>
          <w:p>
            <w:pPr>
              <w:pStyle w:val="a9"/>
            </w:pPr>
            <w:r>
              <w:t>Подпрограмма "Обеспечение реализации муниципальной программы"</w:t>
            </w:r>
          </w:p>
        </w:tc>
        <w:tc>
          <w:tcPr>
            <w:tcW w:w="1843" w:type="dxa"/>
            <w:tcBorders>
              <w:top w:val="single" w:sz="4" w:space="0" w:color="auto"/>
              <w:left w:val="single" w:sz="4" w:space="0" w:color="auto"/>
              <w:bottom w:val="single" w:sz="4" w:space="0" w:color="auto"/>
              <w:right w:val="single" w:sz="4" w:space="0" w:color="auto"/>
            </w:tcBorders>
          </w:tcPr>
          <w:p>
            <w:pPr>
              <w:pStyle w:val="a7"/>
            </w:pPr>
          </w:p>
        </w:tc>
        <w:tc>
          <w:tcPr>
            <w:tcW w:w="1559" w:type="dxa"/>
            <w:tcBorders>
              <w:top w:val="single" w:sz="4" w:space="0" w:color="auto"/>
              <w:left w:val="single" w:sz="4" w:space="0" w:color="auto"/>
              <w:bottom w:val="single" w:sz="4" w:space="0" w:color="auto"/>
              <w:right w:val="single" w:sz="4" w:space="0" w:color="auto"/>
            </w:tcBorders>
          </w:tcPr>
          <w:p>
            <w:pPr>
              <w:pStyle w:val="a7"/>
            </w:pPr>
          </w:p>
        </w:tc>
        <w:tc>
          <w:tcPr>
            <w:tcW w:w="3260" w:type="dxa"/>
            <w:tcBorders>
              <w:top w:val="single" w:sz="4" w:space="0" w:color="auto"/>
              <w:left w:val="single" w:sz="4" w:space="0" w:color="auto"/>
              <w:bottom w:val="single" w:sz="4" w:space="0" w:color="auto"/>
              <w:right w:val="single" w:sz="4" w:space="0" w:color="auto"/>
            </w:tcBorders>
          </w:tcPr>
          <w:p>
            <w:pPr>
              <w:pStyle w:val="a7"/>
            </w:pPr>
          </w:p>
        </w:tc>
        <w:tc>
          <w:tcPr>
            <w:tcW w:w="3119" w:type="dxa"/>
            <w:tcBorders>
              <w:top w:val="single" w:sz="4" w:space="0" w:color="auto"/>
              <w:left w:val="single" w:sz="4" w:space="0" w:color="auto"/>
              <w:bottom w:val="single" w:sz="4" w:space="0" w:color="auto"/>
            </w:tcBorders>
          </w:tcPr>
          <w:p>
            <w:pPr>
              <w:pStyle w:val="a7"/>
            </w:pPr>
          </w:p>
        </w:tc>
      </w:tr>
    </w:tbl>
    <w:p>
      <w:pPr>
        <w:rPr>
          <w:rFonts w:ascii="Times New Roman" w:hAnsi="Times New Roman" w:cs="Times New Roman"/>
          <w:sz w:val="22"/>
          <w:szCs w:val="22"/>
        </w:rPr>
      </w:pPr>
    </w:p>
    <w:bookmarkEnd w:id="65"/>
    <w:p>
      <w:pPr>
        <w:tabs>
          <w:tab w:val="left" w:pos="5272"/>
        </w:tabs>
        <w:rPr>
          <w:rStyle w:val="a3"/>
          <w:rFonts w:ascii="Times New Roman" w:hAnsi="Times New Roman" w:cs="Times New Roman"/>
          <w:bCs/>
          <w:color w:val="auto"/>
        </w:rPr>
      </w:pPr>
    </w:p>
    <w:p>
      <w:pPr>
        <w:jc w:val="right"/>
        <w:rPr>
          <w:rStyle w:val="a3"/>
          <w:rFonts w:ascii="Times New Roman" w:hAnsi="Times New Roman" w:cs="Times New Roman"/>
          <w:bCs/>
          <w:color w:val="auto"/>
        </w:rPr>
      </w:pPr>
      <w:bookmarkStart w:id="71" w:name="sub_11000"/>
    </w:p>
    <w:p>
      <w:pPr>
        <w:jc w:val="right"/>
        <w:rPr>
          <w:rStyle w:val="a3"/>
          <w:rFonts w:ascii="Times New Roman" w:hAnsi="Times New Roman" w:cs="Times New Roman"/>
          <w:bCs/>
          <w:color w:val="auto"/>
        </w:rPr>
      </w:pPr>
    </w:p>
    <w:p>
      <w:pPr>
        <w:jc w:val="right"/>
        <w:rPr>
          <w:rStyle w:val="a3"/>
          <w:rFonts w:ascii="Times New Roman" w:hAnsi="Times New Roman" w:cs="Times New Roman"/>
          <w:bCs/>
          <w:color w:val="auto"/>
        </w:rPr>
      </w:pPr>
    </w:p>
    <w:p>
      <w:pPr>
        <w:jc w:val="right"/>
        <w:rPr>
          <w:rStyle w:val="a3"/>
          <w:rFonts w:ascii="Times New Roman" w:hAnsi="Times New Roman" w:cs="Times New Roman"/>
          <w:bCs/>
          <w:color w:val="auto"/>
        </w:rPr>
      </w:pPr>
    </w:p>
    <w:bookmarkEnd w:id="71"/>
    <w:p>
      <w:pPr>
        <w:rPr>
          <w:rFonts w:ascii="Times New Roman" w:hAnsi="Times New Roman" w:cs="Times New Roman"/>
        </w:rPr>
      </w:pPr>
    </w:p>
    <w:p>
      <w:pPr>
        <w:jc w:val="right"/>
        <w:rPr>
          <w:rStyle w:val="a3"/>
          <w:rFonts w:ascii="Times New Roman" w:hAnsi="Times New Roman" w:cs="Times New Roman"/>
          <w:bCs/>
          <w:color w:val="auto"/>
        </w:rPr>
      </w:pPr>
      <w:r>
        <w:rPr>
          <w:rStyle w:val="a3"/>
          <w:rFonts w:ascii="Times New Roman" w:hAnsi="Times New Roman" w:cs="Times New Roman"/>
          <w:bCs/>
          <w:color w:val="auto"/>
        </w:rPr>
        <w:tab/>
        <w:t>Приложение № 10</w:t>
      </w:r>
      <w:r>
        <w:rPr>
          <w:rStyle w:val="a3"/>
          <w:rFonts w:ascii="Times New Roman" w:hAnsi="Times New Roman" w:cs="Times New Roman"/>
          <w:bCs/>
          <w:color w:val="auto"/>
        </w:rPr>
        <w:br/>
        <w:t>к порядку разработки и реализации</w:t>
      </w:r>
      <w:r>
        <w:rPr>
          <w:rStyle w:val="a3"/>
          <w:rFonts w:ascii="Times New Roman" w:hAnsi="Times New Roman" w:cs="Times New Roman"/>
          <w:bCs/>
          <w:color w:val="auto"/>
        </w:rPr>
        <w:br/>
        <w:t>муниципальных программ города</w:t>
      </w:r>
      <w:r>
        <w:rPr>
          <w:rStyle w:val="a3"/>
          <w:rFonts w:ascii="Times New Roman" w:hAnsi="Times New Roman" w:cs="Times New Roman"/>
          <w:bCs/>
          <w:color w:val="auto"/>
        </w:rPr>
        <w:br/>
        <w:t>Канаш Чувашской Республики</w:t>
      </w:r>
    </w:p>
    <w:p>
      <w:pPr>
        <w:rPr>
          <w:rFonts w:ascii="Times New Roman" w:hAnsi="Times New Roman" w:cs="Times New Roman"/>
        </w:rPr>
      </w:pPr>
    </w:p>
    <w:p>
      <w:pPr>
        <w:pStyle w:val="1"/>
        <w:rPr>
          <w:rFonts w:ascii="Times New Roman" w:hAnsi="Times New Roman" w:cs="Times New Roman"/>
          <w:color w:val="auto"/>
        </w:rPr>
      </w:pPr>
      <w:r>
        <w:rPr>
          <w:rFonts w:ascii="Times New Roman" w:hAnsi="Times New Roman" w:cs="Times New Roman"/>
          <w:color w:val="auto"/>
        </w:rPr>
        <w:t>Информация</w:t>
      </w:r>
      <w:r>
        <w:rPr>
          <w:rFonts w:ascii="Times New Roman" w:hAnsi="Times New Roman" w:cs="Times New Roman"/>
          <w:color w:val="auto"/>
        </w:rPr>
        <w:br/>
        <w:t>о финансировании реализации основных мероприятий подпрограмм муниципальной программы города Канаш Чувашской Республики «____________________________________» за счет всех источников финансирования за _______ год</w:t>
      </w:r>
    </w:p>
    <w:p>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1820"/>
        <w:gridCol w:w="980"/>
        <w:gridCol w:w="980"/>
        <w:gridCol w:w="840"/>
        <w:gridCol w:w="2380"/>
        <w:gridCol w:w="1260"/>
        <w:gridCol w:w="1120"/>
        <w:gridCol w:w="840"/>
        <w:gridCol w:w="840"/>
        <w:gridCol w:w="840"/>
        <w:gridCol w:w="840"/>
        <w:gridCol w:w="980"/>
      </w:tblGrid>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shd w:val="clear" w:color="auto" w:fill="F0F0F0"/>
              </w:rPr>
              <w:t xml:space="preserve"> </w:t>
            </w:r>
            <w:r>
              <w:rPr>
                <w:rFonts w:ascii="Times New Roman" w:hAnsi="Times New Roman" w:cs="Times New Roman"/>
              </w:rPr>
              <w:t>Статус</w:t>
            </w:r>
          </w:p>
        </w:tc>
        <w:tc>
          <w:tcPr>
            <w:tcW w:w="182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Наименование подпрограммы муниципальной программы, основного мероприятия, целевого показателя (индикатора)</w:t>
            </w:r>
          </w:p>
        </w:tc>
        <w:tc>
          <w:tcPr>
            <w:tcW w:w="98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Ответственный исполнитель, соисполнители</w:t>
            </w:r>
          </w:p>
        </w:tc>
        <w:tc>
          <w:tcPr>
            <w:tcW w:w="1820" w:type="dxa"/>
            <w:gridSpan w:val="2"/>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Код бюджетной классификации</w:t>
            </w:r>
          </w:p>
        </w:tc>
        <w:tc>
          <w:tcPr>
            <w:tcW w:w="238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Источники финансирования</w:t>
            </w:r>
          </w:p>
        </w:tc>
        <w:tc>
          <w:tcPr>
            <w:tcW w:w="126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Единица измерения</w:t>
            </w:r>
          </w:p>
        </w:tc>
        <w:tc>
          <w:tcPr>
            <w:tcW w:w="1120" w:type="dxa"/>
            <w:vMerge w:val="restart"/>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Фактические данные за год, предшествующий отчетном*</w:t>
            </w:r>
          </w:p>
        </w:tc>
        <w:tc>
          <w:tcPr>
            <w:tcW w:w="3360" w:type="dxa"/>
            <w:gridSpan w:val="4"/>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Данные за отчетный год</w:t>
            </w:r>
          </w:p>
        </w:tc>
        <w:tc>
          <w:tcPr>
            <w:tcW w:w="980" w:type="dxa"/>
            <w:vMerge w:val="restart"/>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Плановые данные на очередной финансовый год</w:t>
            </w: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главный распорядитель средств бюджета</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целевая статья расходов</w:t>
            </w:r>
          </w:p>
        </w:tc>
        <w:tc>
          <w:tcPr>
            <w:tcW w:w="238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план**</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сводная роспись на 1 января</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сводная роспись на 31 декабря</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факт***</w:t>
            </w:r>
          </w:p>
        </w:tc>
        <w:tc>
          <w:tcPr>
            <w:tcW w:w="980" w:type="dxa"/>
            <w:vMerge/>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w:t>
            </w:r>
          </w:p>
        </w:tc>
        <w:tc>
          <w:tcPr>
            <w:tcW w:w="182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2</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3</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4</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5</w:t>
            </w:r>
          </w:p>
        </w:tc>
        <w:tc>
          <w:tcPr>
            <w:tcW w:w="23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6</w:t>
            </w:r>
          </w:p>
        </w:tc>
        <w:tc>
          <w:tcPr>
            <w:tcW w:w="126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7</w:t>
            </w:r>
          </w:p>
        </w:tc>
        <w:tc>
          <w:tcPr>
            <w:tcW w:w="112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8</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9</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10</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11</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12</w:t>
            </w:r>
          </w:p>
        </w:tc>
        <w:tc>
          <w:tcPr>
            <w:tcW w:w="980" w:type="dxa"/>
            <w:tcBorders>
              <w:top w:val="single" w:sz="4" w:space="0" w:color="auto"/>
              <w:left w:val="single" w:sz="4" w:space="0" w:color="auto"/>
              <w:bottom w:val="single" w:sz="4" w:space="0" w:color="auto"/>
            </w:tcBorders>
          </w:tcPr>
          <w:p>
            <w:pPr>
              <w:pStyle w:val="a7"/>
              <w:jc w:val="center"/>
              <w:rPr>
                <w:rFonts w:ascii="Times New Roman" w:hAnsi="Times New Roman" w:cs="Times New Roman"/>
              </w:rPr>
            </w:pPr>
            <w:r>
              <w:rPr>
                <w:rFonts w:ascii="Times New Roman" w:hAnsi="Times New Roman" w:cs="Times New Roman"/>
              </w:rPr>
              <w:t>13</w:t>
            </w: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1</w:t>
            </w:r>
          </w:p>
        </w:tc>
        <w:tc>
          <w:tcPr>
            <w:tcW w:w="1820" w:type="dxa"/>
            <w:vMerge w:val="restart"/>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lastRenderedPageBreak/>
              <w:t>Целевой показатель (индикатор) муниципальной программы (подпрограммы)</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x</w:t>
            </w: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1.1.</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 муниципальной программы (подпрограммы)</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x</w:t>
            </w: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1.2.</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бюджет города </w:t>
            </w:r>
            <w:r>
              <w:rPr>
                <w:rFonts w:ascii="Times New Roman" w:hAnsi="Times New Roman" w:cs="Times New Roman"/>
              </w:rPr>
              <w:lastRenderedPageBreak/>
              <w:t>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lastRenderedPageBreak/>
              <w:t>тыс. рубл</w:t>
            </w:r>
            <w:r>
              <w:rPr>
                <w:rFonts w:ascii="Times New Roman" w:hAnsi="Times New Roman" w:cs="Times New Roman"/>
              </w:rPr>
              <w:lastRenderedPageBreak/>
              <w:t>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 муниципальной программы (подпрограммы)</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x</w:t>
            </w: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Подпрограмма 2</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 муниципальной программы (подпрограммы)</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x</w:t>
            </w: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2.1</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 xml:space="preserve">республиканский </w:t>
            </w:r>
            <w:r>
              <w:rPr>
                <w:rFonts w:ascii="Times New Roman" w:hAnsi="Times New Roman" w:cs="Times New Roman"/>
              </w:rPr>
              <w:lastRenderedPageBreak/>
              <w:t>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lastRenderedPageBreak/>
              <w:t>тыс. рубл</w:t>
            </w:r>
            <w:r>
              <w:rPr>
                <w:rFonts w:ascii="Times New Roman" w:hAnsi="Times New Roman" w:cs="Times New Roman"/>
              </w:rPr>
              <w:lastRenderedPageBreak/>
              <w:t>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Целевой показатель (индикатор) муниципальной программы (подпрограммы)</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x</w:t>
            </w: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val="restart"/>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Основное мероприятие 2.2</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Style w:val="a3"/>
                <w:rFonts w:ascii="Times New Roman" w:hAnsi="Times New Roman" w:cs="Times New Roman"/>
                <w:bCs/>
                <w:color w:val="auto"/>
              </w:rPr>
              <w:t>всего</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федеральный бюджет</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республиканский бюджет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бюджет города Канаш</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vMerge/>
            <w:tcBorders>
              <w:top w:val="single" w:sz="4" w:space="0" w:color="auto"/>
              <w:bottom w:val="single" w:sz="4" w:space="0" w:color="auto"/>
              <w:right w:val="single" w:sz="4" w:space="0" w:color="auto"/>
            </w:tcBorders>
          </w:tcPr>
          <w:p>
            <w:pPr>
              <w:pStyle w:val="a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Pr>
          <w:p>
            <w:pPr>
              <w:pStyle w:val="a7"/>
              <w:jc w:val="center"/>
              <w:rPr>
                <w:rFonts w:ascii="Times New Roman" w:hAnsi="Times New Roman" w:cs="Times New Roman"/>
              </w:rPr>
            </w:pPr>
            <w:r>
              <w:rPr>
                <w:rFonts w:ascii="Times New Roman" w:hAnsi="Times New Roman" w:cs="Times New Roman"/>
              </w:rPr>
              <w:t>x</w:t>
            </w:r>
          </w:p>
        </w:tc>
        <w:tc>
          <w:tcPr>
            <w:tcW w:w="238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внебюджетные источники</w:t>
            </w:r>
          </w:p>
        </w:tc>
        <w:tc>
          <w:tcPr>
            <w:tcW w:w="1260" w:type="dxa"/>
            <w:tcBorders>
              <w:top w:val="single" w:sz="4" w:space="0" w:color="auto"/>
              <w:left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тыс. рублей</w:t>
            </w: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r>
        <w:tblPrEx>
          <w:tblCellMar>
            <w:top w:w="0" w:type="dxa"/>
            <w:bottom w:w="0" w:type="dxa"/>
          </w:tblCellMar>
        </w:tblPrEx>
        <w:tc>
          <w:tcPr>
            <w:tcW w:w="1540" w:type="dxa"/>
            <w:tcBorders>
              <w:top w:val="single" w:sz="4" w:space="0" w:color="auto"/>
              <w:bottom w:val="single" w:sz="4" w:space="0" w:color="auto"/>
              <w:right w:val="single" w:sz="4" w:space="0" w:color="auto"/>
            </w:tcBorders>
          </w:tcPr>
          <w:p>
            <w:pPr>
              <w:pStyle w:val="a9"/>
              <w:rPr>
                <w:rFonts w:ascii="Times New Roman" w:hAnsi="Times New Roman" w:cs="Times New Roman"/>
              </w:rPr>
            </w:pPr>
            <w:r>
              <w:rPr>
                <w:rFonts w:ascii="Times New Roman" w:hAnsi="Times New Roman" w:cs="Times New Roman"/>
              </w:rPr>
              <w:t>......</w:t>
            </w:r>
          </w:p>
        </w:tc>
        <w:tc>
          <w:tcPr>
            <w:tcW w:w="18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pPr>
              <w:pStyle w:val="a7"/>
              <w:rPr>
                <w:rFonts w:ascii="Times New Roman" w:hAnsi="Times New Roman" w:cs="Times New Roman"/>
              </w:rPr>
            </w:pPr>
          </w:p>
        </w:tc>
        <w:tc>
          <w:tcPr>
            <w:tcW w:w="980" w:type="dxa"/>
            <w:tcBorders>
              <w:top w:val="single" w:sz="4" w:space="0" w:color="auto"/>
              <w:left w:val="single" w:sz="4" w:space="0" w:color="auto"/>
              <w:bottom w:val="single" w:sz="4" w:space="0" w:color="auto"/>
            </w:tcBorders>
          </w:tcPr>
          <w:p>
            <w:pPr>
              <w:pStyle w:val="a7"/>
              <w:rPr>
                <w:rFonts w:ascii="Times New Roman" w:hAnsi="Times New Roman" w:cs="Times New Roman"/>
              </w:rPr>
            </w:pPr>
          </w:p>
        </w:tc>
      </w:tr>
    </w:tbl>
    <w:p>
      <w:pPr>
        <w:rPr>
          <w:rFonts w:ascii="Times New Roman" w:hAnsi="Times New Roman" w:cs="Times New Roman"/>
        </w:rPr>
      </w:pPr>
    </w:p>
    <w:p>
      <w:pPr>
        <w:pStyle w:val="a8"/>
        <w:rPr>
          <w:rFonts w:ascii="Times New Roman" w:hAnsi="Times New Roman" w:cs="Times New Roman"/>
        </w:rPr>
      </w:pPr>
      <w:r>
        <w:rPr>
          <w:rFonts w:ascii="Times New Roman" w:hAnsi="Times New Roman" w:cs="Times New Roman"/>
        </w:rPr>
        <w:t>──────────────────────────────</w:t>
      </w:r>
    </w:p>
    <w:p>
      <w:pPr>
        <w:rPr>
          <w:rFonts w:ascii="Times New Roman" w:hAnsi="Times New Roman" w:cs="Times New Roman"/>
          <w:sz w:val="22"/>
          <w:szCs w:val="22"/>
        </w:rPr>
      </w:pPr>
      <w:bookmarkStart w:id="72" w:name="sub_1211"/>
      <w:r>
        <w:rPr>
          <w:rFonts w:ascii="Times New Roman" w:hAnsi="Times New Roman" w:cs="Times New Roman"/>
          <w:sz w:val="22"/>
          <w:szCs w:val="22"/>
        </w:rPr>
        <w:t>* В случае несоответствия основного мероприятия (мероприятия), реализованного в отчетном периоде, указываются фактические расходы за год, предшествующий отчетному, по однотипному основному мероприятию (мероприятию).</w:t>
      </w:r>
    </w:p>
    <w:p>
      <w:pPr>
        <w:rPr>
          <w:rFonts w:ascii="Times New Roman" w:hAnsi="Times New Roman" w:cs="Times New Roman"/>
          <w:sz w:val="22"/>
          <w:szCs w:val="22"/>
        </w:rPr>
      </w:pPr>
      <w:bookmarkStart w:id="73" w:name="sub_1222"/>
      <w:bookmarkEnd w:id="72"/>
      <w:r>
        <w:rPr>
          <w:rFonts w:ascii="Times New Roman" w:hAnsi="Times New Roman" w:cs="Times New Roman"/>
          <w:sz w:val="22"/>
          <w:szCs w:val="22"/>
        </w:rPr>
        <w:t>** В соответствии с муниципальной программой города Канаш Чувашской Республики.</w:t>
      </w:r>
    </w:p>
    <w:p>
      <w:pPr>
        <w:rPr>
          <w:rStyle w:val="a3"/>
          <w:rFonts w:ascii="Times New Roman" w:hAnsi="Times New Roman" w:cs="Times New Roman"/>
          <w:bCs/>
          <w:color w:val="auto"/>
          <w:sz w:val="22"/>
          <w:szCs w:val="22"/>
        </w:rPr>
      </w:pPr>
      <w:bookmarkStart w:id="74" w:name="sub_1233"/>
      <w:bookmarkEnd w:id="73"/>
      <w:r>
        <w:rPr>
          <w:rFonts w:ascii="Times New Roman" w:hAnsi="Times New Roman" w:cs="Times New Roman"/>
          <w:sz w:val="22"/>
          <w:szCs w:val="22"/>
        </w:rPr>
        <w:t>*** Кассовые расходы за счет средств федерального бюджета, республиканского бюджета Чувашской Республики, бюджета города Канаш, внебюджетных источников.</w:t>
      </w:r>
      <w:bookmarkEnd w:id="74"/>
    </w:p>
    <w:p>
      <w:pPr>
        <w:rPr>
          <w:rFonts w:ascii="Times New Roman" w:hAnsi="Times New Roman" w:cs="Times New Roman"/>
          <w:color w:val="000000" w:themeColor="text1"/>
        </w:rPr>
      </w:pPr>
    </w:p>
    <w:p>
      <w:pPr>
        <w:pStyle w:val="1"/>
        <w:rPr>
          <w:rFonts w:ascii="Times New Roman" w:hAnsi="Times New Roman" w:cs="Times New Roman"/>
          <w:color w:val="auto"/>
        </w:rPr>
      </w:pPr>
    </w:p>
    <w:sectPr>
      <w:pgSz w:w="16800" w:h="11900" w:orient="landscape"/>
      <w:pgMar w:top="1134" w:right="1440" w:bottom="799"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3"/>
      <w:gridCol w:w="3433"/>
    </w:tblGrid>
    <w:tr>
      <w:tblPrEx>
        <w:tblCellMar>
          <w:top w:w="0" w:type="dxa"/>
          <w:left w:w="0" w:type="dxa"/>
          <w:bottom w:w="0" w:type="dxa"/>
          <w:right w:w="0" w:type="dxa"/>
        </w:tblCellMar>
      </w:tblPrEx>
      <w:tc>
        <w:tcPr>
          <w:tcW w:w="3433" w:type="dxa"/>
          <w:tcBorders>
            <w:top w:val="nil"/>
            <w:left w:val="nil"/>
            <w:bottom w:val="nil"/>
            <w:right w:val="nil"/>
          </w:tcBorders>
        </w:tcPr>
        <w:p>
          <w:pPr>
            <w:ind w:firstLine="0"/>
            <w:jc w:val="left"/>
            <w:rPr>
              <w:rFonts w:ascii="Times New Roman" w:hAnsi="Times New Roman" w:cs="Times New Roman"/>
              <w:sz w:val="20"/>
              <w:szCs w:val="20"/>
            </w:rPr>
          </w:pPr>
        </w:p>
      </w:tc>
      <w:tc>
        <w:tcPr>
          <w:tcW w:w="1666" w:type="pct"/>
          <w:tcBorders>
            <w:top w:val="nil"/>
            <w:left w:val="nil"/>
            <w:bottom w:val="nil"/>
            <w:right w:val="nil"/>
          </w:tcBorders>
        </w:tcPr>
        <w:p>
          <w:pPr>
            <w:ind w:firstLine="0"/>
            <w:jc w:val="center"/>
            <w:rPr>
              <w:rFonts w:ascii="Times New Roman" w:hAnsi="Times New Roman" w:cs="Times New Roman"/>
              <w:sz w:val="20"/>
              <w:szCs w:val="20"/>
            </w:rPr>
          </w:pPr>
        </w:p>
      </w:tc>
      <w:tc>
        <w:tcPr>
          <w:tcW w:w="1666" w:type="pct"/>
          <w:tcBorders>
            <w:top w:val="nil"/>
            <w:left w:val="nil"/>
            <w:bottom w:val="nil"/>
            <w:right w:val="nil"/>
          </w:tcBorders>
        </w:tcPr>
        <w:p>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20</w:t>
          </w:r>
          <w:r>
            <w:rPr>
              <w:rFonts w:ascii="Times New Roman" w:hAnsi="Times New Roman" w:cs="Times New Roman"/>
              <w:sz w:val="20"/>
              <w:szCs w:val="2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3"/>
      <w:gridCol w:w="3433"/>
    </w:tblGrid>
    <w:tr>
      <w:tblPrEx>
        <w:tblCellMar>
          <w:top w:w="0" w:type="dxa"/>
          <w:left w:w="0" w:type="dxa"/>
          <w:bottom w:w="0" w:type="dxa"/>
          <w:right w:w="0" w:type="dxa"/>
        </w:tblCellMar>
      </w:tblPrEx>
      <w:tc>
        <w:tcPr>
          <w:tcW w:w="5079" w:type="dxa"/>
          <w:tcBorders>
            <w:top w:val="nil"/>
            <w:left w:val="nil"/>
            <w:bottom w:val="nil"/>
            <w:right w:val="nil"/>
          </w:tcBorders>
        </w:tcPr>
        <w:p>
          <w:pPr>
            <w:ind w:firstLine="0"/>
            <w:jc w:val="left"/>
            <w:rPr>
              <w:rFonts w:ascii="Times New Roman" w:hAnsi="Times New Roman" w:cs="Times New Roman"/>
              <w:sz w:val="20"/>
              <w:szCs w:val="20"/>
            </w:rPr>
          </w:pPr>
        </w:p>
      </w:tc>
      <w:tc>
        <w:tcPr>
          <w:tcW w:w="1666" w:type="pct"/>
          <w:tcBorders>
            <w:top w:val="nil"/>
            <w:left w:val="nil"/>
            <w:bottom w:val="nil"/>
            <w:right w:val="nil"/>
          </w:tcBorders>
        </w:tcPr>
        <w:p>
          <w:pPr>
            <w:ind w:firstLine="0"/>
            <w:jc w:val="center"/>
            <w:rPr>
              <w:rFonts w:ascii="Times New Roman" w:hAnsi="Times New Roman" w:cs="Times New Roman"/>
              <w:sz w:val="20"/>
              <w:szCs w:val="20"/>
            </w:rPr>
          </w:pPr>
        </w:p>
      </w:tc>
      <w:tc>
        <w:tcPr>
          <w:tcW w:w="1666" w:type="pct"/>
          <w:tcBorders>
            <w:top w:val="nil"/>
            <w:left w:val="nil"/>
            <w:bottom w:val="nil"/>
            <w:right w:val="nil"/>
          </w:tcBorders>
        </w:tcPr>
        <w:p>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3"/>
      <w:gridCol w:w="3433"/>
    </w:tblGrid>
    <w:tr>
      <w:tblPrEx>
        <w:tblCellMar>
          <w:top w:w="0" w:type="dxa"/>
          <w:left w:w="0" w:type="dxa"/>
          <w:bottom w:w="0" w:type="dxa"/>
          <w:right w:w="0" w:type="dxa"/>
        </w:tblCellMar>
      </w:tblPrEx>
      <w:tc>
        <w:tcPr>
          <w:tcW w:w="5079" w:type="dxa"/>
          <w:tcBorders>
            <w:top w:val="nil"/>
            <w:left w:val="nil"/>
            <w:bottom w:val="nil"/>
            <w:right w:val="nil"/>
          </w:tcBorders>
        </w:tcPr>
        <w:p>
          <w:pPr>
            <w:ind w:firstLine="0"/>
            <w:jc w:val="left"/>
            <w:rPr>
              <w:rFonts w:ascii="Times New Roman" w:hAnsi="Times New Roman" w:cs="Times New Roman"/>
              <w:sz w:val="20"/>
              <w:szCs w:val="20"/>
            </w:rPr>
          </w:pPr>
        </w:p>
      </w:tc>
      <w:tc>
        <w:tcPr>
          <w:tcW w:w="1666" w:type="pct"/>
          <w:tcBorders>
            <w:top w:val="nil"/>
            <w:left w:val="nil"/>
            <w:bottom w:val="nil"/>
            <w:right w:val="nil"/>
          </w:tcBorders>
        </w:tcPr>
        <w:p>
          <w:pPr>
            <w:ind w:firstLine="0"/>
            <w:jc w:val="center"/>
            <w:rPr>
              <w:rFonts w:ascii="Times New Roman" w:hAnsi="Times New Roman" w:cs="Times New Roman"/>
              <w:sz w:val="20"/>
              <w:szCs w:val="20"/>
            </w:rPr>
          </w:pPr>
        </w:p>
      </w:tc>
      <w:tc>
        <w:tcPr>
          <w:tcW w:w="1666" w:type="pct"/>
          <w:tcBorders>
            <w:top w:val="nil"/>
            <w:left w:val="nil"/>
            <w:bottom w:val="nil"/>
            <w:right w:val="nil"/>
          </w:tcBorders>
        </w:tcPr>
        <w:p>
          <w:pPr>
            <w:ind w:firstLine="0"/>
            <w:jc w:val="right"/>
            <w:rPr>
              <w:rFonts w:ascii="Times New Roman" w:hAnsi="Times New Roman" w:cs="Times New Roman"/>
              <w:sz w:val="20"/>
              <w:szCs w:val="20"/>
            </w:rPr>
          </w:pP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3"/>
      <w:gridCol w:w="3433"/>
    </w:tblGrid>
    <w:tr>
      <w:tblPrEx>
        <w:tblCellMar>
          <w:top w:w="0" w:type="dxa"/>
          <w:left w:w="0" w:type="dxa"/>
          <w:bottom w:w="0" w:type="dxa"/>
          <w:right w:w="0" w:type="dxa"/>
        </w:tblCellMar>
      </w:tblPrEx>
      <w:tc>
        <w:tcPr>
          <w:tcW w:w="3008" w:type="dxa"/>
          <w:tcBorders>
            <w:top w:val="nil"/>
            <w:left w:val="nil"/>
            <w:bottom w:val="nil"/>
            <w:right w:val="nil"/>
          </w:tcBorders>
        </w:tcPr>
        <w:p>
          <w:pPr>
            <w:ind w:firstLine="0"/>
            <w:jc w:val="left"/>
            <w:rPr>
              <w:rFonts w:ascii="Times New Roman" w:hAnsi="Times New Roman" w:cs="Times New Roman"/>
              <w:sz w:val="20"/>
              <w:szCs w:val="20"/>
            </w:rPr>
          </w:pPr>
        </w:p>
      </w:tc>
      <w:tc>
        <w:tcPr>
          <w:tcW w:w="1666" w:type="pct"/>
          <w:tcBorders>
            <w:top w:val="nil"/>
            <w:left w:val="nil"/>
            <w:bottom w:val="nil"/>
            <w:right w:val="nil"/>
          </w:tcBorders>
        </w:tcPr>
        <w:p>
          <w:pPr>
            <w:ind w:firstLine="0"/>
            <w:jc w:val="center"/>
            <w:rPr>
              <w:rFonts w:ascii="Times New Roman" w:hAnsi="Times New Roman" w:cs="Times New Roman"/>
              <w:sz w:val="20"/>
              <w:szCs w:val="20"/>
            </w:rPr>
          </w:pPr>
        </w:p>
      </w:tc>
      <w:tc>
        <w:tcPr>
          <w:tcW w:w="1666" w:type="pct"/>
          <w:tcBorders>
            <w:top w:val="nil"/>
            <w:left w:val="nil"/>
            <w:bottom w:val="nil"/>
            <w:right w:val="nil"/>
          </w:tcBorders>
        </w:tcPr>
        <w:p>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15</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20</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87153"/>
    <w:multiLevelType w:val="hybridMultilevel"/>
    <w:tmpl w:val="8B98AEC4"/>
    <w:lvl w:ilvl="0" w:tplc="21E4B3F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6B3D5B"/>
    <w:multiLevelType w:val="hybridMultilevel"/>
    <w:tmpl w:val="305EFD6E"/>
    <w:lvl w:ilvl="0" w:tplc="303CFC5C">
      <w:start w:val="1"/>
      <w:numFmt w:val="decimal"/>
      <w:lvlText w:val="%1."/>
      <w:lvlJc w:val="left"/>
      <w:pPr>
        <w:ind w:left="1571" w:hanging="360"/>
      </w:pPr>
      <w:rPr>
        <w:rFonts w:ascii="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FE68F1-7F2A-49D2-910A-A725B3BE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rPr>
      <w:rFonts w:ascii="Times New Roman CYR" w:hAnsi="Times New Roman CYR"/>
    </w:rPr>
  </w:style>
  <w:style w:type="paragraph" w:styleId="ab">
    <w:name w:val="header"/>
    <w:basedOn w:val="a"/>
    <w:link w:val="ac"/>
    <w:uiPriority w:val="99"/>
    <w:unhideWhenUsed/>
    <w:pPr>
      <w:tabs>
        <w:tab w:val="center" w:pos="4677"/>
        <w:tab w:val="right" w:pos="9355"/>
      </w:tabs>
    </w:pPr>
  </w:style>
  <w:style w:type="character" w:customStyle="1" w:styleId="ac">
    <w:name w:val="Верхний колонтитул Знак"/>
    <w:basedOn w:val="a0"/>
    <w:link w:val="ab"/>
    <w:uiPriority w:val="99"/>
    <w:rPr>
      <w:rFonts w:ascii="Times New Roman CYR" w:eastAsiaTheme="minorEastAsia" w:hAnsi="Times New Roman CYR" w:cs="Times New Roman CYR"/>
      <w:sz w:val="24"/>
      <w:szCs w:val="24"/>
      <w:lang w:eastAsia="ru-RU"/>
    </w:rPr>
  </w:style>
  <w:style w:type="paragraph" w:styleId="ad">
    <w:name w:val="footer"/>
    <w:basedOn w:val="a"/>
    <w:link w:val="ae"/>
    <w:uiPriority w:val="99"/>
    <w:unhideWhenUsed/>
    <w:pPr>
      <w:tabs>
        <w:tab w:val="center" w:pos="4677"/>
        <w:tab w:val="right" w:pos="9355"/>
      </w:tabs>
    </w:pPr>
  </w:style>
  <w:style w:type="character" w:customStyle="1" w:styleId="ae">
    <w:name w:val="Нижний колонтитул Знак"/>
    <w:basedOn w:val="a0"/>
    <w:link w:val="ad"/>
    <w:uiPriority w:val="99"/>
    <w:rPr>
      <w:rFonts w:ascii="Times New Roman CYR" w:eastAsiaTheme="minorEastAsia" w:hAnsi="Times New Roman CYR" w:cs="Times New Roman CYR"/>
      <w:sz w:val="24"/>
      <w:szCs w:val="24"/>
      <w:lang w:eastAsia="ru-RU"/>
    </w:rPr>
  </w:style>
  <w:style w:type="character" w:styleId="af">
    <w:name w:val="Hyperlink"/>
    <w:basedOn w:val="a0"/>
    <w:uiPriority w:val="99"/>
    <w:semiHidden/>
    <w:unhideWhenUsed/>
    <w:rPr>
      <w:color w:val="0000FF"/>
      <w:u w:val="single"/>
    </w:rPr>
  </w:style>
  <w:style w:type="character" w:customStyle="1" w:styleId="apple-converted-space">
    <w:name w:val="apple-converted-space"/>
  </w:style>
  <w:style w:type="paragraph" w:customStyle="1" w:styleId="s1">
    <w:name w:val="s_1"/>
    <w:basedOn w:val="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af0">
    <w:name w:val="Информация о версии"/>
    <w:basedOn w:val="a6"/>
    <w:next w:val="a"/>
    <w:uiPriority w:val="99"/>
    <w:rPr>
      <w:i/>
      <w:iCs/>
      <w:shd w:val="clear" w:color="auto" w:fill="auto"/>
    </w:rPr>
  </w:style>
  <w:style w:type="paragraph" w:customStyle="1" w:styleId="af1">
    <w:name w:val="Текст информации об изменениях"/>
    <w:basedOn w:val="a"/>
    <w:next w:val="a"/>
    <w:uiPriority w:val="99"/>
    <w:rPr>
      <w:color w:val="353842"/>
      <w:sz w:val="20"/>
      <w:szCs w:val="20"/>
    </w:rPr>
  </w:style>
  <w:style w:type="paragraph" w:customStyle="1" w:styleId="af2">
    <w:name w:val="Информация об изменениях"/>
    <w:basedOn w:val="af1"/>
    <w:next w:val="a"/>
    <w:uiPriority w:val="99"/>
    <w:pPr>
      <w:spacing w:before="180"/>
      <w:ind w:left="360" w:right="360" w:firstLine="0"/>
    </w:pPr>
  </w:style>
  <w:style w:type="paragraph" w:customStyle="1" w:styleId="af3">
    <w:name w:val="Подзаголовок для информации об изменениях"/>
    <w:basedOn w:val="af1"/>
    <w:next w:val="a"/>
    <w:uiPriority w:val="99"/>
    <w:rPr>
      <w:b/>
      <w:bCs/>
    </w:rPr>
  </w:style>
  <w:style w:type="character" w:styleId="af4">
    <w:name w:val="FollowedHyperlink"/>
    <w:basedOn w:val="a0"/>
    <w:uiPriority w:val="99"/>
    <w:semiHidden/>
    <w:unhideWhenUsed/>
    <w:rPr>
      <w:color w:val="800080"/>
      <w:u w:val="single"/>
    </w:r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32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17520999/454" TargetMode="Externa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internet.garant.ru/document/redirect/70408460/2000" TargetMode="External"/><Relationship Id="rId7" Type="http://schemas.openxmlformats.org/officeDocument/2006/relationships/endnotes" Target="endnotes.xml"/><Relationship Id="rId12" Type="http://schemas.openxmlformats.org/officeDocument/2006/relationships/hyperlink" Target="file:///F:\&#1052;&#1045;&#1053;&#1071;&#1045;&#1052;%20&#1055;&#1054;&#1056;&#1071;&#1044;&#1054;&#1050;%20&#1056;&#1040;&#1047;&#1056;&#1040;&#1041;&#1054;&#1058;&#1050;&#1048;%20&#1055;&#1056;&#1054;&#1043;&#1056;&#1040;&#1052;&#1052;\&#1055;&#1086;&#1089;&#1090;&#1072;&#1085;&#1086;&#1074;&#1083;&#1077;&#1085;&#1080;&#1077;%20&#1050;&#1072;&#1073;&#1080;&#1085;&#1077;&#1090;&#1072;%20&#1052;&#1080;&#1085;&#1080;&#1089;&#1090;&#1088;&#1086;&#1074;%20&#1063;&#1091;&#1074;&#1072;&#1096;&#1089;&#1082;&#1086;&#1081;%20&#1056;&#1077;&#1089;&#1087;&#1091;&#1073;&#1083;&#1080;&#1082;&#1080;%20&#1086;&#1090;%2014%20&#1072;&#1087;&#1088;&#1077;&#1083;&#1103;%202011%20&#1075;%20N%20145%20.rtf"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internet.garant.ru/document/redirect/17520999/4" TargetMode="External"/><Relationship Id="rId20" Type="http://schemas.openxmlformats.org/officeDocument/2006/relationships/hyperlink" Target="http://internet.garant.ru/document/redirect/70408460/10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internet.garant.ru/document/redirect/17520999/454" TargetMode="External"/><Relationship Id="rId23" Type="http://schemas.openxmlformats.org/officeDocument/2006/relationships/hyperlink" Target="http://internet.garant.ru/document/redirect/70408460/100350"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internet.garant.ru/document/redirect/17520999/454" TargetMode="External"/><Relationship Id="rId22" Type="http://schemas.openxmlformats.org/officeDocument/2006/relationships/hyperlink" Target="http://internet.garant.ru/document/redirect/70408460/100340"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828AA-7ABA-41A9-A6EE-CF9B3C97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33</Pages>
  <Words>9239</Words>
  <Characters>52666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главы администрации (Владислав Е. Захаров)</dc:creator>
  <cp:keywords/>
  <dc:description/>
  <cp:lastModifiedBy>Глазов Николай Станиславович</cp:lastModifiedBy>
  <cp:revision>52</cp:revision>
  <cp:lastPrinted>2022-12-16T13:18:00Z</cp:lastPrinted>
  <dcterms:created xsi:type="dcterms:W3CDTF">2019-06-26T06:27:00Z</dcterms:created>
  <dcterms:modified xsi:type="dcterms:W3CDTF">2023-03-29T05:06:00Z</dcterms:modified>
</cp:coreProperties>
</file>