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EF" w:rsidRDefault="005970EF" w:rsidP="005970EF">
      <w:pPr>
        <w:spacing w:after="150" w:line="510" w:lineRule="atLeast"/>
        <w:jc w:val="center"/>
        <w:outlineLvl w:val="0"/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</w:pPr>
      <w:r w:rsidRPr="005970EF"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  <w:t>Основания, условия и порядок обжалования решений и действий органов местного самоуправления и их должностных лиц</w:t>
      </w:r>
    </w:p>
    <w:p w:rsidR="005970EF" w:rsidRPr="005970EF" w:rsidRDefault="005970EF" w:rsidP="005970EF">
      <w:pPr>
        <w:spacing w:after="150" w:line="510" w:lineRule="atLeast"/>
        <w:jc w:val="center"/>
        <w:outlineLvl w:val="0"/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970E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Бездействием</w:t>
      </w: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является не совершение соответствующими органами, должностными лицами действий (непринятие решений), обязанность по совершению (принятию) которых возложена на них законом либо иным нормативным правовым актом.</w:t>
      </w:r>
      <w:proofErr w:type="gramEnd"/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судебном порядке на основании ст. 254 Гражданского процессуального кодекса РФ, могут быть обжалованы действия всех лиц, которые постоянно или временно занимают в государственных органах, органах местного самоуправления должности, связанные с выполнением организационно-распорядительных или административно-хозяйственных обязанностей, либо исполняют такие обязанности по специальному полномочию.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Права граждан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 распространены и на организации.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Законодателем созданы благоприятные условия гражданам, а также и организациям, для обращения в суд: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Во-первых, гражданин, организация могут выбирать административную или судебную формы защиты своих прав и свобод, т.е. могут обратиться с заявлением об оспаривании решений и действий (бездействия) органов и лиц, как непосредственно в суд, так и вышестоящий орган государственной власти, орган местного самоуправления, к должностному лицу, государственному и муниципальному служащему. При этом избрание административной формы защиты, не лишает заинтересованного лица права обращения в суд, и не является обязательным условием для подачи заявления в суд;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Во-вторых, гражданин определяет по своему усмотрению суд (альтернативная подсудность) для рассмотрения его заявления, т.е. может обратиться в суд как по своему месту жительства, так и по месту нахождения органа, должностного лица, чьи решения, действия оспариваются. 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Заявление может быть подано как самим гражданином, так и его представителем, имеющим надлежащим образом оформленные полномочия. 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суд могут быть обжалованы как единоличные, так и коллегиальные действия (бездействия), решения государственных органов, органов местного самоуправления, должностных лиц, государственных и муниципальных служащих, в результате которых: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 нарушены права и свободы гражданина;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созданы препятствия осуществлению гражданином его прав и свобод;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 гражданина незаконно возложена какая-либо обязанность или он незаконно привлечен к какой-либо ответственности. 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Каждый гражданин имеет право получить, а должностное лицо, государственные, муниципальные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Установленный срок начинает течь со следующего дня после дня, когда лицо узнало о нарушении своих прав или свобод. Этот момент может быть определен датой получения письменного документа, которым нарушаются права и свободы гражданина, устного отказа в приеме документов, письменного отказа вышестоящего органа в удовлетворении жалобы и т.д.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Заявление об оспаривании решений, действий (бездействия) органов государственной власти, органов местного самоуправления, должностных лиц, государственных или муниципальных служащих должно быть оформлено применительно к правилам, предусмотренным ст. ст. 131, 132 ГПК РФ, и оплачено государственной пошлиной, согласно ст. 333.19 Налогового кодекса РФ.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 рассматривается судом в течение десяти дней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  (статья 257 ГПК РФ).</w:t>
      </w:r>
      <w:proofErr w:type="gramEnd"/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(статья 258 ГПК РФ).</w:t>
      </w:r>
    </w:p>
    <w:p w:rsidR="005970EF" w:rsidRPr="005970EF" w:rsidRDefault="005970EF" w:rsidP="005970E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970E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Статьи 16 и 1069 ГК РФ предусматривают, что вред, причиненный незаконными действиями (бездействием)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акта, возмещается за счет казны РФ, казны соответствующего субъекта РФ, муниципального образования.</w:t>
      </w:r>
    </w:p>
    <w:p w:rsidR="00E76557" w:rsidRDefault="00E76557"/>
    <w:sectPr w:rsidR="00E7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EF"/>
    <w:rsid w:val="005970EF"/>
    <w:rsid w:val="00E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82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Матвеев</dc:creator>
  <cp:lastModifiedBy>Геннадий Матвеев</cp:lastModifiedBy>
  <cp:revision>1</cp:revision>
  <dcterms:created xsi:type="dcterms:W3CDTF">2019-08-26T13:08:00Z</dcterms:created>
  <dcterms:modified xsi:type="dcterms:W3CDTF">2019-08-26T13:10:00Z</dcterms:modified>
</cp:coreProperties>
</file>