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64"/>
        <w:contextualSpacing/>
        <w:ind w:right="53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</w:t>
      </w:r>
      <w:r>
        <w:rPr>
          <w:rFonts w:ascii="Times New Roman" w:hAnsi="Times New Roman" w:cs="Times New Roman"/>
          <w:sz w:val="26"/>
          <w:szCs w:val="26"/>
        </w:rPr>
        <w:t xml:space="preserve">е-</w:t>
      </w:r>
      <w:r>
        <w:rPr>
          <w:rFonts w:ascii="Times New Roman" w:hAnsi="Times New Roman" w:cs="Times New Roman"/>
          <w:sz w:val="26"/>
          <w:szCs w:val="26"/>
        </w:rPr>
        <w:t xml:space="preserve">ния вреда (ущерба) охраняемым законом ценностям при ос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-ществлении регионального гос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-дарственного контроля (надзора) в сфере социального обслужив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-ния на 2025 год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contextualSpacing/>
        <w:ind w:right="481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64"/>
        <w:contextualSpacing/>
        <w:ind w:right="481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31 июля 2020 г. № 248-ФЗ</w:t>
      </w:r>
      <w:r>
        <w:rPr>
          <w:rFonts w:ascii="Times New Roman" w:hAnsi="Times New Roman" w:cs="Times New Roman"/>
          <w:sz w:val="26"/>
          <w:szCs w:val="26"/>
        </w:rPr>
        <w:t xml:space="preserve"> «О гос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дарственном контроле (надзоре) и муниципальном контроле в Российской Федер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ции», постановлением Правительства Российской Федерации от 25 июня 2021 г. № 9</w:t>
      </w:r>
      <w:r>
        <w:rPr>
          <w:rFonts w:ascii="Times New Roman" w:hAnsi="Times New Roman" w:cs="Times New Roman"/>
          <w:sz w:val="26"/>
          <w:szCs w:val="26"/>
        </w:rPr>
        <w:t xml:space="preserve">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Кабинета Министров Чувашской Республики от 29 сентября 2021 г. № 484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региональном государственном контроле (надзоре) в сфере социального обсл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живания»   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 р и к а з ы в а ю: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Утвердить прилагаемую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 на 2025 год.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Сектору контрольно-ревизионной работы отдела правового обеспечения и контрольно-ревизионной работы обеспечить выполнение профилактических мер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приятий, направленных на предупреждение нарушений обязательных требований, соблюдение которых оценивается при осуществлении регионального госуда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ственного контроля (надзора) в сфере социального обслуживания.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shd w:val="clear" w:color="auto" w:fill="auto"/>
            <w:tcW w:w="2500" w:type="pct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2500" w:type="pct"/>
            <w:textDirection w:val="lrTb"/>
            <w:noWrap w:val="false"/>
          </w:tcPr>
          <w:p>
            <w:pPr>
              <w:pStyle w:val="863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А.Г. Елизарова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Министерства труда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социальной защиты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    2024 г. № 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законом ценностям при осуществлении регионального государственного ко</w:t>
      </w:r>
      <w:r>
        <w:rPr>
          <w:rFonts w:ascii="Times New Roman" w:hAnsi="Times New Roman" w:cs="Times New Roman"/>
          <w:b/>
          <w:sz w:val="26"/>
          <w:szCs w:val="26"/>
        </w:rPr>
        <w:t xml:space="preserve">н</w:t>
      </w:r>
      <w:r>
        <w:rPr>
          <w:rFonts w:ascii="Times New Roman" w:hAnsi="Times New Roman" w:cs="Times New Roman"/>
          <w:b/>
          <w:sz w:val="26"/>
          <w:szCs w:val="26"/>
        </w:rPr>
        <w:t xml:space="preserve">троля (надзора) в сфере социального обслуживания на 2025 год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I. Анализ текущего состояния осуществления регионального госуда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ственного контроля (надзора) в сфере социального обслуживания, описание текущего развития профилактической деятельности, характеристика пр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блем, на решение которых направлена программа профилактики рисков пр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чинения вреда (ущерба) охраняемым законом ценностям</w:t>
      </w:r>
      <w:r/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регионального государстве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ного контроля (надзора) в сфере социального обслуживания на 2025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ном ценностям, соблюдение которых оценивается в рамках осуществления реги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нального государственного контроля (надзора) в сфере социального обслуживания (далее – региональный государственный контроль (надзор).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государственный контроль (надзор) осуществляется Мин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стерством труда и социальной защиты Чувашской Республики (далее – Минтруд Чувашии) в соответствии с Федеральным законом «Об основах социального о</w:t>
      </w:r>
      <w:r>
        <w:rPr>
          <w:rFonts w:ascii="Times New Roman" w:hAnsi="Times New Roman" w:cs="Times New Roman"/>
          <w:sz w:val="26"/>
          <w:szCs w:val="26"/>
        </w:rPr>
        <w:t xml:space="preserve">б</w:t>
      </w:r>
      <w:r>
        <w:rPr>
          <w:rFonts w:ascii="Times New Roman" w:hAnsi="Times New Roman" w:cs="Times New Roman"/>
          <w:sz w:val="26"/>
          <w:szCs w:val="26"/>
        </w:rPr>
        <w:t xml:space="preserve">служивания граждан в Российской Федерации»,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31 июля 2020 г. № 248-ФЗ</w:t>
      </w:r>
      <w:r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ле в Российской Федерации», Положением о региональном государственном ко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троле (надзоре) в сфере социального обслуживания, утвержденным постановлен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ем Кабинета Министров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Чувашской Республики от 29 сентября 2021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г. № 484 (д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лее – Положение о региональном государственном контроле (надзоре).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Чувашской Республике создана и активно развивается система предоста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ления социальных услуг пожилым людям, инвалидам, одиноким лицам, детям, в силу определенных обстоятельств оставшимся без помощи взрослых, а также д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тям с особыми потребностями. Система социального обслуживания находится в постоянном развитии, направленном на удовлетворение потребностей граждан в разли</w:t>
      </w:r>
      <w:r>
        <w:rPr>
          <w:rFonts w:ascii="Times New Roman" w:hAnsi="Times New Roman" w:cs="Times New Roman"/>
          <w:sz w:val="26"/>
          <w:szCs w:val="26"/>
        </w:rPr>
        <w:t xml:space="preserve">чных формах и видах услуг, проводится работа по приближению услуг к их потребителю. В Чувашской Республике разработаны нормативные правовые акты для привлечения к предоставлению услуг негосударственного сектора, в том числе индивидуальных предпринимателей.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Предметом регионального государственного контроля (надзора) в сфере с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циального обслуживания является соблюдение поставщиками социальных услуг из числа негосударственных (коммерческих и некоммерческих) организаций социал</w:t>
      </w:r>
      <w:r>
        <w:rPr>
          <w:rFonts w:ascii="Times New Roman" w:hAnsi="Times New Roman" w:cs="Times New Roman"/>
          <w:sz w:val="26"/>
          <w:szCs w:val="26"/>
        </w:rPr>
        <w:t xml:space="preserve">ь</w:t>
      </w:r>
      <w:r>
        <w:rPr>
          <w:rFonts w:ascii="Times New Roman" w:hAnsi="Times New Roman" w:cs="Times New Roman"/>
          <w:sz w:val="26"/>
          <w:szCs w:val="26"/>
        </w:rPr>
        <w:t xml:space="preserve">ного обслуживания и индивидуальных предпринимателей, осуществляющих соц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альное обслуживание (далее – поставщик социальных услуг), требований Фед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рального закона «Об основах социального обслуживания граждан в Российской Федерации», других федеральных законов и иных нормативных правовых актов Российской Федерации, а также законов и иных нормативных правовых актов Ч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вашской Республики, регулирующих правоотношения в сфере социального обсл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живания (далее – обязательные требования).</w:t>
      </w:r>
      <w:r/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осуществлении регионального государственного контроля (надзора) применяется система оценки и управления рисками. Минтруд Чувашии при ос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ществлении регионального государственного контроля (надзора) относит объекты контроля к одной из следующих категорий риска причинения вреда (ущерба) (д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лее – категория риска):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высокий риск;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средний риск;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низкий риск.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Критериями отнесения объектов контроля к категориям риска с учетом т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жести и вероятности причинения ими вреда (ущерба) охраняемым законом ценн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стям в результате наступления негативных событий, а также вероятности несобл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дения ими обязательных требований являются: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выявленных в ходе контрольных (надзорных) мероприятий наруш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ний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получателей социальных услуг.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 контроля относится к категории высокого риска, если: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последнего контрольного (надзорного) мероприятия выявлены нар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шения соблюдения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получателей социальных услуг составляет 50 и более человек.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 контроля относится к категории среднего риска, если: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последнего контрольного (надзорного) мероприятия нарушения с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блюдения обязательных требований не выявлены;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получателей социальных услуг составляет 50 и более человек.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 контроля относится к категории низкого риска, если количество п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лучателей социальных услуг составляет менее 50 человек.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объекта контроля, который отнесен к категории высокого ри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ка, плановые контрольные (надзорные) мероприятия в виде инспекционного виз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та, документарной проверки и выездной проверки проводятся с периодичностью один раз в два года.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объекта контроля, который отнесен к категории среднего ри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ка, плановые контрольные (надзорные) мероприятия в виде инспекционного виз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та, документарной проверки и выездной проверки проводятся с периодичностью один раз в три года.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объекта контроля, который отнесен к категории низкого риска, плановые контрольные (надзорные) мероприятия не проводятся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постановления Правительства Российской Федерации от 10 марта 2022 г. № 336 «Об особенностях организации и осуществления госуда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ственного контроля (надзора), муниципального контроля» в 2024 году по состо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нию на текущую дату проведение плановых проверок Минтрудом Чувашии не осуществлялось, проведение внеплановых проверок не осуществлялось в связи с отсутствием оснований для их проведения.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проблемами подконтрольной среды, на решение которых направлена Программа, являются: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несоблюдение порядков и стандартов предоставления социальных услуг;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невыполнение условий признания граждан нуждающимися в социальном о</w:t>
      </w:r>
      <w:r>
        <w:rPr>
          <w:rFonts w:ascii="Times New Roman" w:hAnsi="Times New Roman" w:cs="Times New Roman"/>
          <w:sz w:val="26"/>
          <w:szCs w:val="26"/>
        </w:rPr>
        <w:t xml:space="preserve">б</w:t>
      </w:r>
      <w:r>
        <w:rPr>
          <w:rFonts w:ascii="Times New Roman" w:hAnsi="Times New Roman" w:cs="Times New Roman"/>
          <w:sz w:val="26"/>
          <w:szCs w:val="26"/>
        </w:rPr>
        <w:t xml:space="preserve">служивании;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неправомерное неоказание (или оказание) определенных видов социальных услуг.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Варианты решения проблем, реализуемые в рамках Программы: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повышение уровня информированности поставщиков социальных услуг об обязанностях по соблюдению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оказание методической помощи поставщикам социальных услуг по обесп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чению соблюдения обязательных требований.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повышение эффективности защиты прав граждан на качественное пред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ставление социальных услуг;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усиление контроля за качеством предоставления социальных услуг и собл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дением требований порядков и стандартов при предоставлении социальных услуг;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II. Цели и задачи реализации Программы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Целями реализации Программы являются: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</w:t>
      </w:r>
      <w:r/>
    </w:p>
    <w:p>
      <w:pPr>
        <w:pStyle w:val="863"/>
        <w:contextualSpacing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/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условий для доведения обязательных требований до контролиру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мых лиц, повышение информированности о способах их соблюдения.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предотвращение угрозы причинения, либо причинения вреда охраняемым законом ценностям вследствие нарушений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моделей социально ответственного, добросовестного, прав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вого поведения контролируемых лиц;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повышение прозрачности системы контрольно-надзорной деятельности.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Задачами реализации Программы являются: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выявление факторов угрозы причинения, либо причинения вреда (ущерба), причин и условий, способствующих нарушению обязательных требований, опред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ление способов устранения или снижения угрозы;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присвоенных контрол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руемым лицам категорий риска;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регионального государственного ко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троля (надзора);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единого понимания обязательных требований у всех участн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ков контрольно-надзорной деятельности;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и внедрение мер системы позитивной профилактики, повышение уровня правовой грамотности контролируемых лиц, в том числе путем обеспеч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ния доступности информации об обязательных требованиях и необходимых мерах по их исполнению;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снижение издержек контрольно-надзорной деятельности и администрати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ной нагрузки на контролируемых лиц.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III. Профилактические мероприятия,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сроки (периодичность) их проведения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Статьей 8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31 июля 2020 г. № 248-ФЗ</w:t>
      </w:r>
      <w:r>
        <w:rPr>
          <w:rFonts w:ascii="Times New Roman" w:hAnsi="Times New Roman" w:cs="Times New Roman"/>
          <w:sz w:val="26"/>
          <w:szCs w:val="26"/>
        </w:rPr>
        <w:t xml:space="preserve"> «О государстве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ном контроле (надзоре) и муниципальном контроле в Российской Федерации» установлен приоритет профилактических мероприятий по отношению к контрол</w:t>
      </w:r>
      <w:r>
        <w:rPr>
          <w:rFonts w:ascii="Times New Roman" w:hAnsi="Times New Roman" w:cs="Times New Roman"/>
          <w:sz w:val="26"/>
          <w:szCs w:val="26"/>
        </w:rPr>
        <w:t xml:space="preserve">ь</w:t>
      </w:r>
      <w:r>
        <w:rPr>
          <w:rFonts w:ascii="Times New Roman" w:hAnsi="Times New Roman" w:cs="Times New Roman"/>
          <w:sz w:val="26"/>
          <w:szCs w:val="26"/>
        </w:rPr>
        <w:t xml:space="preserve">но-надзорным мероприятиям.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Положением о региональном государственном контроле (надзоре) пред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сматриваются следующие профилактические мероприятия при осуществлении р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гионального государственного контроля (надзора):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информирование;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обобщение правоприменительной практики;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объявление предостережения о недопустимости нарушения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консультирование;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профилактический визит.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Минтруд Чувашии осуществляют информирование поставщиков социальных услуг и иных заинтересованных лиц по вопросам соблюдения обязательных треб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ваний.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Информирование осуществляется посредством размещения соответству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щих сведений на официальном сайте Минтруда Чувашии в информационно-телекоммуникационной сети «Интернет», в средствах массовой информации и в иных формах.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обобщения правоприменительной практики Минтруд Чувашии подготавливает доклад, содержащий результаты обобщения правоприменительной практики Минтруда Чувашии.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случаях наличия у Минтруда Чувашии сведений о готовящихся нарушен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ях обязательных требований или признаках нарушений обязательных требований и (или) в случаях отсутствия подтвержденных данных о том, что нарушение обяз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тельных требований причинило вред (ущерб) охраняемым законом ценностям либо создало угрозу причинения вреда (ущерба) охраняемым законом ценностям, Ми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труд Чувашии объявляет поставщикам социальных услуг предостережение и пре</w:t>
      </w: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лагает принять меры по обеспечению соблюдения обязательных требований.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Консультирование поставщиков социальных услуг осуществляется Минтр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дом Чувашии в соответствии со статьей 50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31 июля 2020 г. № 248-ФЗ</w:t>
      </w:r>
      <w:r>
        <w:rPr>
          <w:rFonts w:ascii="Times New Roman" w:hAnsi="Times New Roman" w:cs="Times New Roman"/>
          <w:sz w:val="26"/>
          <w:szCs w:val="26"/>
        </w:rPr>
        <w:t xml:space="preserve"> «О государственном кон</w:t>
      </w:r>
      <w:r>
        <w:rPr>
          <w:rFonts w:ascii="Times New Roman" w:hAnsi="Times New Roman" w:cs="Times New Roman"/>
          <w:sz w:val="26"/>
          <w:szCs w:val="26"/>
        </w:rPr>
        <w:t xml:space="preserve">троле (надзоре) и муниципальном контроле в Российской Федерации» в письменной форме при их письменном обращении, в устной форме по телефону, посредством видео-конференц-связи, на личном приеме или в ходе осуществления контрольного (надзорного) мероприятия.</w:t>
      </w:r>
      <w:r/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Консультирование осуществляется по следующим вопросам: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профилактика рисков нарушения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соблюдение обязательных требований при предоставлении социальных услуг;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осуществления регионального государственного контроля (надз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ра);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Минтруда Чувашии.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Консультирование осуществляется:</w:t>
      </w:r>
      <w:r/>
    </w:p>
    <w:p>
      <w:pPr>
        <w:pStyle w:val="863"/>
        <w:contextualSpacing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при личном обращении – на личном приеме, посредством телефонной связи, электронной почты, видео-конференц-связи;</w:t>
      </w:r>
      <w:r/>
    </w:p>
    <w:p>
      <w:pPr>
        <w:pStyle w:val="863"/>
        <w:contextualSpacing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при получении письменного запроса – посредством ответа в письменной форме в порядке, установленном законодательством Российской Федерации о ра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смотрении обращений граждан;</w:t>
      </w:r>
      <w:r/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проведения профилактического мероприятия, контрольного (надзо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ного) мероприятия.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Профилактические визиты проводятся должностными лицами Минтруда Ч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вашии в соответствии со статьей 52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31 июля 2020 г.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№ 248-ФЗ</w:t>
      </w:r>
      <w:r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Федерации».</w:t>
      </w:r>
      <w:r/>
    </w:p>
    <w:p>
      <w:pPr>
        <w:pStyle w:val="863"/>
        <w:contextualSpacing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должностными лицами в форме пр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филактической беседы по месту осуществления деятельности поставщика социал</w:t>
      </w:r>
      <w:r>
        <w:rPr>
          <w:rFonts w:ascii="Times New Roman" w:hAnsi="Times New Roman" w:cs="Times New Roman"/>
          <w:sz w:val="26"/>
          <w:szCs w:val="26"/>
        </w:rPr>
        <w:t xml:space="preserve">ь</w:t>
      </w:r>
      <w:r>
        <w:rPr>
          <w:rFonts w:ascii="Times New Roman" w:hAnsi="Times New Roman" w:cs="Times New Roman"/>
          <w:sz w:val="26"/>
          <w:szCs w:val="26"/>
        </w:rPr>
        <w:t xml:space="preserve">ных услуг либо посредством видео-конференц-связи.</w:t>
      </w:r>
      <w:r/>
    </w:p>
    <w:p>
      <w:pPr>
        <w:pStyle w:val="863"/>
        <w:contextualSpacing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ходе профилактического визита поставщик социальных услуг информир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ется об обязательных требованиях, предъявляемых к его деятельности либо к пр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надлежащим ему объектам контроля, их соответствии категориям риска, основан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ях и о рекомендуемых способах снижения категории риска, а также о видах, с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держании и об интенсивности контрольных (надзорных) мероприятий, проводимых в отношении объекта контроля исходя из его отнесения к определенной категории риска.</w:t>
      </w:r>
      <w:r/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профилактических мероприятий с указанием сроков (периодичн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сти) их проведения, ответственного структурного подразделения Минтруда Чув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шии приведен в приложении к Программе.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IV. Показатели результативности и эффективности Программы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деятельности Минтруда Чув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шии и его должностных лиц по региональному государственному контролю (надзору) осуществляется на основе системы показателей результативности и э</w:t>
      </w:r>
      <w:r>
        <w:rPr>
          <w:rFonts w:ascii="Times New Roman" w:hAnsi="Times New Roman" w:cs="Times New Roman"/>
          <w:sz w:val="26"/>
          <w:szCs w:val="26"/>
        </w:rPr>
        <w:t xml:space="preserve">ф</w:t>
      </w:r>
      <w:r>
        <w:rPr>
          <w:rFonts w:ascii="Times New Roman" w:hAnsi="Times New Roman" w:cs="Times New Roman"/>
          <w:sz w:val="26"/>
          <w:szCs w:val="26"/>
        </w:rPr>
        <w:t xml:space="preserve">фективности, в которые входят: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 ключевой показатель регионального государственного контроля (надзора), которым является доля граждан, жизни и здоровью которых был причинен вред в результате нарушения поставщиками социальных услуг требований законодател</w:t>
      </w:r>
      <w:r>
        <w:rPr>
          <w:rFonts w:ascii="Times New Roman" w:hAnsi="Times New Roman" w:cs="Times New Roman"/>
          <w:sz w:val="26"/>
          <w:szCs w:val="26"/>
        </w:rPr>
        <w:t xml:space="preserve">ь</w:t>
      </w:r>
      <w:r>
        <w:rPr>
          <w:rFonts w:ascii="Times New Roman" w:hAnsi="Times New Roman" w:cs="Times New Roman"/>
          <w:sz w:val="26"/>
          <w:szCs w:val="26"/>
        </w:rPr>
        <w:t xml:space="preserve">ства в сфере социального обслуживания граждан, от общего количества получат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лей социальных услуг. Целевое значение ключевого показателя принимается ра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ным нулю;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 индикативные показатели результативности и эффективности регионал</w:t>
      </w:r>
      <w:r>
        <w:rPr>
          <w:rFonts w:ascii="Times New Roman" w:hAnsi="Times New Roman" w:cs="Times New Roman"/>
          <w:sz w:val="26"/>
          <w:szCs w:val="26"/>
        </w:rPr>
        <w:t xml:space="preserve">ь</w:t>
      </w:r>
      <w:r>
        <w:rPr>
          <w:rFonts w:ascii="Times New Roman" w:hAnsi="Times New Roman" w:cs="Times New Roman"/>
          <w:sz w:val="26"/>
          <w:szCs w:val="26"/>
        </w:rPr>
        <w:t xml:space="preserve">ного государственного контроля (надзора):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обращений от получателей социальных услуг, а также граждан и </w:t>
      </w:r>
      <w:r>
        <w:rPr>
          <w:rFonts w:ascii="Times New Roman" w:hAnsi="Times New Roman" w:cs="Times New Roman"/>
          <w:sz w:val="26"/>
          <w:szCs w:val="26"/>
        </w:rPr>
        <w:t xml:space="preserve">организаций о нарушении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проведенных плановых контрольных (надзорных) мероприятий;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проведенных внеплановых контрольных (надзорных) меропри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тий;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выданных предостережений о недопустимости нарушения обяз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тельных требований;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поданных возражений в отношении выданных предостережений;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проведенных профилактических визитов;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принятых органами прокуратуры решений о согласовании пр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ведения внепланового контрольного (надзорного) мероприятия;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привлеченных к проведению контрольных (надзорных) меропр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ятий экспертных организаций, экспертов, а также специалистов, обладающих сп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циальными знаниями и навыками;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выявленных нарушений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поступивших возражений в отношении акта контрольного (надзорного) мероприятия;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выданных предписаний об устранении нарушений обязательных требований;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устраненных нарушений обязательных требований.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Указанные индикативные показатели используются при подготовке ежего</w:t>
      </w: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ного доклада о государственном контроле (надзоре) в сфере социального обслуж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вания, осуществляемой в соответствии с постановлением Правительства Росси</w:t>
      </w:r>
      <w:r>
        <w:rPr>
          <w:rFonts w:ascii="Times New Roman" w:hAnsi="Times New Roman" w:cs="Times New Roman"/>
          <w:sz w:val="26"/>
          <w:szCs w:val="26"/>
        </w:rPr>
        <w:t xml:space="preserve">й</w:t>
      </w:r>
      <w:r>
        <w:rPr>
          <w:rFonts w:ascii="Times New Roman" w:hAnsi="Times New Roman" w:cs="Times New Roman"/>
          <w:sz w:val="26"/>
          <w:szCs w:val="26"/>
        </w:rPr>
        <w:t xml:space="preserve">ской Федерации от 7 декабря 2020 г. № 2041 «Об утверждении требований к подг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товке докладов о видах государственного контроля (надзора), муниципального контроля и сводного доклада о государственном контроле (надзоре), муниципал</w:t>
      </w:r>
      <w:r>
        <w:rPr>
          <w:rFonts w:ascii="Times New Roman" w:hAnsi="Times New Roman" w:cs="Times New Roman"/>
          <w:sz w:val="26"/>
          <w:szCs w:val="26"/>
        </w:rPr>
        <w:t xml:space="preserve">ь</w:t>
      </w:r>
      <w:r>
        <w:rPr>
          <w:rFonts w:ascii="Times New Roman" w:hAnsi="Times New Roman" w:cs="Times New Roman"/>
          <w:sz w:val="26"/>
          <w:szCs w:val="26"/>
        </w:rPr>
        <w:t xml:space="preserve">ном контроле в Российской Федерации».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показателей результативности и эффективности программы проф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лактики осуществляется в рамках подготовки доклада о правоприменительной практике до 31 марта 2026 года.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contextualSpacing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contextualSpacing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профилактики рисков причинения вреда (ущерба) охраня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мым законом ценностям при осущест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лении регионального государственного контроля (надзора) в сфере социальн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го обслуживания на 2025 год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Профилактические мероприятия,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(периодичность) их проведения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tbl>
      <w:tblPr>
        <w:tblW w:w="5000" w:type="pct"/>
        <w:tblBorders>
          <w:top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1701"/>
        <w:gridCol w:w="1524"/>
      </w:tblGrid>
      <w:tr>
        <w:tblPrEx/>
        <w:trPr>
          <w:cantSplit/>
          <w:trHeight w:val="85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63"/>
        <w:contextualSpacing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1701"/>
        <w:gridCol w:w="1524"/>
      </w:tblGrid>
      <w:tr>
        <w:tblPrEx/>
        <w:trPr>
          <w:trHeight w:val="260"/>
          <w:tblHeader/>
        </w:trPr>
        <w:tc>
          <w:tcPr>
            <w:tcBorders>
              <w:left w:val="non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524" w:type="dxa"/>
            <w:vAlign w:val="center"/>
            <w:textDirection w:val="lrTb"/>
            <w:noWrap w:val="false"/>
          </w:tcPr>
          <w:p>
            <w:pPr>
              <w:pStyle w:val="8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Borders>
              <w:lef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труда и социальной защиты Чувашской Республики (далее – Минтруд Чувашии) в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«Интернет» информации,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смотренной статьей 46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закона от 31 июля 2020 г. № 248-ФЗ «О государственном контроле (надзоре) 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контроле в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(поддержание информации в актуальном состоянии)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524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трольно-ре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печения и контрольно-ре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left w:val="non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практики, подготовка и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доклада о правоприменител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524" w:type="dxa"/>
            <w:vMerge w:val="restart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трольно-ре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печения и контрольно-ре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left w:val="non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утвержденного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клада о правоприменительной практике на официальном сайте Минтруда Чувашии в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дней со дня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клада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52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lef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 недоп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предостережений о недопустимости нарушения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бований Федерального закона «Об основах социального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граждан в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рации», других федеральных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 и иных нормативных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актов Российской Федерации, а также законов и иных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правовых актов Чувашской Республики, регулирующих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воотношения в сфере социального обслуживания (далее –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требования) контролируемым лицам в случае наличия у Минт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 Чувашии сведений о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нарушениях обязательных требований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признаках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шений обязательных требований и (или) в случае отсутствия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твержденных данных о том, что нарушение обязательных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причинило вред (ущерб) охраняемым законом ценностям либо создало угрозу причинения вреда (ущерба) охраняемым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524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трольно-ре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печения и контрольно-ре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lef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личном обращении – на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приеме, посредством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фонной связи, электронной почты, видео-конференц-связи;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письменного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проса – посредством ответа в письменной форме в порядке, установленном законодательством Российской Федерации о рассмо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рении обращений граждан;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профилактич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мероприятия, контрольного (надзорного) мероприятия.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524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трольно-ре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печения и контрольно-ре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left w:val="non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объектов контроля, отнесенных к категории высокого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524" w:type="dxa"/>
            <w:vMerge w:val="restart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трольно-ре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печения и контрольно-ре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left w:val="non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контролируемых лиц, приступающих к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деятельности в сфере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в течение одного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52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left w:val="non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контролируемого лица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новленные Федеральным законом от 31 июля 2020 г. № 248-ФЗ «О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контроле (надзоре) 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52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63"/>
        <w:contextualSpacing/>
        <w:jc w:val="both"/>
        <w:rPr>
          <w:rFonts w:ascii="Times New Roman" w:hAnsi="Times New Roman" w:cs="Times New Roman"/>
          <w:sz w:val="24"/>
          <w:szCs w:val="12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12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8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</w:p>
  <w:p>
    <w:pPr>
      <w:pStyle w:val="86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72">
    <w:name w:val="Heading 1"/>
    <w:basedOn w:val="671"/>
    <w:next w:val="671"/>
    <w:link w:val="69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70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70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7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70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7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6" w:customStyle="1">
    <w:name w:val="Heading 3 Char"/>
    <w:basedOn w:val="681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81"/>
    <w:uiPriority w:val="10"/>
    <w:rPr>
      <w:sz w:val="48"/>
      <w:szCs w:val="48"/>
    </w:rPr>
  </w:style>
  <w:style w:type="character" w:styleId="694" w:customStyle="1">
    <w:name w:val="Subtitle Char"/>
    <w:basedOn w:val="681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</w:style>
  <w:style w:type="paragraph" w:styleId="709">
    <w:name w:val="Title"/>
    <w:basedOn w:val="671"/>
    <w:next w:val="671"/>
    <w:link w:val="710"/>
    <w:uiPriority w:val="10"/>
    <w:qFormat/>
    <w:pPr>
      <w:contextualSpacing/>
      <w:spacing w:before="300"/>
    </w:pPr>
    <w:rPr>
      <w:sz w:val="48"/>
      <w:szCs w:val="48"/>
    </w:rPr>
  </w:style>
  <w:style w:type="character" w:styleId="710" w:customStyle="1">
    <w:name w:val="Название Знак"/>
    <w:basedOn w:val="681"/>
    <w:link w:val="709"/>
    <w:uiPriority w:val="10"/>
    <w:rPr>
      <w:sz w:val="48"/>
      <w:szCs w:val="48"/>
    </w:rPr>
  </w:style>
  <w:style w:type="paragraph" w:styleId="711">
    <w:name w:val="Subtitle"/>
    <w:basedOn w:val="671"/>
    <w:next w:val="671"/>
    <w:link w:val="712"/>
    <w:uiPriority w:val="11"/>
    <w:qFormat/>
    <w:pPr>
      <w:spacing w:before="200"/>
    </w:pPr>
    <w:rPr>
      <w:sz w:val="24"/>
      <w:szCs w:val="24"/>
    </w:rPr>
  </w:style>
  <w:style w:type="character" w:styleId="712" w:customStyle="1">
    <w:name w:val="Подзаголовок Знак"/>
    <w:basedOn w:val="681"/>
    <w:link w:val="711"/>
    <w:uiPriority w:val="11"/>
    <w:rPr>
      <w:sz w:val="24"/>
      <w:szCs w:val="24"/>
    </w:rPr>
  </w:style>
  <w:style w:type="paragraph" w:styleId="713">
    <w:name w:val="Quote"/>
    <w:basedOn w:val="671"/>
    <w:next w:val="671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71"/>
    <w:next w:val="671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character" w:styleId="717" w:customStyle="1">
    <w:name w:val="Header Char"/>
    <w:basedOn w:val="681"/>
    <w:uiPriority w:val="99"/>
  </w:style>
  <w:style w:type="character" w:styleId="718" w:customStyle="1">
    <w:name w:val="Footer Char"/>
    <w:basedOn w:val="681"/>
    <w:uiPriority w:val="99"/>
  </w:style>
  <w:style w:type="paragraph" w:styleId="719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0" w:customStyle="1">
    <w:name w:val="Caption Char"/>
    <w:uiPriority w:val="99"/>
  </w:style>
  <w:style w:type="table" w:styleId="721" w:customStyle="1">
    <w:name w:val="Table Grid Light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 w:customStyle="1">
    <w:name w:val="Plain Table 1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2"/>
    <w:basedOn w:val="6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3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 w:customStyle="1">
    <w:name w:val="Plain Table 4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Plain Table 5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1 Light"/>
    <w:basedOn w:val="6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2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4"/>
    <w:basedOn w:val="6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basedOn w:val="6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basedOn w:val="6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basedOn w:val="6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basedOn w:val="6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6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 w:customStyle="1">
    <w:name w:val="Grid Table 5 Dark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7 Colorful"/>
    <w:basedOn w:val="6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"/>
    <w:basedOn w:val="6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2"/>
    <w:basedOn w:val="6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 w:customStyle="1">
    <w:name w:val="List Table 3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5 Dark"/>
    <w:basedOn w:val="6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 w:customStyle="1">
    <w:name w:val="List Table 7 Colorful"/>
    <w:basedOn w:val="6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basedOn w:val="6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basedOn w:val="6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basedOn w:val="6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basedOn w:val="6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basedOn w:val="6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basedOn w:val="6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basedOn w:val="6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6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basedOn w:val="6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basedOn w:val="6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basedOn w:val="6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basedOn w:val="6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6">
    <w:name w:val="footnote text"/>
    <w:basedOn w:val="671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81"/>
    <w:uiPriority w:val="99"/>
    <w:unhideWhenUsed/>
    <w:rPr>
      <w:vertAlign w:val="superscript"/>
    </w:rPr>
  </w:style>
  <w:style w:type="paragraph" w:styleId="849">
    <w:name w:val="endnote text"/>
    <w:basedOn w:val="671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81"/>
    <w:uiPriority w:val="99"/>
    <w:semiHidden/>
    <w:unhideWhenUsed/>
    <w:rPr>
      <w:vertAlign w:val="superscript"/>
    </w:rPr>
  </w:style>
  <w:style w:type="paragraph" w:styleId="852">
    <w:name w:val="toc 1"/>
    <w:basedOn w:val="671"/>
    <w:next w:val="671"/>
    <w:uiPriority w:val="39"/>
    <w:unhideWhenUsed/>
    <w:pPr>
      <w:spacing w:after="57"/>
    </w:pPr>
  </w:style>
  <w:style w:type="paragraph" w:styleId="85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5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5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5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5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5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5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71"/>
    <w:next w:val="671"/>
    <w:uiPriority w:val="99"/>
    <w:unhideWhenUsed/>
    <w:pPr>
      <w:spacing w:after="0"/>
    </w:pPr>
  </w:style>
  <w:style w:type="paragraph" w:styleId="863" w:customStyle="1">
    <w:name w:val="ConsPlusNormal"/>
    <w:pPr>
      <w:widowControl w:val="off"/>
    </w:pPr>
    <w:rPr>
      <w:rFonts w:eastAsia="Times New Roman" w:cs="Calibri"/>
      <w:sz w:val="22"/>
      <w:szCs w:val="22"/>
    </w:rPr>
  </w:style>
  <w:style w:type="paragraph" w:styleId="864" w:customStyle="1">
    <w:name w:val="ConsPlusTitle"/>
    <w:uiPriority w:val="99"/>
    <w:pPr>
      <w:widowControl w:val="off"/>
    </w:pPr>
    <w:rPr>
      <w:rFonts w:eastAsia="Times New Roman" w:cs="Calibri"/>
      <w:b/>
      <w:bCs/>
      <w:sz w:val="22"/>
      <w:szCs w:val="22"/>
    </w:rPr>
  </w:style>
  <w:style w:type="paragraph" w:styleId="865" w:customStyle="1">
    <w:name w:val="ConsPlusTitlePage"/>
    <w:uiPriority w:val="99"/>
    <w:pPr>
      <w:widowControl w:val="off"/>
    </w:pPr>
    <w:rPr>
      <w:rFonts w:ascii="Tahoma" w:hAnsi="Tahoma" w:eastAsia="Times New Roman" w:cs="Tahoma"/>
    </w:rPr>
  </w:style>
  <w:style w:type="paragraph" w:styleId="866">
    <w:name w:val="Balloon Text"/>
    <w:basedOn w:val="671"/>
    <w:link w:val="86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Header"/>
    <w:basedOn w:val="671"/>
    <w:link w:val="869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681"/>
    <w:link w:val="868"/>
    <w:uiPriority w:val="99"/>
  </w:style>
  <w:style w:type="paragraph" w:styleId="870">
    <w:name w:val="Footer"/>
    <w:basedOn w:val="671"/>
    <w:link w:val="871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681"/>
    <w:link w:val="870"/>
    <w:uiPriority w:val="99"/>
  </w:style>
  <w:style w:type="table" w:styleId="872">
    <w:name w:val="Table Grid"/>
    <w:basedOn w:val="682"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3">
    <w:name w:val="Hyperlink"/>
    <w:uiPriority w:val="99"/>
    <w:unhideWhenUsed/>
    <w:rPr>
      <w:color w:val="0000ff"/>
      <w:u w:val="single"/>
    </w:rPr>
  </w:style>
  <w:style w:type="paragraph" w:styleId="874">
    <w:name w:val="List Paragraph"/>
    <w:basedOn w:val="671"/>
    <w:uiPriority w:val="34"/>
    <w:qFormat/>
    <w:pPr>
      <w:contextualSpacing/>
      <w:ind w:left="720"/>
      <w:spacing w:after="0" w:line="240" w:lineRule="auto"/>
      <w:widowControl w:val="off"/>
    </w:pPr>
    <w:rPr>
      <w:rFonts w:ascii="Arial" w:hAnsi="Arial" w:eastAsia="Arial Unicode MS" w:cs="Times New Roman"/>
      <w:sz w:val="20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3060-25D7-4D04-AF8A-515D7987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**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revision>52</cp:revision>
  <dcterms:created xsi:type="dcterms:W3CDTF">2021-08-27T07:13:00Z</dcterms:created>
  <dcterms:modified xsi:type="dcterms:W3CDTF">2024-10-01T05:07:58Z</dcterms:modified>
</cp:coreProperties>
</file>