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2333A3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2333A3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2333A3">
              <w:rPr>
                <w:rFonts w:ascii="Times New Roman" w:hAnsi="Times New Roman" w:cs="Times New Roman"/>
              </w:rPr>
              <w:t>3/16</w:t>
            </w:r>
            <w:r w:rsidR="002333A3" w:rsidRPr="002333A3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2333A3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3/16</w:t>
            </w:r>
            <w:bookmarkStart w:id="0" w:name="_GoBack"/>
            <w:bookmarkEnd w:id="0"/>
            <w:r w:rsidRPr="002333A3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7F1298">
        <w:rPr>
          <w:rFonts w:ascii="Times New Roman" w:hAnsi="Times New Roman" w:cs="Times New Roman"/>
          <w:bCs/>
          <w:sz w:val="23"/>
          <w:szCs w:val="23"/>
        </w:rPr>
        <w:t>Лащ-Таябинского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7F1298">
        <w:rPr>
          <w:rFonts w:ascii="Times New Roman" w:hAnsi="Times New Roman" w:cs="Times New Roman"/>
          <w:bCs/>
          <w:sz w:val="23"/>
          <w:szCs w:val="23"/>
        </w:rPr>
        <w:t>8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7F1298">
        <w:rPr>
          <w:rFonts w:ascii="Times New Roman" w:hAnsi="Times New Roman" w:cs="Times New Roman"/>
          <w:bCs/>
          <w:sz w:val="23"/>
          <w:szCs w:val="23"/>
        </w:rPr>
        <w:t>Лащ-Таябинского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>Лащ-Таябинского</w:t>
      </w:r>
      <w:proofErr w:type="spellEnd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ОГРН:1052132012041, ИНН: 2120002927, адрес: 429394, Чувашская Республика - Чувашия, </w:t>
      </w:r>
      <w:proofErr w:type="spellStart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>Лащ-Таяба</w:t>
      </w:r>
      <w:proofErr w:type="spellEnd"/>
      <w:r w:rsidR="007F1298" w:rsidRPr="007F1298">
        <w:rPr>
          <w:rFonts w:ascii="Times New Roman" w:eastAsia="Calibri" w:hAnsi="Times New Roman" w:cs="Times New Roman"/>
          <w:sz w:val="24"/>
          <w:szCs w:val="24"/>
          <w:lang w:eastAsia="en-US"/>
        </w:rPr>
        <w:t>, ул. Почтовая, д. 7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7F1298">
        <w:rPr>
          <w:rFonts w:ascii="Times New Roman" w:hAnsi="Times New Roman" w:cs="Times New Roman"/>
          <w:bCs/>
          <w:sz w:val="23"/>
          <w:szCs w:val="23"/>
        </w:rPr>
        <w:t>Лащ-Таябинскаого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7F1298">
        <w:rPr>
          <w:rFonts w:ascii="Times New Roman" w:hAnsi="Times New Roman" w:cs="Times New Roman"/>
          <w:sz w:val="23"/>
          <w:szCs w:val="23"/>
        </w:rPr>
        <w:t>Евдокимовой С.М.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2333A3"/>
    <w:rsid w:val="00695F36"/>
    <w:rsid w:val="00696BA5"/>
    <w:rsid w:val="007F1298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A71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2023-05-02T08:52:00Z</dcterms:created>
  <dcterms:modified xsi:type="dcterms:W3CDTF">2023-05-10T11:48:00Z</dcterms:modified>
</cp:coreProperties>
</file>