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Общественного совета </w:t>
      </w:r>
      <w:r>
        <w:rPr>
          <w:b/>
          <w:bCs/>
          <w:sz w:val="28"/>
          <w:szCs w:val="28"/>
        </w:rPr>
      </w:r>
    </w:p>
    <w:p>
      <w:pPr>
        <w:pStyle w:val="61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при </w:t>
      </w:r>
      <w:r>
        <w:rPr>
          <w:b/>
          <w:bCs/>
          <w:color w:val="000000"/>
          <w:sz w:val="28"/>
          <w:szCs w:val="28"/>
        </w:rPr>
        <w:t xml:space="preserve">Государственной жилищной инспекции</w:t>
      </w:r>
      <w:r>
        <w:rPr>
          <w:b/>
          <w:bCs/>
          <w:color w:val="000000"/>
          <w:sz w:val="28"/>
          <w:szCs w:val="28"/>
        </w:rPr>
      </w:r>
    </w:p>
    <w:p>
      <w:pPr>
        <w:pStyle w:val="616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Чувашской  Республики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jc w:val="center"/>
      </w:pP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5 год</w:t>
      </w:r>
      <w:r/>
    </w:p>
    <w:p>
      <w:pPr>
        <w:pStyle w:val="616"/>
        <w:jc w:val="center"/>
      </w:pPr>
      <w:r/>
      <w:r/>
    </w:p>
    <w:tbl>
      <w:tblPr>
        <w:tblW w:w="10334" w:type="dxa"/>
        <w:tblInd w:w="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85"/>
        <w:gridCol w:w="5376"/>
        <w:gridCol w:w="41"/>
        <w:gridCol w:w="1881"/>
        <w:gridCol w:w="22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  <w:t xml:space="preserve">№п/п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b/>
              </w:rPr>
              <w:t xml:space="preserve">Ответственные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</w:rPr>
            </w:pPr>
            <w:r>
              <w:t xml:space="preserve">1.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Взаимодействие с организациями, осуществляющими </w:t>
            </w:r>
            <w:r>
              <w:rPr>
                <w:color w:val="000000"/>
              </w:rPr>
              <w:t xml:space="preserve">контроль в сфере жилищно-коммунального хозяйства</w:t>
            </w:r>
            <w:r>
              <w:rPr>
                <w:color w:val="000000"/>
              </w:rPr>
            </w:r>
          </w:p>
          <w:p>
            <w:pPr>
              <w:pStyle w:val="61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доклада за </w:t>
            </w: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 год об организации системы внутреннего обеспечения соответствия деятельности Государственной жилищной инспекции Чувашской Республики требованиям антимонопольного законодательства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 квартал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Госжилинспекция</w:t>
            </w:r>
            <w:r/>
          </w:p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  <w:p>
            <w:pPr>
              <w:pStyle w:val="616"/>
              <w:jc w:val="center"/>
            </w:pPr>
            <w:r>
              <w:t xml:space="preserve">О результатах мониторинга </w:t>
            </w:r>
            <w:r>
              <w:t xml:space="preserve">технического состояния </w:t>
            </w:r>
            <w:r>
              <w:t xml:space="preserve">жилищного фонда и обеспечения его сохранности</w:t>
            </w:r>
            <w:r/>
          </w:p>
          <w:p>
            <w:pPr>
              <w:pStyle w:val="61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2-3</w:t>
            </w:r>
            <w:r>
              <w:t xml:space="preserve"> квартал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Госжилинспекция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 </w:t>
            </w:r>
            <w:r>
              <w:t xml:space="preserve">Осуществление общественного жилищного контроля</w:t>
            </w:r>
            <w: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</w:rPr>
            </w:pPr>
            <w:r>
              <w:t xml:space="preserve">5</w:t>
            </w:r>
            <w: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  информационно – разъяснительной работы   по вопросам жилищно-коммунального хозяйства и изменений в  жилищном законодательстве  среди граждан и организаций, осуществляющих управление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многоквартирными домами  в рамках повышения правовой грамотности</w:t>
            </w:r>
            <w:r>
              <w:rPr>
                <w:color w:val="000000"/>
              </w:rPr>
            </w:r>
          </w:p>
          <w:p>
            <w:pPr>
              <w:pStyle w:val="61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Проведение общественной экспертизы проектов и  нормативно-правовых актов </w:t>
            </w:r>
            <w:r>
              <w:t xml:space="preserve">разрабатываемых  Госжилинспекции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 Обзор практики обращения граждан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 </w:t>
            </w: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  <w:p>
            <w:pPr>
              <w:pStyle w:val="616"/>
              <w:jc w:val="center"/>
            </w:pPr>
            <w:r>
              <w:t xml:space="preserve">Госжилинспекция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 Об </w:t>
            </w:r>
            <w:r>
              <w:t xml:space="preserve">и</w:t>
            </w:r>
            <w:r>
              <w:t xml:space="preserve">тогах  отопительного сезона 202</w:t>
            </w:r>
            <w:r>
              <w:t xml:space="preserve">4-20</w:t>
            </w:r>
            <w:r>
              <w:t xml:space="preserve">2</w:t>
            </w:r>
            <w:r>
              <w:t xml:space="preserve">5 годов </w:t>
            </w:r>
            <w:r>
              <w:t xml:space="preserve">и подготовка к отопительному сезону</w:t>
            </w:r>
            <w: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 2 квартал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Госжилинспекция</w:t>
            </w:r>
            <w:r/>
          </w:p>
          <w:p>
            <w:pPr>
              <w:pStyle w:val="616"/>
              <w:jc w:val="center"/>
            </w:pPr>
            <w:r>
              <w:t xml:space="preserve">Председатель Общественного Совета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9.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Подготовка к отопительному сезону 202</w:t>
            </w:r>
            <w:r>
              <w:t xml:space="preserve">5-202</w:t>
            </w: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3 квартал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Госжилинспекция</w:t>
            </w:r>
            <w:r/>
          </w:p>
          <w:p>
            <w:pPr>
              <w:pStyle w:val="616"/>
              <w:jc w:val="center"/>
            </w:pPr>
            <w:r>
              <w:t xml:space="preserve">Председатель Общественного Совета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10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  <w:p>
            <w:pPr>
              <w:pStyle w:val="616"/>
              <w:jc w:val="center"/>
            </w:pPr>
            <w:r>
              <w:t xml:space="preserve">Участие в </w:t>
            </w:r>
            <w:r>
              <w:t xml:space="preserve">работе комиссий </w:t>
            </w:r>
            <w:r>
              <w:t xml:space="preserve">по противодействию коррупции</w:t>
            </w:r>
            <w:r/>
          </w:p>
          <w:p>
            <w:pPr>
              <w:pStyle w:val="61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в</w:t>
            </w:r>
            <w:r>
              <w:t xml:space="preserve"> течении года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Участие в приеме граждан руководителем Госжилинспекции Чувашии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ежеквартально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12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Подведение итогов работы </w:t>
            </w:r>
            <w:r>
              <w:t xml:space="preserve">Общественного совета </w:t>
            </w:r>
            <w:r/>
          </w:p>
          <w:p>
            <w:pPr>
              <w:pStyle w:val="616"/>
              <w:jc w:val="center"/>
            </w:pPr>
            <w:r>
              <w:t xml:space="preserve">за  202</w:t>
            </w:r>
            <w:r>
              <w:t xml:space="preserve">5 год. Разработка и  утверждение плана раб</w:t>
            </w:r>
            <w:r>
              <w:t xml:space="preserve">оты Общественного совета на 202</w:t>
            </w:r>
            <w:r>
              <w:t xml:space="preserve">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4 квартал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Председатель Общественного Совета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13</w:t>
            </w:r>
            <w:r>
              <w:t xml:space="preserve">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lang w:eastAsia="ru-RU"/>
              </w:rPr>
              <w:t xml:space="preserve">Р</w:t>
            </w:r>
            <w:r>
              <w:rPr>
                <w:lang w:eastAsia="ru-RU"/>
              </w:rPr>
              <w:t xml:space="preserve">ассмотрение и оценка плана мероприятий по снижению комплаенс-рисков  в части, касающейся функционирования антимонопольного комплаенса</w:t>
            </w:r>
            <w:r/>
          </w:p>
          <w:p>
            <w:pPr>
              <w:pStyle w:val="61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4 квартал</w:t>
            </w:r>
            <w:r/>
          </w:p>
          <w:p>
            <w:pPr>
              <w:pStyle w:val="61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4" w:type="dxa"/>
            <w:vAlign w:val="top"/>
            <w:textDirection w:val="lrTb"/>
            <w:noWrap w:val="false"/>
          </w:tcPr>
          <w:tbl>
            <w:tblPr>
              <w:tblW w:w="10334" w:type="dxa"/>
              <w:tblInd w:w="0" w:type="dxa"/>
              <w:tblLayout w:type="fixed"/>
              <w:tblCellMar>
                <w:left w:w="55" w:type="dxa"/>
                <w:top w:w="55" w:type="dxa"/>
                <w:right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5415"/>
              <w:gridCol w:w="1875"/>
              <w:gridCol w:w="2249"/>
            </w:tblGrid>
            <w:tr>
              <w:tblPrEx/>
              <w:trPr/>
              <w:tc>
                <w:tcPr>
                  <w:tcBorders>
                    <w:left w:val="single" w:color="000000" w:sz="1" w:space="0"/>
                    <w:bottom w:val="single" w:color="000000" w:sz="1" w:space="0"/>
                  </w:tcBorders>
                  <w:tcW w:w="795" w:type="dxa"/>
                  <w:vAlign w:val="top"/>
                  <w:textDirection w:val="lrTb"/>
                  <w:noWrap w:val="false"/>
                </w:tcPr>
                <w:p>
                  <w:pPr>
                    <w:pStyle w:val="641"/>
                    <w:jc w:val="center"/>
                  </w:pPr>
                  <w:r>
                    <w:t xml:space="preserve">14</w:t>
                  </w:r>
                  <w:r>
                    <w:t xml:space="preserve">.</w:t>
                  </w:r>
                  <w:r/>
                </w:p>
              </w:tc>
              <w:tc>
                <w:tcPr>
                  <w:tcBorders>
                    <w:left w:val="single" w:color="000000" w:sz="1" w:space="0"/>
                    <w:bottom w:val="single" w:color="000000" w:sz="1" w:space="0"/>
                  </w:tcBorders>
                  <w:tcW w:w="5415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</w:pPr>
                  <w:r>
                    <w:t xml:space="preserve">Подведение итогов о результатах деятельности членов Общественного совета и Госжилинспекции Чувашии в мероприятиях, проводимых в рамках общественного контроля </w:t>
                  </w:r>
                  <w:r/>
                </w:p>
              </w:tc>
              <w:tc>
                <w:tcPr>
                  <w:tcBorders>
                    <w:left w:val="single" w:color="000000" w:sz="1" w:space="0"/>
                    <w:bottom w:val="single" w:color="000000" w:sz="1" w:space="0"/>
                  </w:tcBorders>
                  <w:tcW w:w="1875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</w:pPr>
                  <w:r/>
                  <w:r/>
                </w:p>
                <w:p>
                  <w:pPr>
                    <w:pStyle w:val="616"/>
                    <w:jc w:val="center"/>
                  </w:pPr>
                  <w:r>
                    <w:t xml:space="preserve">4 квартал</w:t>
                  </w:r>
                  <w:r/>
                </w:p>
                <w:p>
                  <w:pPr>
                    <w:pStyle w:val="616"/>
                    <w:jc w:val="center"/>
                  </w:pPr>
                  <w:r/>
                  <w:r/>
                </w:p>
              </w:tc>
              <w:tc>
                <w:tcPr>
                  <w:tcBorders>
                    <w:left w:val="single" w:color="000000" w:sz="1" w:space="0"/>
                    <w:bottom w:val="single" w:color="000000" w:sz="1" w:space="0"/>
                    <w:right w:val="single" w:color="000000" w:sz="1" w:space="0"/>
                  </w:tcBorders>
                  <w:tcW w:w="2249" w:type="dxa"/>
                  <w:vAlign w:val="top"/>
                  <w:textDirection w:val="lrTb"/>
                  <w:noWrap w:val="false"/>
                </w:tcPr>
                <w:p>
                  <w:pPr>
                    <w:pStyle w:val="616"/>
                    <w:jc w:val="center"/>
                  </w:pPr>
                  <w:r>
                    <w:t xml:space="preserve">члены Общественного Совета</w:t>
                  </w:r>
                  <w:r/>
                </w:p>
                <w:p>
                  <w:pPr>
                    <w:pStyle w:val="616"/>
                    <w:jc w:val="center"/>
                  </w:pPr>
                  <w:r>
                    <w:t xml:space="preserve">Госжилинспекция</w:t>
                  </w:r>
                  <w:r/>
                </w:p>
              </w:tc>
            </w:tr>
          </w:tbl>
          <w:p>
            <w:pPr>
              <w:pStyle w:val="616"/>
              <w:jc w:val="center"/>
            </w:pPr>
            <w:r/>
            <w:r/>
          </w:p>
          <w:p>
            <w:pPr>
              <w:pStyle w:val="616"/>
              <w:jc w:val="center"/>
            </w:pPr>
            <w:r>
              <w:rPr>
                <w:rStyle w:val="624"/>
              </w:rPr>
              <w:t xml:space="preserve">2. Участие в общественно-значимых мероприятиях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Участие в публичных и общественных слушаниях по вопросам жилищно-коммунального хозяйства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>
          <w:trHeight w:val="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Участие в городских и республиканских мероприятиях жилищно-коммунальной тематики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>
          <w:trHeight w:val="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6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Участие в работе аттестационных и конкурсных комиссий Госжилинспекции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ind w:hanging="17"/>
              <w:jc w:val="center"/>
            </w:pPr>
            <w:r>
              <w:t xml:space="preserve">члены Общественного совета</w:t>
            </w:r>
            <w:r/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4" w:type="dxa"/>
            <w:vAlign w:val="top"/>
            <w:textDirection w:val="lrTb"/>
            <w:noWrap w:val="false"/>
          </w:tcPr>
          <w:p>
            <w:pPr>
              <w:pStyle w:val="616"/>
              <w:ind w:left="180"/>
            </w:pPr>
            <w:r/>
            <w:r/>
          </w:p>
          <w:p>
            <w:pPr>
              <w:pStyle w:val="616"/>
              <w:jc w:val="center"/>
            </w:pPr>
            <w:r>
              <w:rPr>
                <w:rStyle w:val="624"/>
              </w:rPr>
              <w:t xml:space="preserve">3. Информационно-аналитическая работа</w:t>
            </w:r>
            <w:r/>
          </w:p>
          <w:p>
            <w:pPr>
              <w:pStyle w:val="616"/>
              <w:ind w:left="180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1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Освещение </w:t>
            </w:r>
            <w:r>
              <w:t xml:space="preserve">на официальном сайте Инспекции в информационно-телекоммуникационной сети «Интернет», социальных сетях </w:t>
            </w:r>
            <w:r>
              <w:t xml:space="preserve">деятельности Общественного совета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Госжилинспекция</w:t>
            </w:r>
            <w:r/>
          </w:p>
          <w:p>
            <w:pPr>
              <w:pStyle w:val="616"/>
              <w:jc w:val="center"/>
            </w:pPr>
            <w:r>
              <w:t xml:space="preserve">члены Общественного совета</w:t>
            </w:r>
            <w:r/>
          </w:p>
          <w:p>
            <w:pPr>
              <w:pStyle w:val="616"/>
              <w:jc w:val="center"/>
            </w:pPr>
            <w:r/>
            <w:r/>
          </w:p>
        </w:tc>
      </w:tr>
    </w:tbl>
    <w:sectPr>
      <w:footnotePr/>
      <w:endnotePr/>
      <w:type w:val="nextPage"/>
      <w:pgSz w:w="11906" w:h="16838" w:orient="portrait"/>
      <w:pgMar w:top="540" w:right="850" w:bottom="1135" w:left="9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icrosoft YaHei">
    <w:panose1 w:val="020B0503020203020204"/>
  </w:font>
  <w:font w:name="Segoe UI">
    <w:panose1 w:val="020B0502040504020204"/>
  </w:font>
  <w:font w:name="Wingdings">
    <w:panose1 w:val="05010000000000000000"/>
  </w:font>
  <w:font w:name="Mangal">
    <w:panose1 w:val="02040503050306020203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ar-SA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WW8Num1z0"/>
    <w:next w:val="620"/>
    <w:link w:val="616"/>
    <w:rPr>
      <w:rFonts w:ascii="Symbol" w:hAnsi="Symbol" w:cs="Symbol"/>
    </w:rPr>
  </w:style>
  <w:style w:type="character" w:styleId="621">
    <w:name w:val="WW8Num1z1"/>
    <w:next w:val="621"/>
    <w:link w:val="616"/>
    <w:rPr>
      <w:rFonts w:ascii="Courier New" w:hAnsi="Courier New" w:cs="Courier New"/>
    </w:rPr>
  </w:style>
  <w:style w:type="character" w:styleId="622">
    <w:name w:val="WW8Num1z2"/>
    <w:next w:val="622"/>
    <w:link w:val="616"/>
    <w:rPr>
      <w:rFonts w:ascii="Wingdings" w:hAnsi="Wingdings" w:cs="Wingdings"/>
    </w:rPr>
  </w:style>
  <w:style w:type="character" w:styleId="623">
    <w:name w:val="Основной шрифт абзаца1"/>
    <w:next w:val="623"/>
    <w:link w:val="616"/>
  </w:style>
  <w:style w:type="character" w:styleId="624">
    <w:name w:val="Строгий"/>
    <w:next w:val="624"/>
    <w:link w:val="616"/>
    <w:qFormat/>
    <w:rPr>
      <w:b/>
      <w:bCs/>
    </w:rPr>
  </w:style>
  <w:style w:type="character" w:styleId="625">
    <w:name w:val="Верхний колонтитул Знак"/>
    <w:next w:val="625"/>
    <w:link w:val="616"/>
    <w:rPr>
      <w:sz w:val="24"/>
      <w:szCs w:val="24"/>
    </w:rPr>
  </w:style>
  <w:style w:type="character" w:styleId="626">
    <w:name w:val="Нижний колонтитул Знак"/>
    <w:next w:val="626"/>
    <w:link w:val="616"/>
    <w:rPr>
      <w:sz w:val="24"/>
      <w:szCs w:val="24"/>
    </w:rPr>
  </w:style>
  <w:style w:type="character" w:styleId="627">
    <w:name w:val="Текст выноски Знак"/>
    <w:next w:val="627"/>
    <w:link w:val="616"/>
    <w:rPr>
      <w:rFonts w:ascii="Segoe UI" w:hAnsi="Segoe UI" w:cs="Segoe UI"/>
      <w:sz w:val="18"/>
      <w:szCs w:val="18"/>
    </w:rPr>
  </w:style>
  <w:style w:type="paragraph" w:styleId="628">
    <w:name w:val="Заголовок"/>
    <w:basedOn w:val="616"/>
    <w:next w:val="629"/>
    <w:link w:val="61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29">
    <w:name w:val="Основной текст"/>
    <w:basedOn w:val="616"/>
    <w:next w:val="629"/>
    <w:link w:val="616"/>
    <w:pPr>
      <w:spacing w:before="0" w:after="120"/>
    </w:pPr>
  </w:style>
  <w:style w:type="paragraph" w:styleId="630">
    <w:name w:val="Список"/>
    <w:basedOn w:val="629"/>
    <w:next w:val="630"/>
    <w:link w:val="616"/>
    <w:rPr>
      <w:rFonts w:cs="Mangal"/>
    </w:rPr>
  </w:style>
  <w:style w:type="paragraph" w:styleId="631">
    <w:name w:val="Название1"/>
    <w:basedOn w:val="616"/>
    <w:next w:val="631"/>
    <w:link w:val="6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32">
    <w:name w:val="Указатель1"/>
    <w:basedOn w:val="616"/>
    <w:next w:val="632"/>
    <w:link w:val="616"/>
    <w:pPr>
      <w:suppressLineNumbers/>
    </w:pPr>
    <w:rPr>
      <w:rFonts w:cs="Mangal"/>
    </w:rPr>
  </w:style>
  <w:style w:type="paragraph" w:styleId="633">
    <w:name w:val="Обычный (веб)"/>
    <w:basedOn w:val="616"/>
    <w:next w:val="633"/>
    <w:link w:val="616"/>
    <w:pPr>
      <w:spacing w:before="280" w:after="280"/>
    </w:pPr>
  </w:style>
  <w:style w:type="paragraph" w:styleId="634">
    <w:name w:val=" Знак Знак Знак"/>
    <w:basedOn w:val="616"/>
    <w:next w:val="634"/>
    <w:link w:val="616"/>
    <w:pPr>
      <w:ind w:left="432" w:right="0" w:hanging="432"/>
      <w:jc w:val="both"/>
      <w:spacing w:before="120" w:after="160"/>
      <w:tabs>
        <w:tab w:val="left" w:pos="432" w:leader="none"/>
      </w:tabs>
    </w:pPr>
    <w:rPr>
      <w:b/>
      <w:bCs/>
      <w:caps/>
      <w:sz w:val="32"/>
      <w:szCs w:val="32"/>
      <w:lang w:val="en-US"/>
    </w:rPr>
  </w:style>
  <w:style w:type="paragraph" w:styleId="635">
    <w:name w:val="ConsPlusNormal"/>
    <w:next w:val="635"/>
    <w:link w:val="616"/>
    <w:pPr>
      <w:ind w:firstLine="720"/>
      <w:widowControl w:val="off"/>
    </w:pPr>
    <w:rPr>
      <w:rFonts w:ascii="Arial" w:hAnsi="Arial" w:cs="Arial"/>
      <w:lang w:val="ru-RU" w:eastAsia="ar-SA" w:bidi="ar-SA"/>
    </w:rPr>
  </w:style>
  <w:style w:type="paragraph" w:styleId="636">
    <w:name w:val="Абзац списка"/>
    <w:basedOn w:val="616"/>
    <w:next w:val="636"/>
    <w:link w:val="616"/>
    <w:qFormat/>
    <w:pPr>
      <w:ind w:left="720" w:right="0" w:firstLine="0"/>
    </w:pPr>
    <w:rPr>
      <w:rFonts w:ascii="Calibri" w:hAnsi="Calibri" w:eastAsia="Calibri" w:cs="Calibri"/>
      <w:sz w:val="22"/>
      <w:szCs w:val="22"/>
    </w:rPr>
  </w:style>
  <w:style w:type="paragraph" w:styleId="637">
    <w:name w:val="Знак Знак Знак Знак Знак Знак Знак Знак Знак Знак"/>
    <w:basedOn w:val="616"/>
    <w:next w:val="637"/>
    <w:link w:val="616"/>
    <w:rPr>
      <w:rFonts w:ascii="Verdana" w:hAnsi="Verdana" w:cs="Verdana"/>
      <w:sz w:val="20"/>
      <w:szCs w:val="20"/>
      <w:lang w:val="en-US"/>
    </w:rPr>
  </w:style>
  <w:style w:type="paragraph" w:styleId="638">
    <w:name w:val="Верхний колонтитул"/>
    <w:basedOn w:val="616"/>
    <w:next w:val="638"/>
    <w:link w:val="616"/>
    <w:pPr>
      <w:tabs>
        <w:tab w:val="center" w:pos="4677" w:leader="none"/>
        <w:tab w:val="right" w:pos="9355" w:leader="none"/>
      </w:tabs>
    </w:pPr>
  </w:style>
  <w:style w:type="paragraph" w:styleId="639">
    <w:name w:val="Нижний колонтитул"/>
    <w:basedOn w:val="616"/>
    <w:next w:val="639"/>
    <w:link w:val="616"/>
    <w:pPr>
      <w:tabs>
        <w:tab w:val="center" w:pos="4677" w:leader="none"/>
        <w:tab w:val="right" w:pos="9355" w:leader="none"/>
      </w:tabs>
    </w:pPr>
  </w:style>
  <w:style w:type="paragraph" w:styleId="640">
    <w:name w:val="Текст выноски"/>
    <w:basedOn w:val="616"/>
    <w:next w:val="640"/>
    <w:link w:val="616"/>
    <w:rPr>
      <w:rFonts w:ascii="Segoe UI" w:hAnsi="Segoe UI" w:cs="Segoe UI"/>
      <w:sz w:val="18"/>
      <w:szCs w:val="18"/>
    </w:rPr>
  </w:style>
  <w:style w:type="paragraph" w:styleId="641">
    <w:name w:val="Содержимое таблицы"/>
    <w:basedOn w:val="616"/>
    <w:next w:val="641"/>
    <w:link w:val="616"/>
    <w:pPr>
      <w:suppressLineNumbers/>
    </w:pPr>
  </w:style>
  <w:style w:type="paragraph" w:styleId="642">
    <w:name w:val="Заголовок таблицы"/>
    <w:basedOn w:val="641"/>
    <w:next w:val="642"/>
    <w:link w:val="616"/>
    <w:pPr>
      <w:jc w:val="center"/>
      <w:suppressLineNumbers/>
    </w:pPr>
    <w:rPr>
      <w:b/>
      <w:bCs/>
    </w:rPr>
  </w:style>
  <w:style w:type="character" w:styleId="1649" w:default="1">
    <w:name w:val="Default Paragraph Font"/>
    <w:uiPriority w:val="1"/>
    <w:semiHidden/>
    <w:unhideWhenUsed/>
  </w:style>
  <w:style w:type="numbering" w:styleId="1650" w:default="1">
    <w:name w:val="No List"/>
    <w:uiPriority w:val="99"/>
    <w:semiHidden/>
    <w:unhideWhenUsed/>
  </w:style>
  <w:style w:type="table" w:styleId="16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Васькевич</dc:creator>
  <cp:revision>5</cp:revision>
  <dcterms:created xsi:type="dcterms:W3CDTF">2023-02-15T09:45:00Z</dcterms:created>
  <dcterms:modified xsi:type="dcterms:W3CDTF">2025-01-27T15:01:12Z</dcterms:modified>
  <cp:version>917504</cp:version>
</cp:coreProperties>
</file>