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утратившими силу, приостановлению, изменению или принятию в связи с принятием проекта закона Чувашской </w:t>
      </w:r>
      <w:r>
        <w:rPr>
          <w:rFonts w:ascii="Times New Roman" w:hAnsi="Times New Roman" w:cs="Times New Roman"/>
          <w:b/>
          <w:sz w:val="28"/>
          <w:szCs w:val="28"/>
        </w:rPr>
        <w:t xml:space="preserve">Республики </w:t>
      </w: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в </w:t>
      </w:r>
      <w:r>
        <w:rPr>
          <w:rFonts w:ascii="Times New Roman" w:hAnsi="Times New Roman" w:cs="Times New Roman"/>
          <w:b/>
          <w:sz w:val="28"/>
          <w:szCs w:val="28"/>
        </w:rPr>
        <w:t xml:space="preserve">Закон</w:t>
      </w:r>
      <w:r>
        <w:rPr>
          <w:rFonts w:ascii="Times New Roman" w:hAnsi="Times New Roman" w:cs="Times New Roman"/>
          <w:b/>
          <w:sz w:val="28"/>
          <w:szCs w:val="28"/>
        </w:rPr>
        <w:t xml:space="preserve"> Чувашской Республики «</w:t>
      </w:r>
      <w:r>
        <w:rPr>
          <w:rFonts w:ascii="Times New Roman" w:hAnsi="Times New Roman" w:cs="Times New Roman"/>
          <w:b/>
          <w:bCs/>
          <w:sz w:val="28"/>
          <w:szCs w:val="26"/>
        </w:rPr>
        <w:t xml:space="preserve">О дополнительных мерах государственной поддержки семей, имеющих детей</w:t>
      </w:r>
      <w:r>
        <w:rPr>
          <w:rFonts w:ascii="Times New Roman" w:hAnsi="Times New Roman" w:cs="Times New Roman"/>
          <w:b/>
          <w:sz w:val="28"/>
          <w:szCs w:val="28"/>
        </w:rPr>
        <w:t xml:space="preserve"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u w:val="none"/>
        </w:rPr>
        <w:t xml:space="preserve">и статью 14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Закона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Чувашской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Республики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«</w:t>
      </w:r>
      <w:r>
        <w:rPr>
          <w:rFonts w:ascii="Times New Roman" w:hAnsi="Times New Roman"/>
          <w:b/>
          <w:bCs/>
          <w:sz w:val="28"/>
          <w:szCs w:val="28"/>
        </w:rPr>
        <w:t xml:space="preserve">О</w:t>
      </w:r>
      <w:r>
        <w:rPr>
          <w:rFonts w:ascii="Times New Roman" w:hAnsi="Times New Roman"/>
          <w:b/>
          <w:bCs/>
          <w:sz w:val="28"/>
          <w:szCs w:val="28"/>
        </w:rPr>
        <w:t xml:space="preserve"> внесении изменений в отдельные законодательные акты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  <w:t xml:space="preserve">Чувашской Республики</w:t>
      </w:r>
      <w:r>
        <w:rPr>
          <w:rFonts w:ascii="Times New Roman" w:hAnsi="Times New Roman"/>
          <w:b/>
          <w:bCs/>
          <w:sz w:val="28"/>
          <w:szCs w:val="28"/>
        </w:rPr>
        <w:t xml:space="preserve">»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3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проекта закона Чувашской Республики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 внесении изменени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в Закон Чувашской Республики «О </w:t>
      </w:r>
      <w:r>
        <w:rPr>
          <w:rFonts w:ascii="Times New Roman" w:hAnsi="Times New Roman" w:cs="Times New Roman"/>
          <w:b w:val="0"/>
          <w:bCs w:val="0"/>
          <w:sz w:val="28"/>
          <w:szCs w:val="26"/>
        </w:rPr>
        <w:t xml:space="preserve">дополнительных мерах государственной поддержки семей, имеющих детей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u w:val="none"/>
        </w:rPr>
        <w:t xml:space="preserve">статью 14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Закона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Чувашской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Республики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</w:t>
      </w:r>
      <w:r>
        <w:rPr>
          <w:rFonts w:ascii="Times New Roman" w:hAnsi="Times New Roman"/>
          <w:sz w:val="28"/>
          <w:szCs w:val="28"/>
        </w:rPr>
        <w:t xml:space="preserve">О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внесении изменений в отдельные законодательные акты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Чувашской Республики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потребует </w:t>
      </w:r>
      <w:r>
        <w:rPr>
          <w:sz w:val="28"/>
          <w:szCs w:val="28"/>
        </w:rPr>
        <w:t xml:space="preserve">внесения изменений в п</w:t>
      </w:r>
      <w:r>
        <w:rPr>
          <w:sz w:val="28"/>
          <w:szCs w:val="28"/>
        </w:rPr>
        <w:t xml:space="preserve">остановление Кабинета Министров </w:t>
      </w:r>
      <w:r>
        <w:rPr>
          <w:sz w:val="28"/>
          <w:szCs w:val="28"/>
        </w:rPr>
        <w:t xml:space="preserve">Чувашской Республики </w:t>
      </w:r>
      <w:r>
        <w:rPr>
          <w:sz w:val="28"/>
          <w:szCs w:val="28"/>
        </w:rPr>
        <w:t xml:space="preserve">от 27</w:t>
      </w:r>
      <w:r>
        <w:rPr>
          <w:sz w:val="28"/>
          <w:szCs w:val="28"/>
        </w:rPr>
        <w:t xml:space="preserve"> февраля </w:t>
      </w:r>
      <w:r>
        <w:rPr>
          <w:sz w:val="28"/>
          <w:szCs w:val="28"/>
        </w:rPr>
        <w:t xml:space="preserve">2012</w:t>
      </w:r>
      <w:r>
        <w:rPr>
          <w:sz w:val="28"/>
          <w:szCs w:val="28"/>
        </w:rPr>
        <w:t xml:space="preserve"> г. № 66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 мерах по реализации </w:t>
      </w:r>
      <w:r>
        <w:rPr>
          <w:sz w:val="28"/>
          <w:szCs w:val="28"/>
        </w:rPr>
        <w:t xml:space="preserve">Закона Чувашской Республики «О </w:t>
      </w:r>
      <w:r>
        <w:rPr>
          <w:rFonts w:ascii="Times New Roman" w:hAnsi="Times New Roman" w:cs="Times New Roman"/>
          <w:b w:val="0"/>
          <w:bCs w:val="0"/>
          <w:sz w:val="28"/>
          <w:szCs w:val="26"/>
        </w:rPr>
        <w:t xml:space="preserve">дополнительных мерах государственной поддержки семей, имеющих детей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214" w:type="dxa"/>
        <w:tblInd w:w="-34" w:type="dxa"/>
        <w:tblLook w:val="04A0" w:firstRow="1" w:lastRow="0" w:firstColumn="1" w:lastColumn="0" w:noHBand="0" w:noVBand="1"/>
      </w:tblPr>
      <w:tblGrid>
        <w:gridCol w:w="3571"/>
        <w:gridCol w:w="3554"/>
        <w:gridCol w:w="2089"/>
      </w:tblGrid>
      <w:tr>
        <w:trPr/>
        <w:tblPrEx/>
        <w:tc>
          <w:tcPr>
            <w:tcW w:w="3571" w:type="dxa"/>
            <w:shd w:val="clear" w:color="auto" w:fill="auto"/>
            <w:noWrap w:val="false"/>
            <w:textDirection w:val="lrTb"/>
          </w:tcPr>
          <w:p>
            <w:pPr>
              <w:pStyle w:val="839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39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Министр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39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труда и социальной защиты Чувашской Республики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3554" w:type="dxa"/>
            <w:shd w:val="clear" w:color="auto" w:fill="auto"/>
            <w:noWrap w:val="false"/>
            <w:textDirection w:val="lrTb"/>
          </w:tcPr>
          <w:p>
            <w:pPr>
              <w:pStyle w:val="839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057400" cy="889000"/>
                      <wp:effectExtent l="0" t="0" r="0" b="0"/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69897254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2057400" cy="8889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62.00pt;height:70.00pt;mso-wrap-distance-left:0.00pt;mso-wrap-distance-top:0.00pt;mso-wrap-distance-right:0.00pt;mso-wrap-distance-bottom:0.00pt;rotation:0;" stroked="false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2089" w:type="dxa"/>
            <w:shd w:val="clear" w:color="auto" w:fill="auto"/>
            <w:noWrap w:val="false"/>
            <w:textDirection w:val="lrTb"/>
          </w:tcPr>
          <w:p>
            <w:pPr>
              <w:pStyle w:val="839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39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39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839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А.Г. </w:t>
            </w:r>
            <w:r>
              <w:rPr>
                <w:sz w:val="28"/>
                <w:szCs w:val="28"/>
              </w:rPr>
              <w:t xml:space="preserve">Е</w:t>
            </w:r>
            <w:r>
              <w:rPr>
                <w:sz w:val="28"/>
                <w:szCs w:val="28"/>
              </w:rPr>
              <w:t xml:space="preserve">лизарова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3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35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1" w:bottom="1134" w:left="1985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1"/>
    <w:next w:val="831"/>
    <w:link w:val="655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2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1"/>
    <w:next w:val="831"/>
    <w:link w:val="657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2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1"/>
    <w:next w:val="831"/>
    <w:link w:val="659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2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1"/>
    <w:next w:val="831"/>
    <w:link w:val="661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2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1"/>
    <w:next w:val="831"/>
    <w:link w:val="663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2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1"/>
    <w:next w:val="831"/>
    <w:link w:val="665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2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1"/>
    <w:next w:val="831"/>
    <w:link w:val="667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2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1"/>
    <w:next w:val="831"/>
    <w:link w:val="669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2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1"/>
    <w:next w:val="831"/>
    <w:link w:val="671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2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1"/>
    <w:uiPriority w:val="34"/>
    <w:qFormat/>
    <w:pPr>
      <w:ind w:left="720"/>
      <w:contextualSpacing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1"/>
    <w:next w:val="831"/>
    <w:link w:val="675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675">
    <w:name w:val="Title Char"/>
    <w:basedOn w:val="832"/>
    <w:link w:val="674"/>
    <w:uiPriority w:val="10"/>
    <w:rPr>
      <w:sz w:val="48"/>
      <w:szCs w:val="48"/>
    </w:rPr>
  </w:style>
  <w:style w:type="paragraph" w:styleId="676">
    <w:name w:val="Subtitle"/>
    <w:basedOn w:val="831"/>
    <w:next w:val="831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2"/>
    <w:link w:val="676"/>
    <w:uiPriority w:val="11"/>
    <w:rPr>
      <w:sz w:val="24"/>
      <w:szCs w:val="24"/>
    </w:rPr>
  </w:style>
  <w:style w:type="paragraph" w:styleId="678">
    <w:name w:val="Quote"/>
    <w:basedOn w:val="831"/>
    <w:next w:val="831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1"/>
    <w:next w:val="831"/>
    <w:link w:val="68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1"/>
    <w:link w:val="683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3">
    <w:name w:val="Header Char"/>
    <w:basedOn w:val="832"/>
    <w:link w:val="682"/>
    <w:uiPriority w:val="99"/>
  </w:style>
  <w:style w:type="paragraph" w:styleId="684">
    <w:name w:val="Footer"/>
    <w:basedOn w:val="831"/>
    <w:link w:val="687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5">
    <w:name w:val="Footer Char"/>
    <w:basedOn w:val="832"/>
    <w:link w:val="684"/>
    <w:uiPriority w:val="99"/>
  </w:style>
  <w:style w:type="paragraph" w:styleId="686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4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2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3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4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5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6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7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8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0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1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2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5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23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724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725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726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727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728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729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7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8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39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0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1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2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3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spacing w:after="57"/>
      <w:ind w:left="0" w:right="0" w:firstLine="0"/>
    </w:pPr>
  </w:style>
  <w:style w:type="paragraph" w:styleId="821">
    <w:name w:val="toc 2"/>
    <w:basedOn w:val="831"/>
    <w:next w:val="831"/>
    <w:uiPriority w:val="39"/>
    <w:unhideWhenUsed/>
    <w:pPr>
      <w:spacing w:after="57"/>
      <w:ind w:left="283" w:right="0" w:firstLine="0"/>
    </w:pPr>
  </w:style>
  <w:style w:type="paragraph" w:styleId="822">
    <w:name w:val="toc 3"/>
    <w:basedOn w:val="831"/>
    <w:next w:val="831"/>
    <w:uiPriority w:val="39"/>
    <w:unhideWhenUsed/>
    <w:pPr>
      <w:spacing w:after="57"/>
      <w:ind w:left="567" w:right="0" w:firstLine="0"/>
    </w:pPr>
  </w:style>
  <w:style w:type="paragraph" w:styleId="823">
    <w:name w:val="toc 4"/>
    <w:basedOn w:val="831"/>
    <w:next w:val="831"/>
    <w:uiPriority w:val="39"/>
    <w:unhideWhenUsed/>
    <w:pPr>
      <w:spacing w:after="57"/>
      <w:ind w:left="850" w:right="0" w:firstLine="0"/>
    </w:pPr>
  </w:style>
  <w:style w:type="paragraph" w:styleId="824">
    <w:name w:val="toc 5"/>
    <w:basedOn w:val="831"/>
    <w:next w:val="831"/>
    <w:uiPriority w:val="39"/>
    <w:unhideWhenUsed/>
    <w:pPr>
      <w:spacing w:after="57"/>
      <w:ind w:left="1134" w:right="0" w:firstLine="0"/>
    </w:pPr>
  </w:style>
  <w:style w:type="paragraph" w:styleId="825">
    <w:name w:val="toc 6"/>
    <w:basedOn w:val="831"/>
    <w:next w:val="831"/>
    <w:uiPriority w:val="39"/>
    <w:unhideWhenUsed/>
    <w:pPr>
      <w:spacing w:after="57"/>
      <w:ind w:left="1417" w:right="0" w:firstLine="0"/>
    </w:pPr>
  </w:style>
  <w:style w:type="paragraph" w:styleId="826">
    <w:name w:val="toc 7"/>
    <w:basedOn w:val="831"/>
    <w:next w:val="831"/>
    <w:uiPriority w:val="39"/>
    <w:unhideWhenUsed/>
    <w:pPr>
      <w:spacing w:after="57"/>
      <w:ind w:left="1701" w:right="0" w:firstLine="0"/>
    </w:pPr>
  </w:style>
  <w:style w:type="paragraph" w:styleId="827">
    <w:name w:val="toc 8"/>
    <w:basedOn w:val="831"/>
    <w:next w:val="831"/>
    <w:uiPriority w:val="39"/>
    <w:unhideWhenUsed/>
    <w:pPr>
      <w:spacing w:after="57"/>
      <w:ind w:left="1984" w:right="0" w:firstLine="0"/>
    </w:pPr>
  </w:style>
  <w:style w:type="paragraph" w:styleId="828">
    <w:name w:val="toc 9"/>
    <w:basedOn w:val="831"/>
    <w:next w:val="831"/>
    <w:uiPriority w:val="39"/>
    <w:unhideWhenUsed/>
    <w:pPr>
      <w:spacing w:after="57"/>
      <w:ind w:left="2268" w:right="0" w:firstLine="0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 w:customStyle="1">
    <w:name w:val="ConsPlusNormal"/>
    <w:pPr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836">
    <w:name w:val="Balloon Text"/>
    <w:basedOn w:val="831"/>
    <w:link w:val="83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37" w:customStyle="1">
    <w:name w:val="Текст выноски Знак"/>
    <w:basedOn w:val="832"/>
    <w:link w:val="836"/>
    <w:uiPriority w:val="99"/>
    <w:semiHidden/>
    <w:rPr>
      <w:rFonts w:ascii="Tahoma" w:hAnsi="Tahoma" w:cs="Tahoma"/>
      <w:sz w:val="16"/>
      <w:szCs w:val="16"/>
    </w:rPr>
  </w:style>
  <w:style w:type="table" w:styleId="838">
    <w:name w:val="Table Grid"/>
    <w:basedOn w:val="83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39">
    <w:name w:val="Body Text Indent 2"/>
    <w:basedOn w:val="831"/>
    <w:link w:val="840"/>
    <w:pPr>
      <w:spacing w:after="0" w:line="240" w:lineRule="auto"/>
      <w:ind w:firstLine="720"/>
      <w:jc w:val="both"/>
    </w:pPr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840" w:customStyle="1">
    <w:name w:val="Основной текст с отступом 2 Знак"/>
    <w:basedOn w:val="832"/>
    <w:link w:val="839"/>
    <w:rPr>
      <w:rFonts w:ascii="Times New Roman" w:hAnsi="Times New Roman" w:eastAsia="Times New Roman" w:cs="Times New Roman"/>
      <w:sz w:val="26"/>
      <w:szCs w:val="2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Р7-Офис/2024.1.2.401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revision>10</cp:revision>
  <dcterms:created xsi:type="dcterms:W3CDTF">2023-10-17T07:34:00Z</dcterms:created>
  <dcterms:modified xsi:type="dcterms:W3CDTF">2024-10-15T07:35:11Z</dcterms:modified>
</cp:coreProperties>
</file>