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4" w:rsidRPr="00C237A4" w:rsidRDefault="00C237A4" w:rsidP="00C237A4">
      <w:pPr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237A4" w:rsidRPr="00C237A4" w:rsidRDefault="00C237A4" w:rsidP="00C2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Отчет</w:t>
      </w:r>
      <w:r w:rsidRPr="00C237A4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C237A4" w:rsidRPr="00C237A4" w:rsidRDefault="00C237A4" w:rsidP="00C23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C237A4" w:rsidRPr="00C237A4" w:rsidRDefault="00C237A4" w:rsidP="00C237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2023</w:t>
      </w: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1627"/>
      </w:tblGrid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соответствующего мероприятия</w:t>
            </w:r>
            <w:hyperlink w:anchor="sub_111111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hyperlink w:anchor="sub_111222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Порецкого муниципального округа Чувашской Республики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Дальнейшее развитие многоуровневой системы профилактики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Профилактика и предупреждение рецидивной преступности, ресоциализации и адаптации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бытовой устройстве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Помощь лицам, пострадавшим от правонарушений или подверженным риску стать таковыми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на 2023 год 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Информационно-методическое обеспечение профилактики правонарушений и повышения уровня правовой культуры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мер по сокращению предложения наркотиков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Совершенствование системы мер по сокращению спроса на наркотики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Совершенствование организационно-правового и ресурсного обеспечения антинаркотической деятельности в Порецком муниципальном округе Чувашской Республики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Работа с семьями, находящимися в социально-опасном положении, и оказание им помощи в обучении и воспитании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2023 год достигнуты</w:t>
            </w:r>
          </w:p>
        </w:tc>
      </w:tr>
    </w:tbl>
    <w:p w:rsidR="00C237A4" w:rsidRPr="00C237A4" w:rsidRDefault="00C237A4" w:rsidP="00C237A4">
      <w:pPr>
        <w:rPr>
          <w:rFonts w:ascii="Times New Roman" w:hAnsi="Times New Roman" w:cs="Times New Roman"/>
          <w:sz w:val="24"/>
          <w:szCs w:val="24"/>
        </w:rPr>
      </w:pPr>
    </w:p>
    <w:p w:rsidR="00085762" w:rsidRDefault="0008576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CD2" w:rsidRDefault="00592CD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CD2" w:rsidSect="00C237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2CD2" w:rsidRPr="00592CD2" w:rsidRDefault="00592CD2" w:rsidP="00592CD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Сведения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достижении значений целевых показателей (индикаторов)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, подпрограмм</w:t>
      </w:r>
    </w:p>
    <w:p w:rsidR="00592CD2" w:rsidRPr="00592CD2" w:rsidRDefault="00592CD2" w:rsidP="00592CD2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(программ)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в 2023 году</w:t>
      </w:r>
    </w:p>
    <w:p w:rsidR="00592CD2" w:rsidRPr="00592CD2" w:rsidRDefault="00592CD2" w:rsidP="00592CD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592CD2" w:rsidRPr="00592CD2" w:rsidTr="00F22215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N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муниципаль-ной</w:t>
            </w:r>
            <w:proofErr w:type="spellEnd"/>
            <w:proofErr w:type="gram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программы Порецкого района, подпрограммы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муниципаль-ной</w:t>
            </w:r>
            <w:proofErr w:type="spell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предшествующий </w:t>
            </w:r>
            <w:proofErr w:type="gram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отчетному</w:t>
            </w:r>
            <w:proofErr w:type="gramEnd"/>
            <w:r w:rsidR="003C548A">
              <w:fldChar w:fldCharType="begin"/>
            </w:r>
            <w:r w:rsidR="003C548A">
              <w:instrText>HYPERLINK \l "sub_7777"</w:instrText>
            </w:r>
            <w:r w:rsidR="003C548A">
              <w:fldChar w:fldCharType="separate"/>
            </w:r>
            <w:r w:rsidRPr="00592CD2">
              <w:rPr>
                <w:rFonts w:ascii="Times New Roman CYR" w:hAnsi="Times New Roman CYR" w:cs="Times New Roman"/>
                <w:b/>
                <w:color w:val="106BBE"/>
                <w:sz w:val="20"/>
                <w:szCs w:val="20"/>
              </w:rPr>
              <w:t>*</w:t>
            </w:r>
            <w:r w:rsidR="003C548A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уточнен-ный</w:t>
            </w:r>
            <w:proofErr w:type="spellEnd"/>
            <w:proofErr w:type="gramEnd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Подпрограмма «Профилактика правонарушений»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Дальнейшее развитие многоуровневой системы профилактики правонарушений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9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9639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D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2D62B3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D62B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3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93065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93065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556B9">
              <w:rPr>
                <w:rFonts w:ascii="Times New Roman CYR" w:hAnsi="Times New Roman CYR" w:cs="Times New Roman CYR"/>
                <w:sz w:val="20"/>
                <w:szCs w:val="20"/>
              </w:rPr>
              <w:t>1.2.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B87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B87F1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B87F1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93091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EC479D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8E6AB1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8E6AB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1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1457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01457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20,2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1.4.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A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5A7E5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A7E5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="00F556B9"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Помощь лицам, пострадавшим от правонарушений или подтвержденным риску стать таковым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B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FB023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FB023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1.6.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592CD2" w:rsidRPr="00592CD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</w:t>
            </w:r>
            <w:r w:rsidR="00592CD2" w:rsidRPr="00592CD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мер по сокращению предложения наркотиков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0F5ED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0F5ED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D3733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D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="00D3733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D3733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Распространенность преступлений в сфере незаконного оборота наркотиков, преступлений на 100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C6528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C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4C27E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C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4C27E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C27E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детской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4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9,</w:t>
            </w:r>
            <w:r w:rsidR="00471C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471C0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BF4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7,2</w:t>
            </w:r>
            <w:r w:rsidR="00BF41C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BF41C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Работа с семьями, находящимися в социально-опасном положении, и оказание им помощи в обучении и воспитании детей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069B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90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592CD2" w:rsidRPr="00592CD2" w:rsidRDefault="00592CD2" w:rsidP="00592CD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592CD2" w:rsidRPr="00592CD2" w:rsidRDefault="00592CD2" w:rsidP="00592C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92CD2">
        <w:rPr>
          <w:rFonts w:ascii="Courier New" w:hAnsi="Courier New" w:cs="Courier New"/>
        </w:rPr>
        <w:t>──────────────────────────────</w:t>
      </w:r>
    </w:p>
    <w:p w:rsidR="00B22A47" w:rsidRDefault="00592CD2" w:rsidP="00304D1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0" w:name="sub_7777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отчетному</w:t>
      </w:r>
      <w:proofErr w:type="gramEnd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>.</w:t>
      </w:r>
      <w:bookmarkEnd w:id="0"/>
    </w:p>
    <w:p w:rsidR="00B22A47" w:rsidRDefault="00B22A47">
      <w:pPr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en-US"/>
        </w:rPr>
        <w:br w:type="page"/>
      </w:r>
    </w:p>
    <w:p w:rsidR="00B22A47" w:rsidRPr="00B22A47" w:rsidRDefault="00B22A47" w:rsidP="00B22A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Отчет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об использовании бюджетных ассигнований бюджета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реализацию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 в 2023 году</w:t>
      </w:r>
    </w:p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B22A47" w:rsidRPr="00B22A47" w:rsidTr="00F664A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Наименование муниципальной программы Порецкого района (подпрограммы муниципальной программы Порецкого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Расходы, тыс. рублей</w:t>
            </w:r>
          </w:p>
        </w:tc>
      </w:tr>
      <w:tr w:rsidR="00B22A47" w:rsidRPr="00B22A47" w:rsidTr="00F664A5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с начала реализации муниципальной программы Порецкого района (подпрограммы муниципальной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с начала реализации муниципальной программы Порецкого района (подпрограммы муниципальной программы, программы)</w:t>
            </w:r>
          </w:p>
        </w:tc>
      </w:tr>
      <w:tr w:rsidR="00B22A47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Муниципальная программа 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B6C50" w:rsidP="00B20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</w:t>
            </w:r>
            <w:r w:rsidR="00B20DFA">
              <w:rPr>
                <w:rFonts w:ascii="Times New Roman CYR" w:hAnsi="Times New Roman CYR" w:cs="Times New Roman CYR"/>
              </w:rPr>
              <w:t>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0DFA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0DFA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0DFA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524,2</w:t>
            </w:r>
          </w:p>
        </w:tc>
      </w:tr>
      <w:tr w:rsidR="00F664A5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F664A5">
            <w:r w:rsidRPr="00E07A0F">
              <w:rPr>
                <w:rFonts w:ascii="Times New Roman CYR" w:hAnsi="Times New Roman CYR" w:cs="Times New Roman CYR"/>
              </w:rPr>
              <w:t>53,0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F664A5">
            <w:r w:rsidRPr="00E07A0F">
              <w:rPr>
                <w:rFonts w:ascii="Times New Roman CYR" w:hAnsi="Times New Roman CYR" w:cs="Times New Roman CYR"/>
              </w:rPr>
              <w:t>53,0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A5" w:rsidRDefault="00F664A5">
            <w:r w:rsidRPr="00E07A0F">
              <w:rPr>
                <w:rFonts w:ascii="Times New Roman CYR" w:hAnsi="Times New Roman CYR" w:cs="Times New Roman CYR"/>
              </w:rPr>
              <w:t>53,0</w:t>
            </w:r>
          </w:p>
        </w:tc>
      </w:tr>
      <w:tr w:rsidR="00F664A5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F664A5">
            <w:r w:rsidRPr="00AD510E">
              <w:rPr>
                <w:rFonts w:ascii="Times New Roman CYR" w:hAnsi="Times New Roman CYR" w:cs="Times New Roman CYR"/>
              </w:rPr>
              <w:t>11,0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F664A5">
            <w:r w:rsidRPr="00AD510E">
              <w:rPr>
                <w:rFonts w:ascii="Times New Roman CYR" w:hAnsi="Times New Roman CYR" w:cs="Times New Roman CYR"/>
              </w:rPr>
              <w:t>11,0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A5" w:rsidRDefault="00F664A5">
            <w:r w:rsidRPr="00AD510E">
              <w:rPr>
                <w:rFonts w:ascii="Times New Roman CYR" w:hAnsi="Times New Roman CYR" w:cs="Times New Roman CYR"/>
              </w:rPr>
              <w:t>11,0</w:t>
            </w:r>
          </w:p>
        </w:tc>
      </w:tr>
      <w:tr w:rsidR="00B22A47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3 (программа 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460,0</w:t>
            </w:r>
          </w:p>
        </w:tc>
      </w:tr>
      <w:tr w:rsidR="00B22A47" w:rsidRPr="00B22A47" w:rsidTr="00F664A5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</w:tr>
    </w:tbl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AF488E" w:rsidRPr="00AF488E" w:rsidRDefault="00AF488E" w:rsidP="00AF48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Информация 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финансировании реализации муниципальной программы Порецкого района за счет всех источников финансирования за 202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bookmarkStart w:id="1" w:name="sub_7111623"/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муниципальной программы Порецкого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План, тыс. рублей</w:t>
            </w:r>
            <w:hyperlink w:anchor="sub_8888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**</w:t>
              </w:r>
            </w:hyperlink>
          </w:p>
        </w:tc>
      </w:tr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5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373AA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524,2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373AA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524,2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72,0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83EF7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72,0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правонарушений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70939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53,0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11,0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Предупреждение детской беспризорности, безнадзорности правонарушений несовершеннолетних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460,0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460,0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F8323C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452,0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4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</w:tbl>
    <w:p w:rsidR="00AF488E" w:rsidRPr="00AF488E" w:rsidRDefault="00AF488E" w:rsidP="00AF488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F488E">
        <w:rPr>
          <w:rFonts w:ascii="Courier New" w:hAnsi="Courier New" w:cs="Courier New"/>
        </w:rPr>
        <w:t>──────────────────────────────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2" w:name="sub_8888"/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В </w:t>
      </w:r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 муниципальной программой Порецкого района.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3" w:name="sub_9999"/>
      <w:bookmarkEnd w:id="2"/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>.</w:t>
      </w:r>
    </w:p>
    <w:bookmarkEnd w:id="3"/>
    <w:p w:rsidR="00AF488E" w:rsidRPr="00AF488E" w:rsidRDefault="00AF488E" w:rsidP="00AF488E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F488E">
        <w:rPr>
          <w:rFonts w:ascii="Times New Roman" w:hAnsi="Times New Roman" w:cs="Times New Roman"/>
          <w:bCs/>
          <w:sz w:val="24"/>
          <w:szCs w:val="24"/>
          <w:lang w:eastAsia="en-US"/>
        </w:rPr>
        <w:br w:type="page"/>
      </w: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Информация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финансировании реализации отраслевых целевых программ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муниципального округа 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и основных мероприятий (мероприятий) подпрограмм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 за 202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муни-ципальнойпрограммы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Порецкого района,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от-раслевыхцелевых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прог-раммПорецкого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района,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6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Едини-цаизмере-ния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главныйраспоряд-итель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3C548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>раздел</w:t>
              </w:r>
            </w:hyperlink>
            <w:r w:rsidR="00F22215" w:rsidRPr="00F222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F22215" w:rsidRPr="00F22215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3C548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9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 xml:space="preserve">вида </w:t>
              </w:r>
              <w:proofErr w:type="spellStart"/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организационно-контрольной, кадровой и правовой работы (далее – орготдел);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Сектор информационного обеспечения, Администрации сельских поселений Порецкого района (по согласованию)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«Алатырский» (по согласованию);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Отдел КУ ЧР 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Чу-вашской</w:t>
            </w:r>
            <w:proofErr w:type="spellEnd"/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(по согласованию);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А310170380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А310272550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А310376280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А310672560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35A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5A5" w:rsidRPr="00F22215" w:rsidRDefault="005C35A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5C1B95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 исполнитель – орготдел, ОП по Порецкому району МО МВД РФ «Алатырский» (по согласованию); ФКУ «Уголовно-исполнительная инспекция» Шумерлинский межмуниципальный филиал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ОЦП 2.1.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орготдел, ОП по Порецкому району МО МВД РФ «Алатырский»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адаптация лиц, находящихся в трудной жизненной ситуации, содействие в реализации их </w:t>
            </w:r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конституционный</w:t>
            </w:r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прав и свобод, а также помощь в трудовом и бытовом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орготдел, 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;Ф</w:t>
            </w:r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КУ «Уголовно-исполнительная инспекция» 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Шумерлинский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межмуниципальный филиал 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Отдел КУ ЧР 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Чу-вашской</w:t>
            </w:r>
            <w:proofErr w:type="spellEnd"/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орготдел, ОП по Порецкому району МО МВД РФ «Алатырский»;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ФКУ «Уголовно-исполнительная инспекция» Шумерлинский межмуниципальный филиал;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Чу-вашской</w:t>
            </w:r>
            <w:proofErr w:type="spellEnd"/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Отдел образования, молодежной политики и спорта, Орган опеки и попечительства;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Удельный вес несовершеннолетних лиц в общем числе лиц, привлеченных к уголовной ответственности за совершение наркопреступлений,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C44E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Распространенность преступлений в сфере незаконного оборота наркотиков, на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423FD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D" w:rsidRPr="00F22215" w:rsidRDefault="009423FD" w:rsidP="006C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организационно-правового и ресурсного обеспечения антинаркотической деятельности в Порецком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484,5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А330111980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120240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E14AF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А330179930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67AB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26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267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2215">
        <w:rPr>
          <w:rFonts w:ascii="Courier New" w:hAnsi="Courier New" w:cs="Courier New"/>
        </w:rPr>
        <w:t>──────────────────────────────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4" w:name="sub_7111634"/>
      <w:r w:rsidRPr="00F22215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</w:t>
      </w:r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5" w:name="sub_711624"/>
      <w:bookmarkEnd w:id="4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В соответствии с муниципальной программой Порецкого района.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6" w:name="sub_1513333"/>
      <w:bookmarkEnd w:id="5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6"/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FE419F" w:rsidRDefault="00FE419F" w:rsidP="00304D12">
      <w:pPr>
        <w:spacing w:after="4" w:line="240" w:lineRule="auto"/>
        <w:ind w:left="399" w:right="43" w:firstLine="571"/>
        <w:jc w:val="both"/>
        <w:rPr>
          <w:rFonts w:ascii="Times New Roman" w:hAnsi="Times New Roman" w:cs="Times New Roman"/>
          <w:sz w:val="24"/>
          <w:szCs w:val="24"/>
        </w:rPr>
        <w:sectPr w:rsidR="00FE419F" w:rsidSect="00592C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 Порецкого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 (далее – муниципальная программа)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включает в себя информацию о реализации 4 подпрограмм: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правонарушений»;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«Предупреждение детской беспризорности, безнадзорности и правонарушений несовершеннолетних»;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незаконного потребления наркотических средств и психотропных веществ, наркомании в Порецком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E419F" w:rsidRP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реализации муниципальной программы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Реализация муниципальной 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была направлена на повышение обеспечения общественного порядка и снижение преступлений в Порецком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округе.</w:t>
      </w: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В ходе реализации программных мероприятий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полностью выполнены следующие показатели (индикаторы) муниципальной программы: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1. Доля преступлений, совершенных на улицах, в общем числе зарегистрированных преступлений составила 20,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 при плане 20,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2. Распространенность преступлений в сфере незаконного оборота наркотиков, на 100 тыс. человек составила 8</w:t>
      </w:r>
      <w:r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 при плане 8</w:t>
      </w:r>
      <w:r>
        <w:rPr>
          <w:rFonts w:ascii="Times New Roman" w:eastAsia="Times New Roman" w:hAnsi="Times New Roman" w:cs="Times New Roman"/>
          <w:sz w:val="24"/>
          <w:szCs w:val="24"/>
        </w:rPr>
        <w:t>3,1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3. Число несовершеннолетних, совершивших преступления, в расчете на 1 тыс. несовершеннолетних в возрасте от 14 до 18 лет  составило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8,7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% при </w:t>
      </w:r>
      <w:r>
        <w:rPr>
          <w:rFonts w:ascii="Times New Roman" w:eastAsia="Times New Roman" w:hAnsi="Times New Roman" w:cs="Times New Roman"/>
          <w:sz w:val="24"/>
          <w:szCs w:val="24"/>
        </w:rPr>
        <w:t>плане 8,7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4. Доля преступлений, совершенных лицами, ранее их совершавшими, в общем числе раскрытых преступлений составила 53,4 % при плане 53,4 %;</w:t>
      </w:r>
    </w:p>
    <w:p w:rsidR="00FE419F" w:rsidRP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5. Доля преступлений, совершенных лицами в состоянии алкогольного опьянения, в общем числе раскрытых преступлений составила  37,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37,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8B76E4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6. Доля расследованных преступлений превентивной направленности в общем массиве расследованных преступлений составила  26,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26,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8B76E4" w:rsidRDefault="00FE419F" w:rsidP="008B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7. 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 -57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57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8B76E4" w:rsidRDefault="00FE419F" w:rsidP="008B7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8. 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 52,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 при плане 52,</w:t>
      </w:r>
      <w:r w:rsidR="008B76E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826B23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9. 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 99,9%– при плане 99,99;</w:t>
      </w:r>
    </w:p>
    <w:p w:rsidR="00826B23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10. Удельный вес наркопреступлений в общем количестве зарегистрированных преступных деяний составил –8,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8,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826B23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11. 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составила  – 8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3,3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 при плане 8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826B23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12. 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 составила  –38,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38,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826B23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13. Число больных наркоманией, находящихся в ремиссии свыше двух лет, на 100 больных среднегодового контингента составило  –12,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12,</w:t>
      </w:r>
      <w:r w:rsidR="00826B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E419F" w:rsidRPr="00FE419F" w:rsidRDefault="00FE419F" w:rsidP="0082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14. Доля преступлений, совершенных несовершеннолетними, в общем числе преступлений составила  – 7,</w:t>
      </w:r>
      <w:r w:rsidR="00DB1044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 при плане 7,</w:t>
      </w:r>
      <w:r w:rsidR="00DB104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Деятельность осуществлялась в соответствии с утвержденным Планом реализации муниципальной программы.</w:t>
      </w:r>
    </w:p>
    <w:p w:rsidR="00FE419F" w:rsidRPr="00FE419F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использования бюджетных ассигнований бюджета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округа,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местных бюджетов и иных средств на реализацию муниципальной программы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Всего на реализацию муниципальной программы в 202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за счет всех источников финансирования направлено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524,2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  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Источник финансирования     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Оценка расходов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фактические расходы                            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524,2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524,2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72,0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72,0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бюджет  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452,2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452,2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Данные, необходимые для оценки эффективности муниципальной программы</w:t>
      </w:r>
    </w:p>
    <w:p w:rsidR="00DF08BB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Сведения о достижении значений показателей (индикаторов) муниципальной программы, подпрограмм муниципальной программы отражены  в приложении № 1 к докладу.</w:t>
      </w:r>
    </w:p>
    <w:p w:rsidR="00DF08BB" w:rsidRDefault="00DF08BB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BB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Информация о внесенных ответственным исполнителем в муниципальную программу изменениях.</w:t>
      </w:r>
    </w:p>
    <w:p w:rsidR="00DF08BB" w:rsidRDefault="00DF08BB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сновными причинами внесения изменений в муниципальную программу явились изменения, внесенные в 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году, и принятый 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годы. Были внесены изменения по источникам и объемам финансирования в рамках подпрограмм и муниципальной программы.</w:t>
      </w:r>
    </w:p>
    <w:p w:rsidR="00DF08BB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были подготовлены постановления о внесении изменений в муниципальную программу в связи с уточнениями бюджетных ассигнований:</w:t>
      </w:r>
    </w:p>
    <w:p w:rsidR="00DF08BB" w:rsidRDefault="00FA124D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Порецкого муниципального округа Чувашской Республики от 14.02.2024 № 52 «О внесении изменений в муниципальную программы «Обеспечение общественного порядка и противодействие преступности», утвержденную постановлением администрации Порецкого муниципального округа Чувашской Республик от 15.02.2023 № 146».</w:t>
      </w:r>
    </w:p>
    <w:p w:rsidR="00FE419F" w:rsidRPr="00FE419F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муниципальной политикой в сфере профилактики правонарушений, на территории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муниципальная программа «Обеспечение общественного порядка и противодействие преступности», утвержденная постановлением администрации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 xml:space="preserve"> 146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15.02.2023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. В 202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г. на данную муниципальную программу было запланировано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524,2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руб., из них в полном объеме и своевременно освоена вся сумма.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1. В рамках реализации в 202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подпрограммы «Профилактика правонаруше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ний в Порецком муниципальном округе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муниципальной программы было запланировано всего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53,0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рублей, из них все средства освоены в полном объеме, в т.ч.: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1) на мероприятие «Дальнейшее развитие многоуровневой системы профилактики правонарушений» было запланировано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освоена вся сумма, к указанному мероприятию относится материальное стимулирование деятельности народных дружинников, а именно денежные выплаты, начисленные по итогам работы дружинников.</w:t>
      </w:r>
    </w:p>
    <w:p w:rsidR="00824A07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2) на мероприятия по предупреждению рецидивной преступности, </w:t>
      </w:r>
      <w:proofErr w:type="spellStart"/>
      <w:r w:rsidRPr="00FE419F">
        <w:rPr>
          <w:rFonts w:ascii="Times New Roman" w:eastAsia="Times New Roman" w:hAnsi="Times New Roman" w:cs="Times New Roman"/>
          <w:sz w:val="24"/>
          <w:szCs w:val="24"/>
        </w:rPr>
        <w:t>ресоциализацию</w:t>
      </w:r>
      <w:proofErr w:type="spellEnd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и адаптацию лиц, освободившихся из мест лишения свободы, было запланировано и освоено в полном объеме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,0 тыс.  рублей (листовая продукция и медали к спортивному мероприятию, направленному на предупреждение рецидивной преступности);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3) на мероприятия по профилактике и предупреждению бытовой преступности, а также преступлений, совершенных в состоянии алкогольного и наркотического опьянения запланировано 9,0 тыс</w:t>
      </w: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E419F">
        <w:rPr>
          <w:rFonts w:ascii="Times New Roman" w:eastAsia="Times New Roman" w:hAnsi="Times New Roman" w:cs="Times New Roman"/>
          <w:sz w:val="24"/>
          <w:szCs w:val="24"/>
        </w:rPr>
        <w:t>ублей, освоено 9,0 тыс. рублей (закуплены листовки и баннер);</w:t>
      </w: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4) на мероприятия по информационно – методическому обеспечению профилактики правонарушений и повышение уровня правовой культуры населения было запланировано и освоено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,0 тыс. рублей (размещена статья в газете «Порецкий вести» и приобретена полиграфическая продукция).</w:t>
      </w:r>
    </w:p>
    <w:p w:rsidR="00824A07" w:rsidRPr="00FE419F" w:rsidRDefault="00824A07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>В рамках реализации подпрограммы «Профилактика незаконного потребления наркотических средств и психотропных веществ, наркомании в Чувашской Республике» было запланировано всего 11,0 тыс. рублей, все средства освоены в полном объеме в рамках мероприятия «Совершенствование системы мер по сокращению спроса на наркотики», т.е. закуплены буклеты и плакаты профилактической направленности, поощрены наградами участники спортивных мероприятий и выпускники 11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х классов. </w:t>
      </w:r>
      <w:proofErr w:type="gramEnd"/>
    </w:p>
    <w:p w:rsidR="00824A07" w:rsidRPr="00FE419F" w:rsidRDefault="00824A07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 «Предупреждение детской беспризорности, безнадзорности и правонарушений несовершеннолетних» было запланировано и освоено в полном объеме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460,0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460,0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организацию деятельности комиссии по делам несовершеннолетних и защите их прав, 8,0 тыс. рублей на мероприятия, направленные на снижение количества преступлений, совершаемых несовершеннолетними гражданами, были выпущены награды для поощрения несовершеннолетних граждан, учащихся образовательных учреждений</w:t>
      </w:r>
      <w:proofErr w:type="gramEnd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и буклеты.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E419F">
        <w:rPr>
          <w:rFonts w:ascii="Times New Roman" w:eastAsia="Times New Roman" w:hAnsi="Times New Roman" w:cs="Times New Roman"/>
          <w:sz w:val="24"/>
          <w:szCs w:val="24"/>
        </w:rPr>
        <w:t>Общепро</w:t>
      </w:r>
      <w:bookmarkStart w:id="7" w:name="_GoBack"/>
      <w:bookmarkEnd w:id="7"/>
      <w:r w:rsidRPr="00FE419F">
        <w:rPr>
          <w:rFonts w:ascii="Times New Roman" w:eastAsia="Times New Roman" w:hAnsi="Times New Roman" w:cs="Times New Roman"/>
          <w:sz w:val="24"/>
          <w:szCs w:val="24"/>
        </w:rPr>
        <w:t>граммные</w:t>
      </w:r>
      <w:proofErr w:type="spellEnd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расходы составили 0,2 тыс. рублей, и относились к обеспечению деятельности административной комиссии при администрации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а. К таким расходам относились затраты на канцелярские принадлежности.</w:t>
      </w:r>
    </w:p>
    <w:p w:rsidR="00FE419F" w:rsidRPr="00FE419F" w:rsidRDefault="00FE419F" w:rsidP="00FE419F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Предложения по дальнейшей реализации муниципальной программы</w:t>
      </w:r>
    </w:p>
    <w:p w:rsidR="00FE419F" w:rsidRPr="00FE419F" w:rsidRDefault="00FE419F" w:rsidP="00824A0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внимание, что основные мероприятия муниципальной </w:t>
      </w:r>
      <w:hyperlink r:id="rId10" w:history="1">
        <w:r w:rsidRPr="00FE419F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в основном выполнены, значения целевых индикаторов (показателей) в целом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  <w:proofErr w:type="gramEnd"/>
    </w:p>
    <w:p w:rsidR="00085762" w:rsidRDefault="00085762" w:rsidP="00304D12">
      <w:pPr>
        <w:spacing w:after="4" w:line="240" w:lineRule="auto"/>
        <w:ind w:left="399" w:right="43" w:firstLine="571"/>
        <w:jc w:val="both"/>
        <w:rPr>
          <w:rFonts w:ascii="Times New Roman" w:hAnsi="Times New Roman" w:cs="Times New Roman"/>
          <w:sz w:val="24"/>
          <w:szCs w:val="24"/>
        </w:rPr>
      </w:pPr>
    </w:p>
    <w:sectPr w:rsidR="00085762" w:rsidSect="00FE4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948E2"/>
    <w:rsid w:val="00014576"/>
    <w:rsid w:val="000856BB"/>
    <w:rsid w:val="00085762"/>
    <w:rsid w:val="000F5ED8"/>
    <w:rsid w:val="00101E79"/>
    <w:rsid w:val="0016354A"/>
    <w:rsid w:val="00177C20"/>
    <w:rsid w:val="00191E1D"/>
    <w:rsid w:val="001C195B"/>
    <w:rsid w:val="002035E0"/>
    <w:rsid w:val="00264860"/>
    <w:rsid w:val="00267AB8"/>
    <w:rsid w:val="0029058D"/>
    <w:rsid w:val="0029639C"/>
    <w:rsid w:val="002D62B3"/>
    <w:rsid w:val="002F54C2"/>
    <w:rsid w:val="00304D12"/>
    <w:rsid w:val="0038746A"/>
    <w:rsid w:val="00390AF3"/>
    <w:rsid w:val="003C548A"/>
    <w:rsid w:val="004140B8"/>
    <w:rsid w:val="004160F0"/>
    <w:rsid w:val="004531CD"/>
    <w:rsid w:val="00471C00"/>
    <w:rsid w:val="00472F80"/>
    <w:rsid w:val="004948E2"/>
    <w:rsid w:val="004C27E0"/>
    <w:rsid w:val="004C2809"/>
    <w:rsid w:val="004D2D6A"/>
    <w:rsid w:val="004D3250"/>
    <w:rsid w:val="004D60C3"/>
    <w:rsid w:val="00501A02"/>
    <w:rsid w:val="00545E99"/>
    <w:rsid w:val="00562E4B"/>
    <w:rsid w:val="00592CD2"/>
    <w:rsid w:val="005A074C"/>
    <w:rsid w:val="005A7E5E"/>
    <w:rsid w:val="005C1B95"/>
    <w:rsid w:val="005C35A5"/>
    <w:rsid w:val="005C58A7"/>
    <w:rsid w:val="006017F8"/>
    <w:rsid w:val="00602ADF"/>
    <w:rsid w:val="00605AF6"/>
    <w:rsid w:val="00610481"/>
    <w:rsid w:val="00631ECB"/>
    <w:rsid w:val="006421C3"/>
    <w:rsid w:val="00700C7C"/>
    <w:rsid w:val="0073470C"/>
    <w:rsid w:val="007A0B11"/>
    <w:rsid w:val="007F5CA7"/>
    <w:rsid w:val="007F68A0"/>
    <w:rsid w:val="00824A07"/>
    <w:rsid w:val="00826B23"/>
    <w:rsid w:val="008569D3"/>
    <w:rsid w:val="00883F87"/>
    <w:rsid w:val="008B76E4"/>
    <w:rsid w:val="008E6AB1"/>
    <w:rsid w:val="009069B2"/>
    <w:rsid w:val="00906D32"/>
    <w:rsid w:val="00910D6E"/>
    <w:rsid w:val="0093065C"/>
    <w:rsid w:val="00930914"/>
    <w:rsid w:val="00935BAD"/>
    <w:rsid w:val="009423FD"/>
    <w:rsid w:val="00981540"/>
    <w:rsid w:val="009C4913"/>
    <w:rsid w:val="009D6E31"/>
    <w:rsid w:val="00A059F3"/>
    <w:rsid w:val="00A261F1"/>
    <w:rsid w:val="00A57FD7"/>
    <w:rsid w:val="00AE14AF"/>
    <w:rsid w:val="00AF1426"/>
    <w:rsid w:val="00AF488E"/>
    <w:rsid w:val="00B20DFA"/>
    <w:rsid w:val="00B22A47"/>
    <w:rsid w:val="00B6184C"/>
    <w:rsid w:val="00B63386"/>
    <w:rsid w:val="00B87F11"/>
    <w:rsid w:val="00B948EB"/>
    <w:rsid w:val="00BD18AC"/>
    <w:rsid w:val="00BE610A"/>
    <w:rsid w:val="00BF41C0"/>
    <w:rsid w:val="00C237A4"/>
    <w:rsid w:val="00C25EA9"/>
    <w:rsid w:val="00C27134"/>
    <w:rsid w:val="00C51620"/>
    <w:rsid w:val="00C536AC"/>
    <w:rsid w:val="00C6486E"/>
    <w:rsid w:val="00C65281"/>
    <w:rsid w:val="00C9749C"/>
    <w:rsid w:val="00CE24E0"/>
    <w:rsid w:val="00CE6E26"/>
    <w:rsid w:val="00D11B7A"/>
    <w:rsid w:val="00D141F4"/>
    <w:rsid w:val="00D1539F"/>
    <w:rsid w:val="00D37333"/>
    <w:rsid w:val="00D72C6A"/>
    <w:rsid w:val="00DA3FF8"/>
    <w:rsid w:val="00DB1044"/>
    <w:rsid w:val="00DE3EEE"/>
    <w:rsid w:val="00DF08BB"/>
    <w:rsid w:val="00E2271C"/>
    <w:rsid w:val="00E373AA"/>
    <w:rsid w:val="00E46683"/>
    <w:rsid w:val="00E57B3E"/>
    <w:rsid w:val="00E57FA6"/>
    <w:rsid w:val="00E83EF7"/>
    <w:rsid w:val="00EA0081"/>
    <w:rsid w:val="00EC479D"/>
    <w:rsid w:val="00F22215"/>
    <w:rsid w:val="00F25054"/>
    <w:rsid w:val="00F33297"/>
    <w:rsid w:val="00F556B9"/>
    <w:rsid w:val="00F664A5"/>
    <w:rsid w:val="00F70939"/>
    <w:rsid w:val="00F8323C"/>
    <w:rsid w:val="00FA124D"/>
    <w:rsid w:val="00FB023C"/>
    <w:rsid w:val="00FB6C50"/>
    <w:rsid w:val="00FC44ED"/>
    <w:rsid w:val="00FE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A"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600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971578/15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971578/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D0F516530F7677BE9AC6538F221A904DB9D8D50CB855875EC7CC1668039D1B2A8B88FBCBEDF97A9693CqCR5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49BD-251A-4D50-B04A-845F1FAA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6709</Words>
  <Characters>38247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2</cp:revision>
  <cp:lastPrinted>2024-03-22T12:23:00Z</cp:lastPrinted>
  <dcterms:created xsi:type="dcterms:W3CDTF">2024-03-22T13:23:00Z</dcterms:created>
  <dcterms:modified xsi:type="dcterms:W3CDTF">2024-03-22T13:23:00Z</dcterms:modified>
</cp:coreProperties>
</file>