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Минстроя России от 09.07.2020 N 368/пр</w:t>
              <w:br/>
              <w:t xml:space="preserve">"Об утверждении формы конкурсной заявки муниципального образования и методики оценки конкурсных заявок муниципальных образований, представляемых для участия в номинации "Модернизация городского хозяйства посредством внедрения цифровых технологий и платформенных решений ("умный город")" Всероссийского конкурса "Лучшая муниципальная практика"</w:t>
              <w:br/>
              <w:t xml:space="preserve">(Зарегистрировано в Минюсте России 07.08.2020 N 59206)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7 августа 2020 г. N 59206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9 июля 2020 г. N 368/пр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</w:t>
      </w:r>
    </w:p>
    <w:p>
      <w:pPr>
        <w:pStyle w:val="2"/>
        <w:jc w:val="center"/>
      </w:pPr>
      <w:r>
        <w:rPr>
          <w:sz w:val="20"/>
        </w:rPr>
        <w:t xml:space="preserve">КОНКУРСНОЙ ЗАЯВКИ МУНИЦИПАЛЬНОГО ОБРАЗОВАНИЯ И МЕТОДИКИ</w:t>
      </w:r>
    </w:p>
    <w:p>
      <w:pPr>
        <w:pStyle w:val="2"/>
        <w:jc w:val="center"/>
      </w:pPr>
      <w:r>
        <w:rPr>
          <w:sz w:val="20"/>
        </w:rPr>
        <w:t xml:space="preserve">ОЦЕНКИ КОНКУРСНЫХ ЗАЯВОК МУНИЦИПАЛЬНЫХ ОБРАЗОВАНИЙ,</w:t>
      </w:r>
    </w:p>
    <w:p>
      <w:pPr>
        <w:pStyle w:val="2"/>
        <w:jc w:val="center"/>
      </w:pPr>
      <w:r>
        <w:rPr>
          <w:sz w:val="20"/>
        </w:rPr>
        <w:t xml:space="preserve">ПРЕДСТАВЛЯЕМЫХ ДЛЯ УЧАСТИЯ В НОМИНАЦИИ "МОДЕРНИЗАЦИЯ</w:t>
      </w:r>
    </w:p>
    <w:p>
      <w:pPr>
        <w:pStyle w:val="2"/>
        <w:jc w:val="center"/>
      </w:pPr>
      <w:r>
        <w:rPr>
          <w:sz w:val="20"/>
        </w:rPr>
        <w:t xml:space="preserve">ГОРОДСКОГО ХОЗЯЙСТВА ПОСРЕДСТВОМ ВНЕДРЕНИЯ ЦИФРОВЫХ</w:t>
      </w:r>
    </w:p>
    <w:p>
      <w:pPr>
        <w:pStyle w:val="2"/>
        <w:jc w:val="center"/>
      </w:pPr>
      <w:r>
        <w:rPr>
          <w:sz w:val="20"/>
        </w:rPr>
        <w:t xml:space="preserve">ТЕХНОЛОГИЙ И ПЛАТФОРМЕННЫХ РЕШЕНИЙ ("УМНЫЙ ГОРОД")"</w:t>
      </w:r>
    </w:p>
    <w:p>
      <w:pPr>
        <w:pStyle w:val="2"/>
        <w:jc w:val="center"/>
      </w:pPr>
      <w:r>
        <w:rPr>
          <w:sz w:val="20"/>
        </w:rPr>
        <w:t xml:space="preserve">ВСЕРОССИЙСКОГО КОНКУРСА "ЛУЧШАЯ МУНИЦИПАЛЬНАЯ ПРАКТИКА"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9.05.2020 N 786 &quot;О внесении изменений в Положение о Всероссийском конкурсе &quot;Лучшая муниципальная практика&quot; {КонсультантПлюс}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постановления Правительства Российской Федерации от 29 мая 2020 г. N 786 "О внесении изменений в Положение о Всероссийском конкурсе "Лучшая муниципальная практика" (Собрание законодательства Российской Федерации, 2020, ст. 3650) приказываю:</w:t>
      </w:r>
    </w:p>
    <w:p>
      <w:pPr>
        <w:pStyle w:val="0"/>
        <w:spacing w:before="200" w:line-rule="auto"/>
        <w:ind w:firstLine="540"/>
        <w:jc w:val="both"/>
      </w:pPr>
      <w:hyperlink w:history="0" r:id="rId8" w:tooltip="Постановление Правительства РФ от 18.08.2016 N 815 (ред. от 09.12.2022) &quot;О Всероссийском конкурсе &quot;Лучшая муниципальная практика&quot; (вместе с &quot;Положением о Всероссийском конкурсе &quot;Лучшая муниципальная практика&quot;) {КонсультантПлюс}">
        <w:r>
          <w:rPr>
            <w:sz w:val="20"/>
            <w:color w:val="0000ff"/>
          </w:rPr>
          <w:t xml:space="preserve">утвердить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конкурсной заявки муниципального образования для участия в номинации "Модернизация городского хозяйства посредством внедрения цифровых технологий и платформенных решений ("умный город")" Всероссийского конкурса "Лучшая муниципальная практика" согласно </w:t>
      </w:r>
      <w:hyperlink w:history="0" w:anchor="P38" w:tooltip="                             Конкурсная заявка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методику оценки конкурсных заявок муниципальных образований, представляемых для участия в номинации "Модернизация городского хозяйства посредством внедрения цифровых технологий и платформенных решений ("умный город")" Всероссийского конкурса "Лучшая муниципальная практика" согласно </w:t>
      </w:r>
      <w:hyperlink w:history="0" w:anchor="P565" w:tooltip="МЕТОДИКА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В.В.ЯКУШЕВ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9 июля 2020 г. N 368/пр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1"/>
        <w:jc w:val="both"/>
      </w:pPr>
      <w:r>
        <w:rPr>
          <w:sz w:val="20"/>
        </w:rPr>
        <w:t xml:space="preserve">                             Конкурсная заявка</w:t>
      </w:r>
    </w:p>
    <w:p>
      <w:pPr>
        <w:pStyle w:val="1"/>
        <w:jc w:val="both"/>
      </w:pPr>
      <w:r>
        <w:rPr>
          <w:sz w:val="20"/>
        </w:rPr>
        <w:t xml:space="preserve">            муниципального образования для участия в номинации</w:t>
      </w:r>
    </w:p>
    <w:p>
      <w:pPr>
        <w:pStyle w:val="1"/>
        <w:jc w:val="both"/>
      </w:pPr>
      <w:r>
        <w:rPr>
          <w:sz w:val="20"/>
        </w:rPr>
        <w:t xml:space="preserve">         "Модернизация городского хозяйства посредством внедрения</w:t>
      </w:r>
    </w:p>
    <w:p>
      <w:pPr>
        <w:pStyle w:val="1"/>
        <w:jc w:val="both"/>
      </w:pPr>
      <w:r>
        <w:rPr>
          <w:sz w:val="20"/>
        </w:rPr>
        <w:t xml:space="preserve">                цифровых технологий и платформенных решений</w:t>
      </w:r>
    </w:p>
    <w:p>
      <w:pPr>
        <w:pStyle w:val="1"/>
        <w:jc w:val="both"/>
      </w:pPr>
      <w:r>
        <w:rPr>
          <w:sz w:val="20"/>
        </w:rPr>
        <w:t xml:space="preserve">                 ("умный город")" Всероссийского конкурса</w:t>
      </w:r>
    </w:p>
    <w:p>
      <w:pPr>
        <w:pStyle w:val="1"/>
        <w:jc w:val="both"/>
      </w:pPr>
      <w:r>
        <w:rPr>
          <w:sz w:val="20"/>
        </w:rPr>
        <w:t xml:space="preserve">                      "Лучшая муниципальная практика"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Министерство строительства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и жилищно-коммунального хозяйства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Российской Федерации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 рассмотреть   конкурсную   заявку   для   участия  в  номинации</w:t>
      </w:r>
    </w:p>
    <w:p>
      <w:pPr>
        <w:pStyle w:val="1"/>
        <w:jc w:val="both"/>
      </w:pPr>
      <w:r>
        <w:rPr>
          <w:sz w:val="20"/>
        </w:rPr>
        <w:t xml:space="preserve">"Модернизация   городского   хозяйства   посредством   внедрения   цифровых</w:t>
      </w:r>
    </w:p>
    <w:p>
      <w:pPr>
        <w:pStyle w:val="1"/>
        <w:jc w:val="both"/>
      </w:pPr>
      <w:r>
        <w:rPr>
          <w:sz w:val="20"/>
        </w:rPr>
        <w:t xml:space="preserve">технологий и платформенных решений ("умный город")" Всероссийского конкурса</w:t>
      </w:r>
    </w:p>
    <w:p>
      <w:pPr>
        <w:pStyle w:val="1"/>
        <w:jc w:val="both"/>
      </w:pPr>
      <w:r>
        <w:rPr>
          <w:sz w:val="20"/>
        </w:rPr>
        <w:t xml:space="preserve">"Лучшая муниципальная практика" муниципального образования: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(городской округ (городской округ с внутригородским делением)</w:t>
      </w:r>
    </w:p>
    <w:p>
      <w:pPr>
        <w:pStyle w:val="1"/>
        <w:jc w:val="both"/>
      </w:pPr>
      <w:r>
        <w:rPr>
          <w:sz w:val="20"/>
        </w:rPr>
        <w:t xml:space="preserve">                 /городское поселение/сельское поселение)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(муниципальный район)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(субъект Российской Федерации)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(статус административного центра субъекта</w:t>
      </w:r>
    </w:p>
    <w:p>
      <w:pPr>
        <w:pStyle w:val="1"/>
        <w:jc w:val="both"/>
      </w:pPr>
      <w:r>
        <w:rPr>
          <w:sz w:val="20"/>
        </w:rPr>
        <w:t xml:space="preserve">                           Российской Федерации)</w:t>
      </w:r>
    </w:p>
    <w:p>
      <w:pPr>
        <w:pStyle w:val="1"/>
        <w:jc w:val="both"/>
      </w:pPr>
      <w:r>
        <w:rPr>
          <w:sz w:val="20"/>
        </w:rPr>
        <w:t xml:space="preserve">в категории: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(I категория - городские округа (городские округа с внутригородским</w:t>
      </w:r>
    </w:p>
    <w:p>
      <w:pPr>
        <w:pStyle w:val="1"/>
        <w:jc w:val="both"/>
      </w:pPr>
      <w:r>
        <w:rPr>
          <w:sz w:val="20"/>
        </w:rPr>
        <w:t xml:space="preserve">    делением) и городские поселения; II категория - сельские поселения)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I. Основные данные по муниципальному образованию</w:t>
      </w:r>
    </w:p>
    <w:p>
      <w:pPr>
        <w:pStyle w:val="1"/>
        <w:jc w:val="both"/>
      </w:pPr>
      <w:r>
        <w:rPr>
          <w:sz w:val="20"/>
        </w:rPr>
        <w:t xml:space="preserve">                        за ____ год (отчетный год)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(городской округ (городской округ с внутригородским делением)</w:t>
      </w:r>
    </w:p>
    <w:p>
      <w:pPr>
        <w:pStyle w:val="1"/>
        <w:jc w:val="both"/>
      </w:pPr>
      <w:r>
        <w:rPr>
          <w:sz w:val="20"/>
        </w:rPr>
        <w:t xml:space="preserve">                 /городское поселение/сельское поселение)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(муниципальный район)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(субъект Российской Федерации)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95"/>
        <w:gridCol w:w="1020"/>
        <w:gridCol w:w="1927"/>
        <w:gridCol w:w="1927"/>
      </w:tblGrid>
      <w:tr>
        <w:tc>
          <w:tcPr>
            <w:gridSpan w:val="4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информация</w:t>
            </w:r>
          </w:p>
        </w:tc>
      </w:tr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Дата образования (городского округа/городского поселения/сельского поселения)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gridSpan w:val="2"/>
            <w:tcW w:w="3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Количество жителей </w:t>
            </w:r>
            <w:hyperlink w:history="0" w:anchor="P552" w:tooltip="&lt;*&gt; Житель - физическое лицо, зарегистрированное по месту жительства в муниципальном образовании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 (городского округа/городского поселения/сельского поселения)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человек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1 января отчетного года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 декабря отчетного года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Общая площадь городского округа/городского поселения/сельского поселения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1 января отчетного года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 декабря отчетного года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Средства местного бюджета, предусмотренные за отчетный год на реализацию мероприятий в области модернизации городского хозяйства посредством внедрения цифровых технологий и платформенных решений "умный город" всего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</w:t>
            </w:r>
            <w:hyperlink w:history="0" w:anchor="P553" w:tooltip="&lt;**&gt; Ед. - количество мероприятий в области модернизации городского хозяйства, реализованных посредством внедрения цифровых технологий и платформенных решений &quot;умный город&quot;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1 января отчетного года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 декабря отчетного года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направлениям:</w:t>
            </w:r>
          </w:p>
        </w:tc>
        <w:tc>
          <w:tcPr>
            <w:gridSpan w:val="3"/>
            <w:tcW w:w="487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 Городское управление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</w:t>
            </w:r>
            <w:hyperlink w:history="0" w:anchor="P553" w:tooltip="&lt;**&gt; Ед. - количество мероприятий в области модернизации городского хозяйства, реализованных посредством внедрения цифровых технологий и платформенных решений &quot;умный город&quot;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1 января отчетного года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 декабря отчетного года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1.1. Наименование мероприятия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 Умное жилищно-коммунальное хозяйство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</w:t>
            </w:r>
            <w:hyperlink w:history="0" w:anchor="P553" w:tooltip="&lt;**&gt; Ед. - количество мероприятий в области модернизации городского хозяйства, реализованных посредством внедрения цифровых технологий и платформенных решений &quot;умный город&quot;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1 января отчетного года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 декабря отчетного года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2.1. Наименование мероприятия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 Инновации для городской среды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</w:t>
            </w:r>
            <w:hyperlink w:history="0" w:anchor="P553" w:tooltip="&lt;**&gt; Ед. - количество мероприятий в области модернизации городского хозяйства, реализованных посредством внедрения цифровых технологий и платформенных решений &quot;умный город&quot;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1 января отчетного года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 декабря отчетного года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3.1. Наименование мероприятия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4. Умный городской транспорт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</w:t>
            </w:r>
            <w:hyperlink w:history="0" w:anchor="P553" w:tooltip="&lt;**&gt; Ед. - количество мероприятий в области модернизации городского хозяйства, реализованных посредством внедрения цифровых технологий и платформенных решений &quot;умный город&quot;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1 января отчетного года</w:t>
            </w:r>
          </w:p>
        </w:tc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 декабря отчетного года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tcW w:w="1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4.1. Наименование мероприятия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gridSpan w:val="2"/>
            <w:tcW w:w="38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 Интеллектуальные системы общественной безопасности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</w:t>
            </w:r>
            <w:hyperlink w:history="0" w:anchor="P553" w:tooltip="&lt;**&gt; Ед. - количество мероприятий в области модернизации городского хозяйства, реализованных посредством внедрения цифровых технологий и платформенных решений &quot;умный город&quot;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1 января отчетного года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 декабря отчетного года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5.1. Наименование мероприятия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6. Интеллектуальные системы экологической безопасности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</w:t>
            </w:r>
            <w:hyperlink w:history="0" w:anchor="P553" w:tooltip="&lt;**&gt; Ед. - количество мероприятий в области модернизации городского хозяйства, реализованных посредством внедрения цифровых технологий и платформенных решений &quot;умный город&quot;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1 января отчетного года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 декабря отчетного года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6.1. Наименование мероприятия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7. Инфраструктура сетей связи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</w:t>
            </w:r>
            <w:hyperlink w:history="0" w:anchor="P553" w:tooltip="&lt;**&gt; Ед. - количество мероприятий в области модернизации городского хозяйства, реализованных посредством внедрения цифровых технологий и платформенных решений &quot;умный город&quot;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1 января отчетного года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 декабря отчетного года</w:t>
            </w:r>
          </w:p>
        </w:tc>
      </w:tr>
      <w:tr>
        <w:tc>
          <w:tcPr>
            <w:vMerge w:val="continue"/>
          </w:tcPr>
          <w:p/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7.1. Наименование мероприятия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8. Туризм и сервис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</w:t>
            </w:r>
            <w:hyperlink w:history="0" w:anchor="P553" w:tooltip="&lt;**&gt; Ед. - количество мероприятий в области модернизации городского хозяйства, реализованных посредством внедрения цифровых технологий и платформенных решений &quot;умный город&quot;.">
              <w:r>
                <w:rPr>
                  <w:sz w:val="20"/>
                  <w:color w:val="0000ff"/>
                </w:rPr>
                <w:t xml:space="preserve">&lt;**&gt;</w:t>
              </w:r>
            </w:hyperlink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1 января отчетного года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 декабря отчетного года</w:t>
            </w:r>
          </w:p>
        </w:tc>
      </w:tr>
      <w:tr>
        <w:tc>
          <w:tcPr>
            <w:vMerge w:val="continue"/>
          </w:tcPr>
          <w:p/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8.1. Наименование мероприятия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Мероприятия, на которые планируется направление средств дотаций из федерального бюджета в случае премирования муниципальных образований - победителей конкурса, полученных от участия</w:t>
            </w:r>
          </w:p>
        </w:tc>
        <w:tc>
          <w:tcPr>
            <w:gridSpan w:val="3"/>
            <w:tcW w:w="4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а) наименование мероприятия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gridSpan w:val="2"/>
            <w:tcW w:w="38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195" w:type="dxa"/>
          </w:tcPr>
          <w:p>
            <w:pPr>
              <w:pStyle w:val="0"/>
            </w:pPr>
            <w:r>
              <w:rPr>
                <w:sz w:val="20"/>
              </w:rPr>
              <w:t xml:space="preserve">б) наименование мероприятия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  <w:tc>
          <w:tcPr>
            <w:gridSpan w:val="2"/>
            <w:tcW w:w="38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II. Описание муниципальной практики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Составитель паспорта практики:</w:t>
      </w:r>
    </w:p>
    <w:p>
      <w:pPr>
        <w:pStyle w:val="1"/>
        <w:jc w:val="both"/>
      </w:pPr>
      <w:r>
        <w:rPr>
          <w:sz w:val="20"/>
        </w:rPr>
        <w:t xml:space="preserve">ФИО:</w:t>
      </w:r>
    </w:p>
    <w:p>
      <w:pPr>
        <w:pStyle w:val="1"/>
        <w:jc w:val="both"/>
      </w:pPr>
      <w:r>
        <w:rPr>
          <w:sz w:val="20"/>
        </w:rPr>
        <w:t xml:space="preserve">e-mail:</w:t>
      </w:r>
    </w:p>
    <w:p>
      <w:pPr>
        <w:pStyle w:val="1"/>
        <w:jc w:val="both"/>
      </w:pPr>
      <w:r>
        <w:rPr>
          <w:sz w:val="20"/>
        </w:rPr>
        <w:t xml:space="preserve">тел. (раб., моб.):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Наименование практики: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2.   Наименование  муниципального  образования  и  субъекта  Российской</w:t>
      </w:r>
    </w:p>
    <w:p>
      <w:pPr>
        <w:pStyle w:val="1"/>
        <w:jc w:val="both"/>
      </w:pPr>
      <w:r>
        <w:rPr>
          <w:sz w:val="20"/>
        </w:rPr>
        <w:t xml:space="preserve">Федерации, в котором реализована практика: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bookmarkStart w:id="230" w:name="P230"/>
    <w:bookmarkEnd w:id="230"/>
    <w:p>
      <w:pPr>
        <w:pStyle w:val="1"/>
        <w:jc w:val="both"/>
      </w:pPr>
      <w:r>
        <w:rPr>
          <w:sz w:val="20"/>
        </w:rPr>
        <w:t xml:space="preserve">    3. Предпосылки реализации.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3.1.  Краткое  описание ситуации, обусловившей необходимость реализации</w:t>
      </w:r>
    </w:p>
    <w:p>
      <w:pPr>
        <w:pStyle w:val="1"/>
        <w:jc w:val="both"/>
      </w:pPr>
      <w:r>
        <w:rPr>
          <w:sz w:val="20"/>
        </w:rPr>
        <w:t xml:space="preserve">практики: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3.2. Проблемы, на решение которых направлена реализация практики: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8674"/>
      </w:tblGrid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8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 проблемы или комплекса проблем</w:t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8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4. Возможности (ресурсы), которые позволили реализовать практику: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8674"/>
      </w:tblGrid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86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 возможностей и ресурсов</w:t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86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4.1.  Финансовые  возможности  (ресурсы), которые позволили реализовать</w:t>
      </w:r>
    </w:p>
    <w:p>
      <w:pPr>
        <w:pStyle w:val="1"/>
        <w:jc w:val="both"/>
      </w:pPr>
      <w:r>
        <w:rPr>
          <w:sz w:val="20"/>
        </w:rPr>
        <w:t xml:space="preserve">практику   (средства   бюджета   субъекта  Российской  Федерации;  средства</w:t>
      </w:r>
    </w:p>
    <w:p>
      <w:pPr>
        <w:pStyle w:val="1"/>
        <w:jc w:val="both"/>
      </w:pPr>
      <w:r>
        <w:rPr>
          <w:sz w:val="20"/>
        </w:rPr>
        <w:t xml:space="preserve">муниципального бюджета; субсидии из федерального бюджета бюджетам субъектов</w:t>
      </w:r>
    </w:p>
    <w:p>
      <w:pPr>
        <w:pStyle w:val="1"/>
        <w:jc w:val="both"/>
      </w:pPr>
      <w:r>
        <w:rPr>
          <w:sz w:val="20"/>
        </w:rPr>
        <w:t xml:space="preserve">Российской  Федерации  на  поддержку государственных программ (подпрограмм)</w:t>
      </w:r>
    </w:p>
    <w:p>
      <w:pPr>
        <w:pStyle w:val="1"/>
        <w:jc w:val="both"/>
      </w:pPr>
      <w:r>
        <w:rPr>
          <w:sz w:val="20"/>
        </w:rPr>
        <w:t xml:space="preserve">субъектов  Российской  Федерации  и муниципальных программ (подпрограмм), в</w:t>
      </w:r>
    </w:p>
    <w:p>
      <w:pPr>
        <w:pStyle w:val="1"/>
        <w:jc w:val="both"/>
      </w:pPr>
      <w:r>
        <w:rPr>
          <w:sz w:val="20"/>
        </w:rPr>
        <w:t xml:space="preserve">том    числе    формирования    современной   городской   среды;   средства</w:t>
      </w:r>
    </w:p>
    <w:p>
      <w:pPr>
        <w:pStyle w:val="1"/>
        <w:jc w:val="both"/>
      </w:pPr>
      <w:r>
        <w:rPr>
          <w:sz w:val="20"/>
        </w:rPr>
        <w:t xml:space="preserve">государственной   поддержки  из  федерального  бюджета  бюджетам  субъектов</w:t>
      </w:r>
    </w:p>
    <w:p>
      <w:pPr>
        <w:pStyle w:val="1"/>
        <w:jc w:val="both"/>
      </w:pPr>
      <w:r>
        <w:rPr>
          <w:sz w:val="20"/>
        </w:rPr>
        <w:t xml:space="preserve">Российской  Федерации для поощрения муниципальных образований - победителей</w:t>
      </w:r>
    </w:p>
    <w:p>
      <w:pPr>
        <w:pStyle w:val="1"/>
        <w:jc w:val="both"/>
      </w:pPr>
      <w:r>
        <w:rPr>
          <w:sz w:val="20"/>
        </w:rPr>
        <w:t xml:space="preserve">Всероссийского  конкурса  лучших  проектов  создания  комфортной  городской</w:t>
      </w:r>
    </w:p>
    <w:p>
      <w:pPr>
        <w:pStyle w:val="1"/>
        <w:jc w:val="both"/>
      </w:pPr>
      <w:r>
        <w:rPr>
          <w:sz w:val="20"/>
        </w:rPr>
        <w:t xml:space="preserve">среды, средства внебюджетных источников, иные источники финансирования):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5726"/>
        <w:gridCol w:w="2948"/>
      </w:tblGrid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5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финансирования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Сумма, тыс. рублей</w:t>
            </w:r>
          </w:p>
        </w:tc>
      </w:tr>
      <w:tr>
        <w:tc>
          <w:tcPr>
            <w:gridSpan w:val="2"/>
            <w:tcW w:w="6123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Бюджетные источники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6123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гранты благотворительных организаций и/или средства общественных организаций, частные пожертвования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фондов местного сообщества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граждан (средства самообложения граждан)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72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частные инвестиции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612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жителей как исполнителей работ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tcW w:w="397" w:type="dxa"/>
            <w:tcBorders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26" w:type="dxa"/>
            <w:tcBorders>
              <w:right w:val="single" w:sz="4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2948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4.2. Информация, используемая для реализации практики: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175"/>
        <w:gridCol w:w="2494"/>
        <w:gridCol w:w="3061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 информации, используемой для реализации практики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информации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Обоснование необходимости использования информации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5. Результаты практики (достижения) в измеримых величинах: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5102"/>
        <w:gridCol w:w="3572"/>
      </w:tblGrid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Показатель, единица измерения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   Положительные   изменения,   наступившие  в  результате  внедрения</w:t>
      </w:r>
    </w:p>
    <w:p>
      <w:pPr>
        <w:pStyle w:val="1"/>
        <w:jc w:val="both"/>
      </w:pPr>
      <w:r>
        <w:rPr>
          <w:sz w:val="20"/>
        </w:rPr>
        <w:t xml:space="preserve">практики.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6.1.  Краткое  описание  экономических  и/или  социальных положительных</w:t>
      </w:r>
    </w:p>
    <w:p>
      <w:pPr>
        <w:pStyle w:val="1"/>
        <w:jc w:val="both"/>
      </w:pPr>
      <w:r>
        <w:rPr>
          <w:sz w:val="20"/>
        </w:rPr>
        <w:t xml:space="preserve">результатов, наступивших от реализации практики: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6.2.  Выгодополучатели: муниципальное образование, представители малого</w:t>
      </w:r>
    </w:p>
    <w:p>
      <w:pPr>
        <w:pStyle w:val="1"/>
        <w:jc w:val="both"/>
      </w:pPr>
      <w:r>
        <w:rPr>
          <w:sz w:val="20"/>
        </w:rPr>
        <w:t xml:space="preserve">и среднего предпринимательства, жители муниципального образования: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3061"/>
        <w:gridCol w:w="5613"/>
      </w:tblGrid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Выгодополучатель/группа выгодополучателей</w:t>
            </w:r>
          </w:p>
        </w:tc>
        <w:tc>
          <w:tcPr>
            <w:tcW w:w="56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 положительных результатов по итогам применения практики</w:t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7. Участники проекта внедрения практики: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3061"/>
        <w:gridCol w:w="5613"/>
      </w:tblGrid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</w:t>
            </w:r>
          </w:p>
        </w:tc>
        <w:tc>
          <w:tcPr>
            <w:tcW w:w="56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а) описание его роли в реализации практики;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б) наименование, ИНН/ОГРН, место нахождения и адрес юридического лица, официальный сайт юридического лица (для физических лиц - фамилия, имя, отчество (последнее - при наличии), место регистрации);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в) наименование и реквизиты документа, подтверждающего право собственности и другие вещные права на результаты внедрения практики</w:t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7.1. Участники финансирования практики: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3061"/>
        <w:gridCol w:w="5613"/>
      </w:tblGrid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Участник</w:t>
            </w:r>
          </w:p>
        </w:tc>
        <w:tc>
          <w:tcPr>
            <w:tcW w:w="56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а) описание его роли в реализации практики;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б) наименование, ИНН/ОГРН, место нахождения и адрес юридического лица, официальный сайт юридического лица (для физических лиц - фамилия, имя, отчество (последнее - при наличии), место регистрации)</w:t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8. Действия  по реализации практики (перечень выполненных мероприятий):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8.1. в целях реализации практики: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3061"/>
        <w:gridCol w:w="5613"/>
      </w:tblGrid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 мероприятия</w:t>
            </w:r>
          </w:p>
        </w:tc>
        <w:tc>
          <w:tcPr>
            <w:tcW w:w="56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8.2. в целях дальнейшего развития практики: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3061"/>
        <w:gridCol w:w="5613"/>
      </w:tblGrid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 мероприятия</w:t>
            </w:r>
          </w:p>
        </w:tc>
        <w:tc>
          <w:tcPr>
            <w:tcW w:w="56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Исполнитель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8.3.  в  целях  синхронизации  мероприятий  практики  с  мероприятиями,</w:t>
      </w:r>
    </w:p>
    <w:p>
      <w:pPr>
        <w:pStyle w:val="1"/>
        <w:jc w:val="both"/>
      </w:pPr>
      <w:r>
        <w:rPr>
          <w:sz w:val="20"/>
        </w:rPr>
        <w:t xml:space="preserve">реализуемыми    на   территории   муниципального   образования   в   рамках</w:t>
      </w:r>
    </w:p>
    <w:p>
      <w:pPr>
        <w:pStyle w:val="1"/>
        <w:jc w:val="both"/>
      </w:pPr>
      <w:r>
        <w:rPr>
          <w:sz w:val="20"/>
        </w:rPr>
        <w:t xml:space="preserve">национальных,    федеральных    проектов    (программ),    государственных,</w:t>
      </w:r>
    </w:p>
    <w:p>
      <w:pPr>
        <w:pStyle w:val="1"/>
        <w:jc w:val="both"/>
      </w:pPr>
      <w:r>
        <w:rPr>
          <w:sz w:val="20"/>
        </w:rPr>
        <w:t xml:space="preserve">муниципальных проектов (программ):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6520"/>
        <w:gridCol w:w="2154"/>
      </w:tblGrid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6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национальных, федеральных проектов (программ), государственных, муниципальных проектов (программ)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 мероприятия</w:t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bookmarkStart w:id="445" w:name="P445"/>
    <w:bookmarkEnd w:id="445"/>
    <w:p>
      <w:pPr>
        <w:pStyle w:val="1"/>
        <w:jc w:val="both"/>
      </w:pPr>
      <w:r>
        <w:rPr>
          <w:sz w:val="20"/>
        </w:rPr>
        <w:t xml:space="preserve">    9. Затраты на реализацию практики: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3061"/>
        <w:gridCol w:w="5613"/>
      </w:tblGrid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Статья затрат</w:t>
            </w:r>
          </w:p>
        </w:tc>
        <w:tc>
          <w:tcPr>
            <w:tcW w:w="56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затрат, тыс. рублей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10.   Планируемые   мероприятия,   направленные   на  совершенствование</w:t>
      </w:r>
    </w:p>
    <w:p>
      <w:pPr>
        <w:pStyle w:val="1"/>
        <w:jc w:val="both"/>
      </w:pPr>
      <w:r>
        <w:rPr>
          <w:sz w:val="20"/>
        </w:rPr>
        <w:t xml:space="preserve">реализованной  практики,  в  том  числе  информация  о  повторном внедрении</w:t>
      </w:r>
    </w:p>
    <w:p>
      <w:pPr>
        <w:pStyle w:val="1"/>
        <w:jc w:val="both"/>
      </w:pPr>
      <w:r>
        <w:rPr>
          <w:sz w:val="20"/>
        </w:rPr>
        <w:t xml:space="preserve">практики на территории других муниципальных образований: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175"/>
        <w:gridCol w:w="2494"/>
        <w:gridCol w:w="3061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1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планируемого мероприятия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проведения мероприятия</w:t>
            </w:r>
          </w:p>
        </w:tc>
        <w:tc>
          <w:tcPr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Планируемый объем затрат, тыс. рублей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1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11.  Список  контактов  лиц,  ответственных  за  реализацию  практики в</w:t>
      </w:r>
    </w:p>
    <w:p>
      <w:pPr>
        <w:pStyle w:val="1"/>
        <w:jc w:val="both"/>
      </w:pPr>
      <w:r>
        <w:rPr>
          <w:sz w:val="20"/>
        </w:rPr>
        <w:t xml:space="preserve">муниципальном образовании: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3855"/>
        <w:gridCol w:w="4819"/>
      </w:tblGrid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лица (фамилия, имя, отчество (последнее - при наличии), должность)</w:t>
            </w:r>
          </w:p>
        </w:tc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Телефон, электронная почта</w:t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12.  Видеоматериалы  (качество видеоматериалов: 1920 на 1080 точек - 25</w:t>
      </w:r>
    </w:p>
    <w:p>
      <w:pPr>
        <w:pStyle w:val="1"/>
        <w:jc w:val="both"/>
      </w:pPr>
      <w:r>
        <w:rPr>
          <w:sz w:val="20"/>
        </w:rPr>
        <w:t xml:space="preserve">кадров (FULL HD), без надписей и логотипов, хронометраж (не более 2 минут),</w:t>
      </w:r>
    </w:p>
    <w:p>
      <w:pPr>
        <w:pStyle w:val="1"/>
        <w:jc w:val="both"/>
      </w:pPr>
      <w:r>
        <w:rPr>
          <w:sz w:val="20"/>
        </w:rPr>
        <w:t xml:space="preserve">в  формате  mp4: должны содержать представление практики, как она работает,</w:t>
      </w:r>
    </w:p>
    <w:p>
      <w:pPr>
        <w:pStyle w:val="1"/>
        <w:jc w:val="both"/>
      </w:pPr>
      <w:r>
        <w:rPr>
          <w:sz w:val="20"/>
        </w:rPr>
        <w:t xml:space="preserve">как  взаимодействуют  все заинтересованные стороны, пользователи; материалы</w:t>
      </w:r>
    </w:p>
    <w:p>
      <w:pPr>
        <w:pStyle w:val="1"/>
        <w:jc w:val="both"/>
      </w:pPr>
      <w:r>
        <w:rPr>
          <w:sz w:val="20"/>
        </w:rPr>
        <w:t xml:space="preserve">предоставляются на флэш-носителе).</w:t>
      </w:r>
    </w:p>
    <w:p>
      <w:pPr>
        <w:pStyle w:val="1"/>
        <w:jc w:val="both"/>
      </w:pPr>
      <w:r>
        <w:rPr>
          <w:sz w:val="20"/>
        </w:rPr>
        <w:t xml:space="preserve">    13.  Фотоматериалы  (качество  фотоматериалов  не менее: jpg, 300 x 300</w:t>
      </w:r>
    </w:p>
    <w:p>
      <w:pPr>
        <w:pStyle w:val="1"/>
        <w:jc w:val="both"/>
      </w:pPr>
      <w:r>
        <w:rPr>
          <w:sz w:val="20"/>
        </w:rPr>
        <w:t xml:space="preserve">dpi,  цветные, без надписей и логотипов, должны содержать полное визуальное</w:t>
      </w:r>
    </w:p>
    <w:p>
      <w:pPr>
        <w:pStyle w:val="1"/>
        <w:jc w:val="both"/>
      </w:pPr>
      <w:r>
        <w:rPr>
          <w:sz w:val="20"/>
        </w:rPr>
        <w:t xml:space="preserve">представление  о  практике,  в  том  числе,  как с решением взаимодействуют</w:t>
      </w:r>
    </w:p>
    <w:p>
      <w:pPr>
        <w:pStyle w:val="1"/>
        <w:jc w:val="both"/>
      </w:pPr>
      <w:r>
        <w:rPr>
          <w:sz w:val="20"/>
        </w:rPr>
        <w:t xml:space="preserve">пользователи; материалы предоставляются на флэш-носителе).</w:t>
      </w:r>
    </w:p>
    <w:p>
      <w:pPr>
        <w:pStyle w:val="1"/>
        <w:jc w:val="both"/>
      </w:pPr>
      <w:r>
        <w:rPr>
          <w:sz w:val="20"/>
        </w:rPr>
        <w:t xml:space="preserve">    14.  Иные  презентационные  материалы  по  выбору участников конкурса -</w:t>
      </w:r>
    </w:p>
    <w:p>
      <w:pPr>
        <w:pStyle w:val="1"/>
        <w:jc w:val="both"/>
      </w:pPr>
      <w:r>
        <w:rPr>
          <w:sz w:val="20"/>
        </w:rPr>
        <w:t xml:space="preserve">иллюстрации, буклеты, фотоальбомы, брошюры, макеты, схемы, расчеты, отзывы,</w:t>
      </w:r>
    </w:p>
    <w:p>
      <w:pPr>
        <w:pStyle w:val="1"/>
        <w:jc w:val="both"/>
      </w:pPr>
      <w:r>
        <w:rPr>
          <w:sz w:val="20"/>
        </w:rPr>
        <w:t xml:space="preserve">документы,  подтверждающие  положительные результаты, достигнутые по итогам</w:t>
      </w:r>
    </w:p>
    <w:p>
      <w:pPr>
        <w:pStyle w:val="1"/>
        <w:jc w:val="both"/>
      </w:pPr>
      <w:r>
        <w:rPr>
          <w:sz w:val="20"/>
        </w:rPr>
        <w:t xml:space="preserve">внедрения  практики,  и  т.д. Размер печатных презентационных материалов не</w:t>
      </w:r>
    </w:p>
    <w:p>
      <w:pPr>
        <w:pStyle w:val="1"/>
        <w:jc w:val="both"/>
      </w:pPr>
      <w:r>
        <w:rPr>
          <w:sz w:val="20"/>
        </w:rPr>
        <w:t xml:space="preserve">должен превышать 40 x 40 см. Презентационные материалы должны быть заверены</w:t>
      </w:r>
    </w:p>
    <w:p>
      <w:pPr>
        <w:pStyle w:val="1"/>
        <w:jc w:val="both"/>
      </w:pPr>
      <w:r>
        <w:rPr>
          <w:sz w:val="20"/>
        </w:rPr>
        <w:t xml:space="preserve">главой  муниципального образования либо лицом, исполняющим его обязанности.</w:t>
      </w:r>
    </w:p>
    <w:p>
      <w:pPr>
        <w:pStyle w:val="1"/>
        <w:jc w:val="both"/>
      </w:pPr>
      <w:r>
        <w:rPr>
          <w:sz w:val="20"/>
        </w:rPr>
        <w:t xml:space="preserve">Предоставляются на флэш-носителе.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0"/>
        <w:gridCol w:w="5159"/>
        <w:gridCol w:w="3274"/>
      </w:tblGrid>
      <w:tr>
        <w:tc>
          <w:tcPr>
            <w:tcW w:w="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презентационного материала</w:t>
            </w:r>
          </w:p>
        </w:tc>
        <w:tc>
          <w:tcPr>
            <w:tcW w:w="32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носителя, количество экземпляров</w:t>
            </w:r>
          </w:p>
        </w:tc>
      </w:tr>
      <w:tr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00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  условиями  проведения  Конкурса и </w:t>
      </w:r>
      <w:hyperlink w:history="0" w:anchor="P565" w:tooltip="МЕТОДИКА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оценки конкурсной заявки</w:t>
      </w:r>
    </w:p>
    <w:p>
      <w:pPr>
        <w:pStyle w:val="1"/>
        <w:jc w:val="both"/>
      </w:pPr>
      <w:r>
        <w:rPr>
          <w:sz w:val="20"/>
        </w:rPr>
        <w:t xml:space="preserve">ознакомлен и согласен.</w:t>
      </w:r>
    </w:p>
    <w:p>
      <w:pPr>
        <w:pStyle w:val="1"/>
        <w:jc w:val="both"/>
      </w:pPr>
      <w:r>
        <w:rPr>
          <w:sz w:val="20"/>
        </w:rPr>
        <w:t xml:space="preserve">    Достоверность  представленной  в  составе  конкурсной заявки информации</w:t>
      </w:r>
    </w:p>
    <w:p>
      <w:pPr>
        <w:pStyle w:val="1"/>
        <w:jc w:val="both"/>
      </w:pPr>
      <w:r>
        <w:rPr>
          <w:sz w:val="20"/>
        </w:rPr>
        <w:t xml:space="preserve">подтверждаю.</w:t>
      </w:r>
    </w:p>
    <w:p>
      <w:pPr>
        <w:pStyle w:val="1"/>
        <w:jc w:val="both"/>
      </w:pPr>
      <w:r>
        <w:rPr>
          <w:sz w:val="20"/>
        </w:rPr>
        <w:t xml:space="preserve">    С   размещением   презентационных   материалов   на  официальном  сайте</w:t>
      </w:r>
    </w:p>
    <w:p>
      <w:pPr>
        <w:pStyle w:val="1"/>
        <w:jc w:val="both"/>
      </w:pPr>
      <w:r>
        <w:rPr>
          <w:sz w:val="20"/>
        </w:rPr>
        <w:t xml:space="preserve">Министерства  строительства  и  жилищно-коммунального  хозяйства Российской</w:t>
      </w:r>
    </w:p>
    <w:p>
      <w:pPr>
        <w:pStyle w:val="1"/>
        <w:jc w:val="both"/>
      </w:pPr>
      <w:r>
        <w:rPr>
          <w:sz w:val="20"/>
        </w:rPr>
        <w:t xml:space="preserve">Федерации согласен.</w:t>
      </w:r>
    </w:p>
    <w:p>
      <w:pPr>
        <w:pStyle w:val="1"/>
        <w:jc w:val="both"/>
      </w:pPr>
      <w:r>
        <w:rPr>
          <w:sz w:val="20"/>
        </w:rPr>
        <w:t xml:space="preserve">    По вопросам участия прошу взаимодействовать с лицами, ответственными за</w:t>
      </w:r>
    </w:p>
    <w:p>
      <w:pPr>
        <w:pStyle w:val="1"/>
        <w:jc w:val="both"/>
      </w:pPr>
      <w:r>
        <w:rPr>
          <w:sz w:val="20"/>
        </w:rPr>
        <w:t xml:space="preserve">представление муниципального образования на Конкурсе: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(последнее - при наличии), должность</w:t>
      </w:r>
    </w:p>
    <w:p>
      <w:pPr>
        <w:pStyle w:val="1"/>
        <w:jc w:val="both"/>
      </w:pPr>
      <w:r>
        <w:rPr>
          <w:sz w:val="20"/>
        </w:rPr>
        <w:t xml:space="preserve">   уполномоченного лица, наименование органа, контактный телефон, адрес</w:t>
      </w:r>
    </w:p>
    <w:p>
      <w:pPr>
        <w:pStyle w:val="1"/>
        <w:jc w:val="both"/>
      </w:pPr>
      <w:r>
        <w:rPr>
          <w:sz w:val="20"/>
        </w:rPr>
        <w:t xml:space="preserve">                            электронной почты)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Глава муниципального образования: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(последнее - при наличии)</w:t>
      </w:r>
    </w:p>
    <w:p>
      <w:pPr>
        <w:pStyle w:val="1"/>
        <w:jc w:val="both"/>
      </w:pPr>
      <w:r>
        <w:rPr>
          <w:sz w:val="20"/>
        </w:rPr>
        <w:t xml:space="preserve">________________  __________________/__________________________________/</w:t>
      </w:r>
    </w:p>
    <w:p>
      <w:pPr>
        <w:pStyle w:val="1"/>
        <w:jc w:val="both"/>
      </w:pPr>
      <w:r>
        <w:rPr>
          <w:sz w:val="20"/>
        </w:rPr>
        <w:t xml:space="preserve">     (дата)          (подпись)      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МП</w:t>
      </w:r>
    </w:p>
    <w:p>
      <w:pPr>
        <w:pStyle w:val="1"/>
        <w:jc w:val="both"/>
      </w:pPr>
      <w:r>
        <w:rPr>
          <w:sz w:val="20"/>
        </w:rPr>
        <w:t xml:space="preserve">(при наличии)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52" w:name="P552"/>
    <w:bookmarkEnd w:id="5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Житель - физическое лицо, зарегистрированное по месту жительства в муниципальном образовании.</w:t>
      </w:r>
    </w:p>
    <w:bookmarkStart w:id="553" w:name="P553"/>
    <w:bookmarkEnd w:id="5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Ед. - количество мероприятий в области модернизации городского хозяйства, реализованных посредством внедрения цифровых технологий и платформенных решений "умный город".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09.07.2020 г. N 368/пр</w:t>
      </w:r>
    </w:p>
    <w:p>
      <w:pPr>
        <w:pStyle w:val="0"/>
        <w:jc w:val="both"/>
      </w:pPr>
      <w:r>
        <w:rPr>
          <w:sz w:val="20"/>
        </w:rPr>
      </w:r>
    </w:p>
    <w:bookmarkStart w:id="565" w:name="P565"/>
    <w:bookmarkEnd w:id="565"/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ОЦЕНКИ КОНКУРСНЫХ ЗАЯВОК МУНИЦИПАЛЬНЫХ ОБРАЗОВАНИЙ,</w:t>
      </w:r>
    </w:p>
    <w:p>
      <w:pPr>
        <w:pStyle w:val="2"/>
        <w:jc w:val="center"/>
      </w:pPr>
      <w:r>
        <w:rPr>
          <w:sz w:val="20"/>
        </w:rPr>
        <w:t xml:space="preserve">ПРЕДСТАВЛЯЕМЫХ ДЛЯ УЧАСТИЯ В НОМИНАЦИИ "МОДЕРНИЗАЦИЯ</w:t>
      </w:r>
    </w:p>
    <w:p>
      <w:pPr>
        <w:pStyle w:val="2"/>
        <w:jc w:val="center"/>
      </w:pPr>
      <w:r>
        <w:rPr>
          <w:sz w:val="20"/>
        </w:rPr>
        <w:t xml:space="preserve">ГОРОДСКОГО ХОЗЯЙСТВА ПОСРЕДСТВОМ ВНЕДРЕНИЯ ЦИФРОВЫХ</w:t>
      </w:r>
    </w:p>
    <w:p>
      <w:pPr>
        <w:pStyle w:val="2"/>
        <w:jc w:val="center"/>
      </w:pPr>
      <w:r>
        <w:rPr>
          <w:sz w:val="20"/>
        </w:rPr>
        <w:t xml:space="preserve">ТЕХНОЛОГИЙ И ПЛАТФОРМЕННЫХ РЕШЕНИЙ ("УМНЫЙ ГОРОД")"</w:t>
      </w:r>
    </w:p>
    <w:p>
      <w:pPr>
        <w:pStyle w:val="2"/>
        <w:jc w:val="center"/>
      </w:pPr>
      <w:r>
        <w:rPr>
          <w:sz w:val="20"/>
        </w:rPr>
        <w:t xml:space="preserve">ВСЕРОССИЙСКОГО КОНКУРСА "ЛУЧШАЯ МУНИЦИПАЛЬНАЯ ПРАКТИКА"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Настоящей Методикой определяется порядок оценки конкурсных заявок муниципальных образований, представляемых для участия в номинации "Модернизация городского хозяйства посредством внедрения цифровых технологий и платформенных решений ("умный город")" Всероссийского конкурса "Лучшая муниципальная практика" (далее - конкурсная заявка).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Оценка конкурсных заявок осуществляется подкомиссией федеральной конкурсной комиссии по организации и проведению Всероссийского конкурса "Лучшая муниципальная практика" (далее - конкурс) по номинации "Модернизация городского хозяйства посредством внедрения цифровых технологий и платформенных решений ("умный город")" (далее - Подкомиссия).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Подкомиссия оценивает конкурсные заявки путем присвоения баллов по </w:t>
      </w:r>
      <w:hyperlink w:history="0" w:anchor="P230" w:tooltip="    3. Предпосылки реализации.">
        <w:r>
          <w:rPr>
            <w:sz w:val="20"/>
            <w:color w:val="0000ff"/>
          </w:rPr>
          <w:t xml:space="preserve">пунктам 3</w:t>
        </w:r>
      </w:hyperlink>
      <w:r>
        <w:rPr>
          <w:sz w:val="20"/>
        </w:rPr>
        <w:t xml:space="preserve"> - </w:t>
      </w:r>
      <w:hyperlink w:history="0" w:anchor="P445" w:tooltip="    9. Затраты на реализацию практики:">
        <w:r>
          <w:rPr>
            <w:sz w:val="20"/>
            <w:color w:val="0000ff"/>
          </w:rPr>
          <w:t xml:space="preserve">9 раздела II</w:t>
        </w:r>
      </w:hyperlink>
      <w:r>
        <w:rPr>
          <w:sz w:val="20"/>
        </w:rPr>
        <w:t xml:space="preserve"> конкурсной заявки на основании показателей, предусмотренных </w:t>
      </w:r>
      <w:hyperlink w:history="0" w:anchor="P608" w:tooltip="КРИТЕРИИ">
        <w:r>
          <w:rPr>
            <w:sz w:val="20"/>
            <w:color w:val="0000ff"/>
          </w:rPr>
          <w:t xml:space="preserve">Приложением</w:t>
        </w:r>
      </w:hyperlink>
      <w:r>
        <w:rPr>
          <w:sz w:val="20"/>
        </w:rPr>
        <w:t xml:space="preserve"> к настоящей Методике (далее - 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Показатели определяются с учетом следующего:</w:t>
      </w:r>
    </w:p>
    <w:bookmarkStart w:id="576" w:name="P576"/>
    <w:bookmarkEnd w:id="5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показателям, предусмотренным </w:t>
      </w:r>
      <w:hyperlink w:history="0" w:anchor="P624" w:tooltip="1.1.1. Практика обеспечила решение задачи или задач развития муниципального образования, определенных планом развития муниципального образования (концепция, стратегия, генеральный план)">
        <w:r>
          <w:rPr>
            <w:sz w:val="20"/>
            <w:color w:val="0000ff"/>
          </w:rPr>
          <w:t xml:space="preserve">пунктами 1.1.1</w:t>
        </w:r>
      </w:hyperlink>
      <w:r>
        <w:rPr>
          <w:sz w:val="20"/>
        </w:rPr>
        <w:t xml:space="preserve"> - </w:t>
      </w:r>
      <w:hyperlink w:history="0" w:anchor="P628" w:tooltip="1.1.3. Практика реализована в целях общего повышения качества жизни на территории муниципального образования">
        <w:r>
          <w:rPr>
            <w:sz w:val="20"/>
            <w:color w:val="0000ff"/>
          </w:rPr>
          <w:t xml:space="preserve">1.1.3</w:t>
        </w:r>
      </w:hyperlink>
      <w:r>
        <w:rPr>
          <w:sz w:val="20"/>
        </w:rPr>
        <w:t xml:space="preserve">, </w:t>
      </w:r>
      <w:hyperlink w:history="0" w:anchor="P636" w:tooltip="1.3.1. Увеличение индекса IQ в муниципальном образовании">
        <w:r>
          <w:rPr>
            <w:sz w:val="20"/>
            <w:color w:val="0000ff"/>
          </w:rPr>
          <w:t xml:space="preserve">1.3.1</w:t>
        </w:r>
      </w:hyperlink>
      <w:r>
        <w:rPr>
          <w:sz w:val="20"/>
        </w:rPr>
        <w:t xml:space="preserve">, </w:t>
      </w:r>
      <w:hyperlink w:history="0" w:anchor="P686" w:tooltip="3.1.7. Реализация практики способствует увеличению числа жителей муниципального образования">
        <w:r>
          <w:rPr>
            <w:sz w:val="20"/>
            <w:color w:val="0000ff"/>
          </w:rPr>
          <w:t xml:space="preserve">3.1.7</w:t>
        </w:r>
      </w:hyperlink>
      <w:r>
        <w:rPr>
          <w:sz w:val="20"/>
        </w:rPr>
        <w:t xml:space="preserve">, </w:t>
      </w:r>
      <w:hyperlink w:history="0" w:anchor="P688" w:tooltip="3.1.8. Практика реализована с привлечением жителей как исполнителей работ">
        <w:r>
          <w:rPr>
            <w:sz w:val="20"/>
            <w:color w:val="0000ff"/>
          </w:rPr>
          <w:t xml:space="preserve">3.1.8</w:t>
        </w:r>
      </w:hyperlink>
      <w:r>
        <w:rPr>
          <w:sz w:val="20"/>
        </w:rPr>
        <w:t xml:space="preserve">, </w:t>
      </w:r>
      <w:hyperlink w:history="0" w:anchor="P724" w:tooltip="3.2.1. Реализация практики способствует экономии средств бюджета муниципального образования">
        <w:r>
          <w:rPr>
            <w:sz w:val="20"/>
            <w:color w:val="0000ff"/>
          </w:rPr>
          <w:t xml:space="preserve">3.2.1</w:t>
        </w:r>
      </w:hyperlink>
      <w:r>
        <w:rPr>
          <w:sz w:val="20"/>
        </w:rPr>
        <w:t xml:space="preserve"> - </w:t>
      </w:r>
      <w:hyperlink w:history="0" w:anchor="P734" w:tooltip="3.2.6. В смете практики отсутствуют расходы на приобретение товаров, работ, услуг, не связанных с реализацией практики">
        <w:r>
          <w:rPr>
            <w:sz w:val="20"/>
            <w:color w:val="0000ff"/>
          </w:rPr>
          <w:t xml:space="preserve">3.2.6</w:t>
        </w:r>
      </w:hyperlink>
      <w:r>
        <w:rPr>
          <w:sz w:val="20"/>
        </w:rPr>
        <w:t xml:space="preserve">, </w:t>
      </w:r>
      <w:hyperlink w:history="0" w:anchor="P747" w:tooltip="4.1.1. Прямым получателем положительных результатов от реализации практики является муниципальное образование в лице органа местного самоуправления, осуществляющего управление муниципальным хозяйством">
        <w:r>
          <w:rPr>
            <w:sz w:val="20"/>
            <w:color w:val="0000ff"/>
          </w:rPr>
          <w:t xml:space="preserve">4.1.1</w:t>
        </w:r>
      </w:hyperlink>
      <w:r>
        <w:rPr>
          <w:sz w:val="20"/>
        </w:rPr>
        <w:t xml:space="preserve"> - </w:t>
      </w:r>
      <w:hyperlink w:history="0" w:anchor="P753" w:tooltip="4.1.4. Прямыми получателями положительных результатов являются все жители муниципального образования">
        <w:r>
          <w:rPr>
            <w:sz w:val="20"/>
            <w:color w:val="0000ff"/>
          </w:rPr>
          <w:t xml:space="preserve">4.1.4</w:t>
        </w:r>
      </w:hyperlink>
      <w:r>
        <w:rPr>
          <w:sz w:val="20"/>
        </w:rPr>
        <w:t xml:space="preserve">, </w:t>
      </w:r>
      <w:hyperlink w:history="0" w:anchor="P763" w:tooltip="5.2.1. Презентационные материалы отличаются наглядностью и высоким качеством">
        <w:r>
          <w:rPr>
            <w:sz w:val="20"/>
            <w:color w:val="0000ff"/>
          </w:rPr>
          <w:t xml:space="preserve">5.2.1</w:t>
        </w:r>
      </w:hyperlink>
      <w:r>
        <w:rPr>
          <w:sz w:val="20"/>
        </w:rPr>
        <w:t xml:space="preserve"> - </w:t>
      </w:r>
      <w:hyperlink w:history="0" w:anchor="P767" w:tooltip="5.2.3. Представлен перечень мероприятий, планируемых в целях дальнейшего развития практики">
        <w:r>
          <w:rPr>
            <w:sz w:val="20"/>
            <w:color w:val="0000ff"/>
          </w:rPr>
          <w:t xml:space="preserve">5.2.3</w:t>
        </w:r>
      </w:hyperlink>
      <w:r>
        <w:rPr>
          <w:sz w:val="20"/>
        </w:rPr>
        <w:t xml:space="preserve"> Приложения, членами Подкомиссии присваиваются баллы в диапазоне, указанном в </w:t>
      </w:r>
      <w:hyperlink w:history="0" w:anchor="P608" w:tooltip="КРИТЕРИИ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, в зависимости от того в какой степени, по мнению члена Подкомиссии, данный показатель применим к оцениваемой практике;</w:t>
      </w:r>
    </w:p>
    <w:bookmarkStart w:id="577" w:name="P577"/>
    <w:bookmarkEnd w:id="5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показателям, предусмотренным </w:t>
      </w:r>
      <w:hyperlink w:history="0" w:anchor="P738" w:tooltip="3.3.1. Практика реализована с использованием грантов благотворительных организаций и/или средств общественных организаций, частных пожертвований">
        <w:r>
          <w:rPr>
            <w:sz w:val="20"/>
            <w:color w:val="0000ff"/>
          </w:rPr>
          <w:t xml:space="preserve">пунктами 3.3.1</w:t>
        </w:r>
      </w:hyperlink>
      <w:r>
        <w:rPr>
          <w:sz w:val="20"/>
        </w:rPr>
        <w:t xml:space="preserve"> - </w:t>
      </w:r>
      <w:hyperlink w:history="0" w:anchor="P742" w:tooltip="3.3.4. Практика реализована с привлечением частных инвестиций">
        <w:r>
          <w:rPr>
            <w:sz w:val="20"/>
            <w:color w:val="0000ff"/>
          </w:rPr>
          <w:t xml:space="preserve">3.3.4</w:t>
        </w:r>
      </w:hyperlink>
      <w:r>
        <w:rPr>
          <w:sz w:val="20"/>
        </w:rPr>
        <w:t xml:space="preserve"> Приложения, присваиваются баллы в соответствии с долей внебюджетных средств в общей стоимости практики. Показатели оцениваются по шкале от 1 до 10 баллов, где 1 шаг (1 балл) соответствует 10% суммы внебюджетных средств. 1 балл означает минимальное значение (10%), 10 баллов - максимальное значение (100%);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показателям, предусмотренным </w:t>
      </w:r>
      <w:hyperlink w:history="0" w:anchor="P640" w:tooltip="1.4.1. Реализованная практика решает проблему вовлечения жителей в процессы принятия решений в области развития муниципальных образований">
        <w:r>
          <w:rPr>
            <w:sz w:val="20"/>
            <w:color w:val="0000ff"/>
          </w:rPr>
          <w:t xml:space="preserve">пунктами 1.4.1</w:t>
        </w:r>
      </w:hyperlink>
      <w:r>
        <w:rPr>
          <w:sz w:val="20"/>
        </w:rPr>
        <w:t xml:space="preserve">, </w:t>
      </w:r>
      <w:hyperlink w:history="0" w:anchor="P642" w:tooltip="1.4.2. Реализованная практика способствует решению проблем маломобильных групп населения">
        <w:r>
          <w:rPr>
            <w:sz w:val="20"/>
            <w:color w:val="0000ff"/>
          </w:rPr>
          <w:t xml:space="preserve">1.4.2</w:t>
        </w:r>
      </w:hyperlink>
      <w:r>
        <w:rPr>
          <w:sz w:val="20"/>
        </w:rPr>
        <w:t xml:space="preserve">, </w:t>
      </w:r>
      <w:hyperlink w:history="0" w:anchor="P646" w:tooltip="1.4.4. Практика способствует улучшению экологической ситуации на территории муниципального образования">
        <w:r>
          <w:rPr>
            <w:sz w:val="20"/>
            <w:color w:val="0000ff"/>
          </w:rPr>
          <w:t xml:space="preserve">1.4.4</w:t>
        </w:r>
      </w:hyperlink>
      <w:r>
        <w:rPr>
          <w:sz w:val="20"/>
        </w:rPr>
        <w:t xml:space="preserve">, </w:t>
      </w:r>
      <w:hyperlink w:history="0" w:anchor="P654" w:tooltip="2.1.2. Практика реализована на основе анализа информации, полученной посредством сбора, направления официального запроса и/или из открытых источников">
        <w:r>
          <w:rPr>
            <w:sz w:val="20"/>
            <w:color w:val="0000ff"/>
          </w:rPr>
          <w:t xml:space="preserve">2.1.2</w:t>
        </w:r>
      </w:hyperlink>
      <w:r>
        <w:rPr>
          <w:sz w:val="20"/>
        </w:rPr>
        <w:t xml:space="preserve">, </w:t>
      </w:r>
      <w:hyperlink w:history="0" w:anchor="P662" w:tooltip="2.2.3. Практика является уникальной для муниципального образования, субъекта Российской Федерации и учитывает зарубежный и российский опыт по решению аналогичных проблем">
        <w:r>
          <w:rPr>
            <w:sz w:val="20"/>
            <w:color w:val="0000ff"/>
          </w:rPr>
          <w:t xml:space="preserve">2.2.3</w:t>
        </w:r>
      </w:hyperlink>
      <w:r>
        <w:rPr>
          <w:sz w:val="20"/>
        </w:rPr>
        <w:t xml:space="preserve">, </w:t>
      </w:r>
      <w:hyperlink w:history="0" w:anchor="P664" w:tooltip="2.2.4. Реализация практики способствовала ускорению процессов внедрения цифровых сервисов (системы умных датчиков, базовая IT-инфраструктура и иных технологий)">
        <w:r>
          <w:rPr>
            <w:sz w:val="20"/>
            <w:color w:val="0000ff"/>
          </w:rPr>
          <w:t xml:space="preserve">2.2.4</w:t>
        </w:r>
      </w:hyperlink>
      <w:r>
        <w:rPr>
          <w:sz w:val="20"/>
        </w:rPr>
        <w:t xml:space="preserve">, </w:t>
      </w:r>
      <w:hyperlink w:history="0" w:anchor="P684" w:tooltip="3.1.6. Реализация практики позволила сэкономить время жителей муниципального образования">
        <w:r>
          <w:rPr>
            <w:sz w:val="20"/>
            <w:color w:val="0000ff"/>
          </w:rPr>
          <w:t xml:space="preserve">3.1.6</w:t>
        </w:r>
      </w:hyperlink>
      <w:r>
        <w:rPr>
          <w:sz w:val="20"/>
        </w:rPr>
        <w:t xml:space="preserve">, </w:t>
      </w:r>
      <w:hyperlink w:history="0" w:anchor="P690" w:tooltip="3.1.9. Реализация практики имела результатом улучшение качества жизни и повышение качества управления городом через вовлечение жителей в решение вопросов городского развития">
        <w:r>
          <w:rPr>
            <w:sz w:val="20"/>
            <w:color w:val="0000ff"/>
          </w:rPr>
          <w:t xml:space="preserve">3.1.9</w:t>
        </w:r>
      </w:hyperlink>
      <w:r>
        <w:rPr>
          <w:sz w:val="20"/>
        </w:rPr>
        <w:t xml:space="preserve">, </w:t>
      </w:r>
      <w:hyperlink w:history="0" w:anchor="P696" w:tooltip="3.1.11. Реализация практики повлекла увеличение использования альтернативных видов транспорта, движения пешеходов и сокращение использования личного автомобильного транспорта">
        <w:r>
          <w:rPr>
            <w:sz w:val="20"/>
            <w:color w:val="0000ff"/>
          </w:rPr>
          <w:t xml:space="preserve">3.1.11</w:t>
        </w:r>
      </w:hyperlink>
      <w:r>
        <w:rPr>
          <w:sz w:val="20"/>
        </w:rPr>
        <w:t xml:space="preserve">, </w:t>
      </w:r>
      <w:hyperlink w:history="0" w:anchor="P700" w:tooltip="3.1.13. Реализация практики повлекла сокращение расходов на оплату коммунальных услуг на территории муниципального образования при сохранении качества жизни населения">
        <w:r>
          <w:rPr>
            <w:sz w:val="20"/>
            <w:color w:val="0000ff"/>
          </w:rPr>
          <w:t xml:space="preserve">3.1.13</w:t>
        </w:r>
      </w:hyperlink>
      <w:r>
        <w:rPr>
          <w:sz w:val="20"/>
        </w:rPr>
        <w:t xml:space="preserve"> - </w:t>
      </w:r>
      <w:hyperlink w:history="0" w:anchor="P710" w:tooltip="3.1.17. Реализация практики повысила эффективность городских транспортных систем, повлекла внедрение информационных систем регулирования потока транспортных средств с приоритетом движения общественного и спецтранспорта, пешеходов, управления парковочным пространством">
        <w:r>
          <w:rPr>
            <w:sz w:val="20"/>
            <w:color w:val="0000ff"/>
          </w:rPr>
          <w:t xml:space="preserve">3.1.17</w:t>
        </w:r>
      </w:hyperlink>
      <w:r>
        <w:rPr>
          <w:sz w:val="20"/>
        </w:rPr>
        <w:t xml:space="preserve">, </w:t>
      </w:r>
      <w:hyperlink w:history="0" w:anchor="P718" w:tooltip="3.1.21. Реализация практики способствует увеличению туристической привлекательности города, повышению интереса к культурным мероприятиям">
        <w:r>
          <w:rPr>
            <w:sz w:val="20"/>
            <w:color w:val="0000ff"/>
          </w:rPr>
          <w:t xml:space="preserve">3.1.21</w:t>
        </w:r>
      </w:hyperlink>
      <w:r>
        <w:rPr>
          <w:sz w:val="20"/>
        </w:rPr>
        <w:t xml:space="preserve"> Приложения, в случае положительного ответа присваивается 5 баллов, в случае отрицательного - 0;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показателям, предусмотренным </w:t>
      </w:r>
      <w:hyperlink w:history="0" w:anchor="P632" w:tooltip="1.2.1. В рамках практики реализуются мероприятия одного или нескольких национальных проектов (программ), государственных или муниципальных проектов (программ), иных проектов (программ)">
        <w:r>
          <w:rPr>
            <w:sz w:val="20"/>
            <w:color w:val="0000ff"/>
          </w:rPr>
          <w:t xml:space="preserve">пунктами 1.2.1</w:t>
        </w:r>
      </w:hyperlink>
      <w:r>
        <w:rPr>
          <w:sz w:val="20"/>
        </w:rPr>
        <w:t xml:space="preserve">, </w:t>
      </w:r>
      <w:hyperlink w:history="0" w:anchor="P644" w:tooltip="1.4.3. Реализованная практика способствует увеличению уровня безопасности в муниципальном образовании (снижение количества дорожно-транспортных происшествий, повлекших смерть человека, снижение уровня преступности)">
        <w:r>
          <w:rPr>
            <w:sz w:val="20"/>
            <w:color w:val="0000ff"/>
          </w:rPr>
          <w:t xml:space="preserve">1.4.3</w:t>
        </w:r>
      </w:hyperlink>
      <w:r>
        <w:rPr>
          <w:sz w:val="20"/>
        </w:rPr>
        <w:t xml:space="preserve">, </w:t>
      </w:r>
      <w:hyperlink w:history="0" w:anchor="P652" w:tooltip="2.1.1. Практика реализована с использованием цифровых &quot;сквозных&quot; технологий, определенных в соответствии с постановлением Правительства Российской Федерации от 3 мая 2019 г. N 549 &quot;О государственной поддержке компаний - лидеров по разработке продуктов, сервисов и платформенных решений на базе &quot;сквозных&quot; цифровых технологий&quot;">
        <w:r>
          <w:rPr>
            <w:sz w:val="20"/>
            <w:color w:val="0000ff"/>
          </w:rPr>
          <w:t xml:space="preserve">2.1.1</w:t>
        </w:r>
      </w:hyperlink>
      <w:r>
        <w:rPr>
          <w:sz w:val="20"/>
        </w:rPr>
        <w:t xml:space="preserve">, </w:t>
      </w:r>
      <w:hyperlink w:history="0" w:anchor="P658" w:tooltip="2.2.1. Реализованная практика решает проблему доступности информации, необходимой для принятия управленческих и проектных решений">
        <w:r>
          <w:rPr>
            <w:sz w:val="20"/>
            <w:color w:val="0000ff"/>
          </w:rPr>
          <w:t xml:space="preserve">2.2.1</w:t>
        </w:r>
      </w:hyperlink>
      <w:r>
        <w:rPr>
          <w:sz w:val="20"/>
        </w:rPr>
        <w:t xml:space="preserve">, </w:t>
      </w:r>
      <w:hyperlink w:history="0" w:anchor="P666" w:tooltip="2.2.5. Реализованная практика способствует системному анализу результатов внедренных управленческих или проектных решений посредством визуализации и анализа информации">
        <w:r>
          <w:rPr>
            <w:sz w:val="20"/>
            <w:color w:val="0000ff"/>
          </w:rPr>
          <w:t xml:space="preserve">2.2.5</w:t>
        </w:r>
      </w:hyperlink>
      <w:r>
        <w:rPr>
          <w:sz w:val="20"/>
        </w:rPr>
        <w:t xml:space="preserve">, </w:t>
      </w:r>
      <w:hyperlink w:history="0" w:anchor="P668" w:tooltip="2.2.6. Практика способствует развитию цифровых &quot;сквозных&quot; технологий">
        <w:r>
          <w:rPr>
            <w:sz w:val="20"/>
            <w:color w:val="0000ff"/>
          </w:rPr>
          <w:t xml:space="preserve">2.2.6</w:t>
        </w:r>
      </w:hyperlink>
      <w:r>
        <w:rPr>
          <w:sz w:val="20"/>
        </w:rPr>
        <w:t xml:space="preserve">, </w:t>
      </w:r>
      <w:hyperlink w:history="0" w:anchor="P674" w:tooltip="3.1.1. Практика реализована по инициативе жителей, общественных организаций, представителей малого и среднего предпринимательства">
        <w:r>
          <w:rPr>
            <w:sz w:val="20"/>
            <w:color w:val="0000ff"/>
          </w:rPr>
          <w:t xml:space="preserve">3.1.1</w:t>
        </w:r>
      </w:hyperlink>
      <w:r>
        <w:rPr>
          <w:sz w:val="20"/>
        </w:rPr>
        <w:t xml:space="preserve"> - </w:t>
      </w:r>
      <w:hyperlink w:history="0" w:anchor="P682" w:tooltip="3.1.5. Практика реализована при участии студентов и молодых специалистов, обучающихся или закончивших обучение по специальностям, связанным с информационными технологиями">
        <w:r>
          <w:rPr>
            <w:sz w:val="20"/>
            <w:color w:val="0000ff"/>
          </w:rPr>
          <w:t xml:space="preserve">3.1.5</w:t>
        </w:r>
      </w:hyperlink>
      <w:r>
        <w:rPr>
          <w:sz w:val="20"/>
        </w:rPr>
        <w:t xml:space="preserve">, </w:t>
      </w:r>
      <w:hyperlink w:history="0" w:anchor="P694" w:tooltip="3.1.10. Реализация практики способствовала популяризации темы модернизации городского хозяйства посредством внедрения цифровых технологий и платформенных решений &quot;умный город&quot; (проведена информационная кампания, проект открыт для общественного обсуждения и пр.)">
        <w:r>
          <w:rPr>
            <w:sz w:val="20"/>
            <w:color w:val="0000ff"/>
          </w:rPr>
          <w:t xml:space="preserve">3.1.10</w:t>
        </w:r>
      </w:hyperlink>
      <w:r>
        <w:rPr>
          <w:sz w:val="20"/>
        </w:rPr>
        <w:t xml:space="preserve">, </w:t>
      </w:r>
      <w:hyperlink w:history="0" w:anchor="P698" w:tooltip="3.1.12. Реализация практики повлекла снижение уровня потерь энергоресурсов при передаче и распределении, а также аварийности коммунальных сетей, сокращение сроков устранения аварий">
        <w:r>
          <w:rPr>
            <w:sz w:val="20"/>
            <w:color w:val="0000ff"/>
          </w:rPr>
          <w:t xml:space="preserve">3.1.12</w:t>
        </w:r>
      </w:hyperlink>
      <w:r>
        <w:rPr>
          <w:sz w:val="20"/>
        </w:rPr>
        <w:t xml:space="preserve">, </w:t>
      </w:r>
      <w:hyperlink w:history="0" w:anchor="P712" w:tooltip="3.1.18. Реализация практики повысила уровень безопасности социально-значимых и других городских объектов, обеспечила взаимодействие всех оперативных служб города с использованием платформы единого центра городского управления">
        <w:r>
          <w:rPr>
            <w:sz w:val="20"/>
            <w:color w:val="0000ff"/>
          </w:rPr>
          <w:t xml:space="preserve">3.1.18</w:t>
        </w:r>
      </w:hyperlink>
      <w:r>
        <w:rPr>
          <w:sz w:val="20"/>
        </w:rPr>
        <w:t xml:space="preserve"> - </w:t>
      </w:r>
      <w:hyperlink w:history="0" w:anchor="P716" w:tooltip="3.1.20. Реализация практики, посредством цифровых технологий, повысила уровень экологической безопасности, обеспечила контроль за состоянием качества воды, воздуха, обеспечила бесперебойную работу по вывозу твердых коммунальных отходов">
        <w:r>
          <w:rPr>
            <w:sz w:val="20"/>
            <w:color w:val="0000ff"/>
          </w:rPr>
          <w:t xml:space="preserve">3.1.20</w:t>
        </w:r>
      </w:hyperlink>
      <w:r>
        <w:rPr>
          <w:sz w:val="20"/>
        </w:rPr>
        <w:t xml:space="preserve">, </w:t>
      </w:r>
      <w:hyperlink w:history="0" w:anchor="P720" w:tooltip="3.1.22. Реализация практики способствует упрощению доступа к государственным услугам в сфере жилищно-коммунального хозяйства и городской среды">
        <w:r>
          <w:rPr>
            <w:sz w:val="20"/>
            <w:color w:val="0000ff"/>
          </w:rPr>
          <w:t xml:space="preserve">3.1.22</w:t>
        </w:r>
      </w:hyperlink>
      <w:r>
        <w:rPr>
          <w:sz w:val="20"/>
        </w:rPr>
        <w:t xml:space="preserve">, </w:t>
      </w:r>
      <w:hyperlink w:history="0" w:anchor="P759" w:tooltip="5.1.1. Реализованная практика позволяет решить проблему или комплекс проблем, типичных для муниципального образования, группы муниципальных образований, субъекта Российской Федерации">
        <w:r>
          <w:rPr>
            <w:sz w:val="20"/>
            <w:color w:val="0000ff"/>
          </w:rPr>
          <w:t xml:space="preserve">5.1.1</w:t>
        </w:r>
      </w:hyperlink>
      <w:r>
        <w:rPr>
          <w:sz w:val="20"/>
        </w:rPr>
        <w:t xml:space="preserve"> Приложения, в случае положительного ответа присваивается 10 баллов, в случае отрицательного - 0;</w:t>
      </w:r>
    </w:p>
    <w:bookmarkStart w:id="580" w:name="P580"/>
    <w:bookmarkEnd w:id="5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показателю </w:t>
      </w:r>
      <w:hyperlink w:history="0" w:anchor="P660" w:tooltip="2.2.2. Реализованная практика является основой для дальнейшего внедрения других решений &quot;умного города&quot;">
        <w:r>
          <w:rPr>
            <w:sz w:val="20"/>
            <w:color w:val="0000ff"/>
          </w:rPr>
          <w:t xml:space="preserve">2.2.2</w:t>
        </w:r>
      </w:hyperlink>
      <w:r>
        <w:rPr>
          <w:sz w:val="20"/>
        </w:rPr>
        <w:t xml:space="preserve"> присваиваются баллы в соответствии со следующими требованиями: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практика является системообразующей для внедрения других решений "умного города" и предполагает в дальнейшем интеграцию с ними - 10 баллов;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практика не является системообразующей для внедрения других решений "умного города", но интегрируется с системообразующими проектами - 8 баллов;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практика не является системообразующей для внедрения других решений "умного города", не интегрируется с системообразующими проектами, но интегрируется с другими точечными решениями "умного города" - 6 баллов;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практика не связана с другими решениями "умного города" или материалы заявки не позволяют оценить значение данного критерия - 0 баллов.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Итоговая сумма баллов по конкурсной заявке рассчитывается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position w:val="-38"/>
        </w:rPr>
        <w:drawing>
          <wp:inline distT="0" distB="0" distL="0" distR="0">
            <wp:extent cx="1143000" cy="6096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итоговая сумма баллов по i-ой конкурсной заявке;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c - количество членов подкомиссии, оценивших конкурсную заявку;</w:t>
      </w:r>
    </w:p>
    <w:p>
      <w:pPr>
        <w:pStyle w:val="0"/>
        <w:spacing w:before="200" w:line-rule="auto"/>
        <w:ind w:firstLine="540"/>
        <w:jc w:val="both"/>
      </w:pPr>
      <w:r>
        <w:rPr>
          <w:position w:val="-24"/>
        </w:rPr>
        <w:drawing>
          <wp:inline distT="0" distB="0" distL="0" distR="0">
            <wp:extent cx="403860" cy="4343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сумма баллов, выставленных членами подкомиссии по заявке i-ого муниципального образования по </w:t>
      </w:r>
      <w:hyperlink w:history="0" w:anchor="P576" w:tooltip="а) показателям, предусмотренным пунктами 1.1.1 - 1.1.3, 1.3.1, 3.1.7, 3.1.8, 3.2.1 - 3.2.6, 4.1.1 - 4.1.4, 5.2.1 - 5.2.3 Приложения, членами Подкомиссии присваиваются баллы в диапазоне, указанном в Приложении, в зависимости от того в какой степени, по мнению члена Подкомиссии, данный показатель применим к оцениваемой практике;">
        <w:r>
          <w:rPr>
            <w:sz w:val="20"/>
            <w:color w:val="0000ff"/>
          </w:rPr>
          <w:t xml:space="preserve">подпункту "а" пункта 4</w:t>
        </w:r>
      </w:hyperlink>
      <w:r>
        <w:rPr>
          <w:sz w:val="20"/>
        </w:rPr>
        <w:t xml:space="preserve"> настоящей Методики;</w:t>
      </w:r>
    </w:p>
    <w:p>
      <w:pPr>
        <w:pStyle w:val="0"/>
        <w:spacing w:before="20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342900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сумма баллов, выставленных членами подкомиссии по заявке i-ого муниципального образования по </w:t>
      </w:r>
      <w:hyperlink w:history="0" w:anchor="P577" w:tooltip="б) показателям, предусмотренным пунктами 3.3.1 - 3.3.4 Приложения, присваиваются баллы в соответствии с долей внебюджетных средств в общей стоимости практики. Показатели оцениваются по шкале от 1 до 10 баллов, где 1 шаг (1 балл) соответствует 10% суммы внебюджетных средств. 1 балл означает минимальное значение (10%), 10 баллов - максимальное значение (100%);">
        <w:r>
          <w:rPr>
            <w:sz w:val="20"/>
            <w:color w:val="0000ff"/>
          </w:rPr>
          <w:t xml:space="preserve">подпунктам "б"</w:t>
        </w:r>
      </w:hyperlink>
      <w:r>
        <w:rPr>
          <w:sz w:val="20"/>
        </w:rPr>
        <w:t xml:space="preserve"> - </w:t>
      </w:r>
      <w:hyperlink w:history="0" w:anchor="P580" w:tooltip="д) показателю 2.2.2 присваиваются баллы в соответствии со следующими требованиями:">
        <w:r>
          <w:rPr>
            <w:sz w:val="20"/>
            <w:color w:val="0000ff"/>
          </w:rPr>
          <w:t xml:space="preserve">"д" пункта 4</w:t>
        </w:r>
      </w:hyperlink>
      <w:r>
        <w:rPr>
          <w:sz w:val="20"/>
        </w:rPr>
        <w:t xml:space="preserve"> настоящей Методики.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методике оценки конкурсных заявок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 для участия</w:t>
      </w:r>
    </w:p>
    <w:p>
      <w:pPr>
        <w:pStyle w:val="0"/>
        <w:jc w:val="right"/>
      </w:pPr>
      <w:r>
        <w:rPr>
          <w:sz w:val="20"/>
        </w:rPr>
        <w:t xml:space="preserve">в номинации "Модернизация городского</w:t>
      </w:r>
    </w:p>
    <w:p>
      <w:pPr>
        <w:pStyle w:val="0"/>
        <w:jc w:val="right"/>
      </w:pPr>
      <w:r>
        <w:rPr>
          <w:sz w:val="20"/>
        </w:rPr>
        <w:t xml:space="preserve">хозяйства посредством внедрения цифровых</w:t>
      </w:r>
    </w:p>
    <w:p>
      <w:pPr>
        <w:pStyle w:val="0"/>
        <w:jc w:val="right"/>
      </w:pPr>
      <w:r>
        <w:rPr>
          <w:sz w:val="20"/>
        </w:rPr>
        <w:t xml:space="preserve">технологий и платформенных решений</w:t>
      </w:r>
    </w:p>
    <w:p>
      <w:pPr>
        <w:pStyle w:val="0"/>
        <w:jc w:val="right"/>
      </w:pPr>
      <w:r>
        <w:rPr>
          <w:sz w:val="20"/>
        </w:rPr>
        <w:t xml:space="preserve">("умный город")" Всероссийского конкурса</w:t>
      </w:r>
    </w:p>
    <w:p>
      <w:pPr>
        <w:pStyle w:val="0"/>
        <w:jc w:val="right"/>
      </w:pPr>
      <w:r>
        <w:rPr>
          <w:sz w:val="20"/>
        </w:rPr>
        <w:t xml:space="preserve">"Лучшая муниципальная практика"</w:t>
      </w:r>
    </w:p>
    <w:p>
      <w:pPr>
        <w:pStyle w:val="0"/>
        <w:jc w:val="both"/>
      </w:pPr>
      <w:r>
        <w:rPr>
          <w:sz w:val="20"/>
        </w:rPr>
      </w:r>
    </w:p>
    <w:bookmarkStart w:id="608" w:name="P608"/>
    <w:bookmarkEnd w:id="608"/>
    <w:p>
      <w:pPr>
        <w:pStyle w:val="2"/>
        <w:jc w:val="center"/>
      </w:pPr>
      <w:r>
        <w:rPr>
          <w:sz w:val="20"/>
        </w:rPr>
        <w:t xml:space="preserve">КРИТЕРИИ</w:t>
      </w:r>
    </w:p>
    <w:p>
      <w:pPr>
        <w:pStyle w:val="2"/>
        <w:jc w:val="center"/>
      </w:pPr>
      <w:r>
        <w:rPr>
          <w:sz w:val="20"/>
        </w:rPr>
        <w:t xml:space="preserve">ОЦЕНКИ КОНКУРСНЫХ ЗАЯВОК МУНИЦИПАЛЬНЫХ ОБРАЗОВАНИЙ,</w:t>
      </w:r>
    </w:p>
    <w:p>
      <w:pPr>
        <w:pStyle w:val="2"/>
        <w:jc w:val="center"/>
      </w:pPr>
      <w:r>
        <w:rPr>
          <w:sz w:val="20"/>
        </w:rPr>
        <w:t xml:space="preserve">ПРЕДСТАВЛЯЕМЫХ ДЛЯ УЧАСТИЯ В НОМИНАЦИИ "МОДЕРНИЗАЦИЯ</w:t>
      </w:r>
    </w:p>
    <w:p>
      <w:pPr>
        <w:pStyle w:val="2"/>
        <w:jc w:val="center"/>
      </w:pPr>
      <w:r>
        <w:rPr>
          <w:sz w:val="20"/>
        </w:rPr>
        <w:t xml:space="preserve">ГОРОДСКОГО ХОЗЯЙСТВА ПОСРЕДСТВОМ ВНЕДРЕНИЯ ЦИФРОВЫХ</w:t>
      </w:r>
    </w:p>
    <w:p>
      <w:pPr>
        <w:pStyle w:val="2"/>
        <w:jc w:val="center"/>
      </w:pPr>
      <w:r>
        <w:rPr>
          <w:sz w:val="20"/>
        </w:rPr>
        <w:t xml:space="preserve">ТЕХНОЛОГИЙ И ПЛАТФОРМЕННЫХ РЕШЕНИЙ ("УМНЫЙ ГОРОД")"</w:t>
      </w:r>
    </w:p>
    <w:p>
      <w:pPr>
        <w:pStyle w:val="2"/>
        <w:jc w:val="center"/>
      </w:pPr>
      <w:r>
        <w:rPr>
          <w:sz w:val="20"/>
        </w:rPr>
        <w:t xml:space="preserve">ВСЕРОССИЙСКОГО КОНКУРСА "ЛУЧШАЯ МУНИЦИПАЛЬНАЯ ПРАКТИКА"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948"/>
        <w:gridCol w:w="4648"/>
        <w:gridCol w:w="907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gridSpan w:val="2"/>
            <w:tcW w:w="7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критерия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показателя</w:t>
            </w:r>
          </w:p>
        </w:tc>
      </w:tr>
      <w:tr>
        <w:tc>
          <w:tcPr>
            <w:vMerge w:val="continue"/>
          </w:tcPr>
          <w:p/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46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индикатора</w:t>
            </w:r>
          </w:p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3"/>
            <w:tcW w:w="8503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Комплексность практики, обоснованность выбора проблемы с точки зрения стратегического развития муниципального образования, синхронизация практики и мероприятий национальных проектов (программ)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9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Соответствие задачам развития муниципального образования</w:t>
            </w:r>
          </w:p>
        </w:tc>
        <w:tc>
          <w:tcPr>
            <w:tcW w:w="4648" w:type="dxa"/>
          </w:tcPr>
          <w:bookmarkStart w:id="624" w:name="P624"/>
          <w:bookmarkEnd w:id="624"/>
          <w:p>
            <w:pPr>
              <w:pStyle w:val="0"/>
            </w:pPr>
            <w:r>
              <w:rPr>
                <w:sz w:val="20"/>
              </w:rPr>
              <w:t xml:space="preserve">1.1.1. Практика обеспечила решение задачи или задач развития муниципального образования, определенных планом развития муниципального образования (концепция, стратегия, генеральный план)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  <w:t xml:space="preserve">1.1.2. Практика реализована в связи с необходимостью решения актуальной проблемы в области модернизации городского хозяйства посредством внедрения цифровых технологий и платформенных решений "умный город", развития и эффективного управления жилищно-коммунальным хозяйством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bookmarkStart w:id="628" w:name="P628"/>
          <w:bookmarkEnd w:id="628"/>
          <w:p>
            <w:pPr>
              <w:pStyle w:val="0"/>
            </w:pPr>
            <w:r>
              <w:rPr>
                <w:sz w:val="20"/>
              </w:rPr>
              <w:t xml:space="preserve">1.1.3. Практика реализована в целях общего повышения качества жизни на территории муниципального образования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Синхронизация мероприятий, связанных с реализацией практики, с мероприятиями, реализуемыми на территории муниципального образования в рамках национальных проектов (программ), государственных и муниципальных проектов (программ) и иных проектов (программ)</w:t>
            </w:r>
          </w:p>
        </w:tc>
        <w:tc>
          <w:tcPr>
            <w:tcW w:w="4648" w:type="dxa"/>
          </w:tcPr>
          <w:bookmarkStart w:id="632" w:name="P632"/>
          <w:bookmarkEnd w:id="632"/>
          <w:p>
            <w:pPr>
              <w:pStyle w:val="0"/>
            </w:pPr>
            <w:r>
              <w:rPr>
                <w:sz w:val="20"/>
              </w:rPr>
              <w:t xml:space="preserve">1.2.1. В рамках практики реализуются мероприятия одного или нескольких национальных проектов (программ), государственных или муниципальных проектов (программ), иных проектов (программ)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Влияние на индекс IQ городов</w:t>
            </w:r>
          </w:p>
        </w:tc>
        <w:tc>
          <w:tcPr>
            <w:tcW w:w="4648" w:type="dxa"/>
          </w:tcPr>
          <w:bookmarkStart w:id="636" w:name="P636"/>
          <w:bookmarkEnd w:id="636"/>
          <w:p>
            <w:pPr>
              <w:pStyle w:val="0"/>
            </w:pPr>
            <w:r>
              <w:rPr>
                <w:sz w:val="20"/>
              </w:rPr>
              <w:t xml:space="preserve">1.3.1. Увеличение индекса IQ в муниципальном образовании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29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Влияние практики на решение приоритетных социальных проблем</w:t>
            </w:r>
          </w:p>
        </w:tc>
        <w:tc>
          <w:tcPr>
            <w:tcW w:w="4648" w:type="dxa"/>
          </w:tcPr>
          <w:bookmarkStart w:id="640" w:name="P640"/>
          <w:bookmarkEnd w:id="640"/>
          <w:p>
            <w:pPr>
              <w:pStyle w:val="0"/>
            </w:pPr>
            <w:r>
              <w:rPr>
                <w:sz w:val="20"/>
              </w:rPr>
              <w:t xml:space="preserve">1.4.1. Реализованная практика решает проблему вовлечения жителей в процессы принятия решений в области развития муниципальных образований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bookmarkStart w:id="642" w:name="P642"/>
          <w:bookmarkEnd w:id="642"/>
          <w:p>
            <w:pPr>
              <w:pStyle w:val="0"/>
            </w:pPr>
            <w:r>
              <w:rPr>
                <w:sz w:val="20"/>
              </w:rPr>
              <w:t xml:space="preserve">1.4.2. Реализованная практика способствует решению проблем маломобильных групп населения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bookmarkStart w:id="644" w:name="P644"/>
          <w:bookmarkEnd w:id="644"/>
          <w:p>
            <w:pPr>
              <w:pStyle w:val="0"/>
            </w:pPr>
            <w:r>
              <w:rPr>
                <w:sz w:val="20"/>
              </w:rPr>
              <w:t xml:space="preserve">1.4.3. Реализованная практика способствует увеличению уровня безопасности в муниципальном образовании (снижение количества дорожно-транспортных происшествий, повлекших смерть человека, снижение уровня преступности)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bookmarkStart w:id="646" w:name="P646"/>
          <w:bookmarkEnd w:id="646"/>
          <w:p>
            <w:pPr>
              <w:pStyle w:val="0"/>
            </w:pPr>
            <w:r>
              <w:rPr>
                <w:sz w:val="20"/>
              </w:rPr>
              <w:t xml:space="preserve">1.4.4. Практика способствует улучшению экологической ситуации на территории муниципального образования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tcW w:w="567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3"/>
            <w:tcW w:w="8503" w:type="dxa"/>
          </w:tcPr>
          <w:p>
            <w:pPr>
              <w:pStyle w:val="0"/>
            </w:pPr>
            <w:r>
              <w:rPr>
                <w:sz w:val="20"/>
              </w:rPr>
              <w:t xml:space="preserve">Качество и инновационность решений в рамках реализации практики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29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Качество предлагаемых решений</w:t>
            </w:r>
          </w:p>
        </w:tc>
        <w:tc>
          <w:tcPr>
            <w:tcW w:w="4648" w:type="dxa"/>
          </w:tcPr>
          <w:bookmarkStart w:id="652" w:name="P652"/>
          <w:bookmarkEnd w:id="652"/>
          <w:p>
            <w:pPr>
              <w:pStyle w:val="0"/>
            </w:pPr>
            <w:r>
              <w:rPr>
                <w:sz w:val="20"/>
              </w:rPr>
              <w:t xml:space="preserve">2.1.1. Практика реализована с использованием цифровых "сквозных" технологий, определенных в соответствии с </w:t>
            </w:r>
            <w:hyperlink w:history="0" r:id="rId12" w:tooltip="Постановление Правительства РФ от 03.05.2019 N 549 (ред. от 02.07.2020) &quot;О государственной поддержке компаний-лидеров, разрабатывающих и обеспечивающих внедрение продуктов, сервисов и платформенных решений преимущественно на основе российских технологий и решений для цифровой трансформации приоритетных отраслей экономики и социальной сферы в рамках реализации дорожных карт по направлениям развития &quot;сквозных&quot; цифровых технологий&quot; (вместе с &quot;Правилами предоставления субсидий из федерального бюджета на государ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3 мая 2019 г. N 549 "О государственной поддержке компаний - лидеров по разработке продуктов, сервисов и платформенных решений на базе "сквозных" цифровых технологий"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bookmarkStart w:id="654" w:name="P654"/>
          <w:bookmarkEnd w:id="654"/>
          <w:p>
            <w:pPr>
              <w:pStyle w:val="0"/>
            </w:pPr>
            <w:r>
              <w:rPr>
                <w:sz w:val="20"/>
              </w:rPr>
              <w:t xml:space="preserve">2.1.2. Практика реализована на основе анализа информации, полученной посредством сбора, направления официального запроса и/или из открытых источников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29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Инновационность</w:t>
            </w:r>
          </w:p>
        </w:tc>
        <w:tc>
          <w:tcPr>
            <w:tcW w:w="4648" w:type="dxa"/>
          </w:tcPr>
          <w:bookmarkStart w:id="658" w:name="P658"/>
          <w:bookmarkEnd w:id="658"/>
          <w:p>
            <w:pPr>
              <w:pStyle w:val="0"/>
            </w:pPr>
            <w:r>
              <w:rPr>
                <w:sz w:val="20"/>
              </w:rPr>
              <w:t xml:space="preserve">2.2.1. Реализованная практика решает проблему доступности информации, необходимой для принятия управленческих и проектных решений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bookmarkStart w:id="660" w:name="P660"/>
          <w:bookmarkEnd w:id="660"/>
          <w:p>
            <w:pPr>
              <w:pStyle w:val="0"/>
            </w:pPr>
            <w:r>
              <w:rPr>
                <w:sz w:val="20"/>
              </w:rPr>
              <w:t xml:space="preserve">2.2.2. Реализованная практика является основой для дальнейшего внедрения других решений "умного города"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bookmarkStart w:id="662" w:name="P662"/>
          <w:bookmarkEnd w:id="662"/>
          <w:p>
            <w:pPr>
              <w:pStyle w:val="0"/>
            </w:pPr>
            <w:r>
              <w:rPr>
                <w:sz w:val="20"/>
              </w:rPr>
              <w:t xml:space="preserve">2.2.3. Практика является уникальной для муниципального образования, субъекта Российской Федерации и учитывает зарубежный и российский опыт по решению аналогичных проблем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bookmarkStart w:id="664" w:name="P664"/>
          <w:bookmarkEnd w:id="664"/>
          <w:p>
            <w:pPr>
              <w:pStyle w:val="0"/>
            </w:pPr>
            <w:r>
              <w:rPr>
                <w:sz w:val="20"/>
              </w:rPr>
              <w:t xml:space="preserve">2.2.4. Реализация практики способствовала ускорению процессов внедрения цифровых сервисов (системы умных датчиков, базовая IT-инфраструктура и иных технологий)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bookmarkStart w:id="666" w:name="P666"/>
          <w:bookmarkEnd w:id="666"/>
          <w:p>
            <w:pPr>
              <w:pStyle w:val="0"/>
            </w:pPr>
            <w:r>
              <w:rPr>
                <w:sz w:val="20"/>
              </w:rPr>
              <w:t xml:space="preserve">2.2.5. Реализованная практика способствует системному анализу результатов внедренных управленческих или проектных решений посредством визуализации и анализа информации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bookmarkStart w:id="668" w:name="P668"/>
          <w:bookmarkEnd w:id="668"/>
          <w:p>
            <w:pPr>
              <w:pStyle w:val="0"/>
            </w:pPr>
            <w:r>
              <w:rPr>
                <w:sz w:val="20"/>
              </w:rPr>
              <w:t xml:space="preserve">2.2.6. Практика способствует развитию цифровых "сквозных" технологий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W w:w="567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3"/>
            <w:tcW w:w="8503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высокого социального и экономического результатов от реализации практики</w:t>
            </w:r>
          </w:p>
        </w:tc>
      </w:tr>
      <w:tr>
        <w:tc>
          <w:tcPr>
            <w:tcW w:w="567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3.1.</w:t>
            </w:r>
          </w:p>
        </w:tc>
        <w:tc>
          <w:tcPr>
            <w:tcW w:w="2948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Социальные положительные результаты реализации практики</w:t>
            </w:r>
          </w:p>
        </w:tc>
        <w:tc>
          <w:tcPr>
            <w:tcW w:w="4648" w:type="dxa"/>
          </w:tcPr>
          <w:bookmarkStart w:id="674" w:name="P674"/>
          <w:bookmarkEnd w:id="674"/>
          <w:p>
            <w:pPr>
              <w:pStyle w:val="0"/>
            </w:pPr>
            <w:r>
              <w:rPr>
                <w:sz w:val="20"/>
              </w:rPr>
              <w:t xml:space="preserve">3.1.1. Практика реализована по инициативе жителей, общественных организаций, представителей малого и среднего предпринимательства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  <w:t xml:space="preserve">3.1.2. Практика реализована при участии жителей, общественных организаций, представителей малого и среднего предпринимательства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  <w:t xml:space="preserve">3.1.3. Жители, представители общественных организаций, представители малого и среднего предпринимательства принимали участие в разработке конкретных проектных решений или выборе вариантов проектных решений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  <w:t xml:space="preserve">3.1.4. Жители, представители общественных организаций, представители малого и среднего предпринимательства принимали участие во внедрении практики, ее реализации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48" w:type="dxa"/>
          </w:tcPr>
          <w:bookmarkStart w:id="682" w:name="P682"/>
          <w:bookmarkEnd w:id="682"/>
          <w:p>
            <w:pPr>
              <w:pStyle w:val="0"/>
            </w:pPr>
            <w:r>
              <w:rPr>
                <w:sz w:val="20"/>
              </w:rPr>
              <w:t xml:space="preserve">3.1.5. Практика реализована при участии студентов и молодых специалистов, обучающихся или закончивших обучение по специальностям, связанным с информационными технологиями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48" w:type="dxa"/>
          </w:tcPr>
          <w:bookmarkStart w:id="684" w:name="P684"/>
          <w:bookmarkEnd w:id="684"/>
          <w:p>
            <w:pPr>
              <w:pStyle w:val="0"/>
            </w:pPr>
            <w:r>
              <w:rPr>
                <w:sz w:val="20"/>
              </w:rPr>
              <w:t xml:space="preserve">3.1.6. Реализация практики позволила сэкономить время жителей муниципального образования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48" w:type="dxa"/>
          </w:tcPr>
          <w:bookmarkStart w:id="686" w:name="P686"/>
          <w:bookmarkEnd w:id="686"/>
          <w:p>
            <w:pPr>
              <w:pStyle w:val="0"/>
            </w:pPr>
            <w:r>
              <w:rPr>
                <w:sz w:val="20"/>
              </w:rPr>
              <w:t xml:space="preserve">3.1.7. Реализация практики способствует увеличению числа жителей муниципального образования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48" w:type="dxa"/>
          </w:tcPr>
          <w:bookmarkStart w:id="688" w:name="P688"/>
          <w:bookmarkEnd w:id="688"/>
          <w:p>
            <w:pPr>
              <w:pStyle w:val="0"/>
            </w:pPr>
            <w:r>
              <w:rPr>
                <w:sz w:val="20"/>
              </w:rPr>
              <w:t xml:space="preserve">3.1.8. Практика реализована с привлечением жителей как исполнителей работ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648" w:type="dxa"/>
          </w:tcPr>
          <w:bookmarkStart w:id="690" w:name="P690"/>
          <w:bookmarkEnd w:id="690"/>
          <w:p>
            <w:pPr>
              <w:pStyle w:val="0"/>
            </w:pPr>
            <w:r>
              <w:rPr>
                <w:sz w:val="20"/>
              </w:rPr>
              <w:t xml:space="preserve">3.1.9. Реализация практики имела результатом улучшение качества жизни и повышение качества управления городом через вовлечение жителей в решение вопросов городского развития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48" w:type="dxa"/>
          </w:tcPr>
          <w:bookmarkStart w:id="694" w:name="P694"/>
          <w:bookmarkEnd w:id="694"/>
          <w:p>
            <w:pPr>
              <w:pStyle w:val="0"/>
            </w:pPr>
            <w:r>
              <w:rPr>
                <w:sz w:val="20"/>
              </w:rPr>
              <w:t xml:space="preserve">3.1.10. Реализация практики способствовала популяризации темы модернизации городского хозяйства посредством внедрения цифровых технологий и платформенных решений "умный город" (проведена информационная кампания, проект открыт для общественного обсуждения и пр.)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648" w:type="dxa"/>
          </w:tcPr>
          <w:bookmarkStart w:id="696" w:name="P696"/>
          <w:bookmarkEnd w:id="696"/>
          <w:p>
            <w:pPr>
              <w:pStyle w:val="0"/>
            </w:pPr>
            <w:r>
              <w:rPr>
                <w:sz w:val="20"/>
              </w:rPr>
              <w:t xml:space="preserve">3.1.11. Реализация практики повлекла увеличение использования альтернативных видов транспорта, движения пешеходов и сокращение использования личного автомобильного транспорта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648" w:type="dxa"/>
          </w:tcPr>
          <w:bookmarkStart w:id="698" w:name="P698"/>
          <w:bookmarkEnd w:id="698"/>
          <w:p>
            <w:pPr>
              <w:pStyle w:val="0"/>
            </w:pPr>
            <w:r>
              <w:rPr>
                <w:sz w:val="20"/>
              </w:rPr>
              <w:t xml:space="preserve">3.1.12. Реализация практики повлекла снижение уровня потерь энергоресурсов при передаче и распределении, а также аварийности коммунальных сетей, сокращение сроков устранения аварий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648" w:type="dxa"/>
          </w:tcPr>
          <w:bookmarkStart w:id="700" w:name="P700"/>
          <w:bookmarkEnd w:id="700"/>
          <w:p>
            <w:pPr>
              <w:pStyle w:val="0"/>
            </w:pPr>
            <w:r>
              <w:rPr>
                <w:sz w:val="20"/>
              </w:rPr>
              <w:t xml:space="preserve">3.1.13. Реализация практики повлекла сокращение расходов на оплату коммунальных услуг на территории муниципального образования при сохранении качества жизни населения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  <w:t xml:space="preserve">3.1.14. Реализация практики повлекла увеличение влияния жителей на принятие решений в сфере городского хозяйства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  <w:t xml:space="preserve">3.1.15. Реализация практики обеспечила оперативное реагирование по устранению последствий аварийных ситуаций, в том числе связанных с неблагоприятными погодными условиями, увеличение качества работ, выполненных дорожной и коммунальной техникой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  <w:t xml:space="preserve">3.1.16. Практика стимулирует повышение заинтересованности жителей в использовании, развитии и благоустройстве общественных пространств при помощи цифровых сервисов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tcW w:w="567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48" w:type="dxa"/>
          </w:tcPr>
          <w:bookmarkStart w:id="710" w:name="P710"/>
          <w:bookmarkEnd w:id="710"/>
          <w:p>
            <w:pPr>
              <w:pStyle w:val="0"/>
            </w:pPr>
            <w:r>
              <w:rPr>
                <w:sz w:val="20"/>
              </w:rPr>
              <w:t xml:space="preserve">3.1.17. Реализация практики повысила эффективность городских транспортных систем, повлекла внедрение информационных систем регулирования потока транспортных средств с приоритетом движения общественного и спецтранспорта, пешеходов, управления парковочным пространством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648" w:type="dxa"/>
          </w:tcPr>
          <w:bookmarkStart w:id="712" w:name="P712"/>
          <w:bookmarkEnd w:id="712"/>
          <w:p>
            <w:pPr>
              <w:pStyle w:val="0"/>
            </w:pPr>
            <w:r>
              <w:rPr>
                <w:sz w:val="20"/>
              </w:rPr>
              <w:t xml:space="preserve">3.1.18. Реализация практики повысила уровень безопасности социально-значимых и других городских объектов, обеспечила взаимодействие всех оперативных служб города с использованием платформы единого центра городского управления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  <w:t xml:space="preserve">3.1.19. Реализация практики, посредством цифровых технологий, повысила уровень безопасности жителей, уровень раскрываемости преступлений, оперативности реагирования правоохранительных органов и городских служб экстренной помощи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648" w:type="dxa"/>
          </w:tcPr>
          <w:bookmarkStart w:id="716" w:name="P716"/>
          <w:bookmarkEnd w:id="716"/>
          <w:p>
            <w:pPr>
              <w:pStyle w:val="0"/>
            </w:pPr>
            <w:r>
              <w:rPr>
                <w:sz w:val="20"/>
              </w:rPr>
              <w:t xml:space="preserve">3.1.20. Реализация практики, посредством цифровых технологий, повысила уровень экологической безопасности, обеспечила контроль за состоянием качества воды, воздуха, обеспечила бесперебойную работу по вывозу твердых коммунальных отходов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648" w:type="dxa"/>
          </w:tcPr>
          <w:bookmarkStart w:id="718" w:name="P718"/>
          <w:bookmarkEnd w:id="718"/>
          <w:p>
            <w:pPr>
              <w:pStyle w:val="0"/>
            </w:pPr>
            <w:r>
              <w:rPr>
                <w:sz w:val="20"/>
              </w:rPr>
              <w:t xml:space="preserve">3.1.21. Реализация практики способствует увеличению туристической привлекательности города, повышению интереса к культурным мероприятиям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0 - 5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648" w:type="dxa"/>
          </w:tcPr>
          <w:bookmarkStart w:id="720" w:name="P720"/>
          <w:bookmarkEnd w:id="720"/>
          <w:p>
            <w:pPr>
              <w:pStyle w:val="0"/>
            </w:pPr>
            <w:r>
              <w:rPr>
                <w:sz w:val="20"/>
              </w:rPr>
              <w:t xml:space="preserve">3.1.22. Реализация практики способствует упрощению доступа к государственным услугам в сфере жилищно-коммунального хозяйства и городской среды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29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Эффективность практики для бюджета муниципального образования</w:t>
            </w:r>
          </w:p>
        </w:tc>
        <w:tc>
          <w:tcPr>
            <w:tcW w:w="4648" w:type="dxa"/>
          </w:tcPr>
          <w:bookmarkStart w:id="724" w:name="P724"/>
          <w:bookmarkEnd w:id="724"/>
          <w:p>
            <w:pPr>
              <w:pStyle w:val="0"/>
            </w:pPr>
            <w:r>
              <w:rPr>
                <w:sz w:val="20"/>
              </w:rPr>
              <w:t xml:space="preserve">3.2.1. Реализация практики способствует экономии средств бюджета муниципального образования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  <w:t xml:space="preserve">3.2.2. Реализация практики способствует увеличению доходов местного бюджета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  <w:t xml:space="preserve">3.2.3. Реализованная практика повысила эффективность сбора местных налогов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  <w:t xml:space="preserve">3.2.4. Результат практики стимулирует создание новых предприятий внебюджетного сектора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  <w:t xml:space="preserve">3.2.5. Прибыль исполнителя не превысила 5% от общего бюджета практики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bookmarkStart w:id="734" w:name="P734"/>
          <w:bookmarkEnd w:id="734"/>
          <w:p>
            <w:pPr>
              <w:pStyle w:val="0"/>
            </w:pPr>
            <w:r>
              <w:rPr>
                <w:sz w:val="20"/>
              </w:rPr>
              <w:t xml:space="preserve">3.2.6. В смете практики отсутствуют расходы на приобретение товаров, работ, услуг, не связанных с реализацией практики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3.3</w:t>
            </w:r>
          </w:p>
        </w:tc>
        <w:tc>
          <w:tcPr>
            <w:tcW w:w="29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Привлечение внебюджетного финансирования</w:t>
            </w:r>
          </w:p>
        </w:tc>
        <w:tc>
          <w:tcPr>
            <w:tcW w:w="4648" w:type="dxa"/>
          </w:tcPr>
          <w:bookmarkStart w:id="738" w:name="P738"/>
          <w:bookmarkEnd w:id="738"/>
          <w:p>
            <w:pPr>
              <w:pStyle w:val="0"/>
            </w:pPr>
            <w:r>
              <w:rPr>
                <w:sz w:val="20"/>
              </w:rPr>
              <w:t xml:space="preserve">3.3.1. Практика реализована с использованием грантов благотворительных организаций и/или средств общественных организаций, частных пожертвований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  <w:t xml:space="preserve">3.3.2. Практика реализована с использованием средств фондов местного сообщества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  <w:t xml:space="preserve">3.3.3. Практика реализована с привлечением средств граждан (средства самообложения граждан)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bookmarkStart w:id="742" w:name="P742"/>
          <w:bookmarkEnd w:id="742"/>
          <w:p>
            <w:pPr>
              <w:pStyle w:val="0"/>
            </w:pPr>
            <w:r>
              <w:rPr>
                <w:sz w:val="20"/>
              </w:rPr>
              <w:t xml:space="preserve">3.3.4. Практика реализована с привлечением частных инвестиций</w:t>
            </w:r>
          </w:p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3"/>
            <w:tcW w:w="8503" w:type="dxa"/>
          </w:tcPr>
          <w:p>
            <w:pPr>
              <w:pStyle w:val="0"/>
            </w:pPr>
            <w:r>
              <w:rPr>
                <w:sz w:val="20"/>
              </w:rPr>
              <w:t xml:space="preserve">Выгодополучатели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29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Прямые получатели положительных результатов</w:t>
            </w:r>
          </w:p>
        </w:tc>
        <w:tc>
          <w:tcPr>
            <w:tcW w:w="4648" w:type="dxa"/>
          </w:tcPr>
          <w:bookmarkStart w:id="747" w:name="P747"/>
          <w:bookmarkEnd w:id="747"/>
          <w:p>
            <w:pPr>
              <w:pStyle w:val="0"/>
            </w:pPr>
            <w:r>
              <w:rPr>
                <w:sz w:val="20"/>
              </w:rPr>
              <w:t xml:space="preserve">4.1.1. Прямым получателем положительных результатов от реализации практики является муниципальное образование в лице органа местного самоуправления, осуществляющего управление муниципальным хозяйством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  <w:t xml:space="preserve">4.1.2. Прямыми получателями положительных результатов от реализации практики являются представители малого и среднего предпринимательства в области предоставления услуг населению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  <w:t xml:space="preserve">4.1.3. Прямым получателем положительных результатов от реализации практики является идентифицируемая группа лиц (например, маломобильные группы населения)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bookmarkStart w:id="753" w:name="P753"/>
          <w:bookmarkEnd w:id="753"/>
          <w:p>
            <w:pPr>
              <w:pStyle w:val="0"/>
            </w:pPr>
            <w:r>
              <w:rPr>
                <w:sz w:val="20"/>
              </w:rPr>
              <w:t xml:space="preserve">4.1.4. Прямыми получателями положительных результатов являются все жители муниципального образования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7" w:type="dxa"/>
          </w:tcPr>
          <w:p>
            <w:pPr>
              <w:pStyle w:val="0"/>
              <w:outlineLvl w:val="2"/>
            </w:pPr>
            <w:r>
              <w:rPr>
                <w:sz w:val="20"/>
              </w:rPr>
              <w:t xml:space="preserve">5</w:t>
            </w:r>
          </w:p>
        </w:tc>
        <w:tc>
          <w:tcPr>
            <w:gridSpan w:val="3"/>
            <w:tcW w:w="8503" w:type="dxa"/>
          </w:tcPr>
          <w:p>
            <w:pPr>
              <w:pStyle w:val="0"/>
            </w:pPr>
            <w:r>
              <w:rPr>
                <w:sz w:val="20"/>
              </w:rPr>
              <w:t xml:space="preserve">Тиражируемость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5.1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Востребованность</w:t>
            </w:r>
          </w:p>
        </w:tc>
        <w:tc>
          <w:tcPr>
            <w:tcW w:w="4648" w:type="dxa"/>
          </w:tcPr>
          <w:bookmarkStart w:id="759" w:name="P759"/>
          <w:bookmarkEnd w:id="759"/>
          <w:p>
            <w:pPr>
              <w:pStyle w:val="0"/>
            </w:pPr>
            <w:r>
              <w:rPr>
                <w:sz w:val="20"/>
              </w:rPr>
              <w:t xml:space="preserve">5.1.1. Реализованная практика позволяет решить проблему или комплекс проблем, типичных для муниципального образования, группы муниципальных образований, субъекта Российской Федерации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0 - 10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5.2</w:t>
            </w:r>
          </w:p>
        </w:tc>
        <w:tc>
          <w:tcPr>
            <w:tcW w:w="29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Подготовленность практики к тиражированию</w:t>
            </w:r>
          </w:p>
        </w:tc>
        <w:tc>
          <w:tcPr>
            <w:tcW w:w="4648" w:type="dxa"/>
          </w:tcPr>
          <w:bookmarkStart w:id="763" w:name="P763"/>
          <w:bookmarkEnd w:id="763"/>
          <w:p>
            <w:pPr>
              <w:pStyle w:val="0"/>
            </w:pPr>
            <w:r>
              <w:rPr>
                <w:sz w:val="20"/>
              </w:rPr>
              <w:t xml:space="preserve">5.2.1. Презентационные материалы отличаются наглядностью и высоким качеством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p>
            <w:pPr>
              <w:pStyle w:val="0"/>
            </w:pPr>
            <w:r>
              <w:rPr>
                <w:sz w:val="20"/>
              </w:rPr>
              <w:t xml:space="preserve">5.2.2. Представлен перечень мероприятий, реализованных для внедрения практики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648" w:type="dxa"/>
          </w:tcPr>
          <w:bookmarkStart w:id="767" w:name="P767"/>
          <w:bookmarkEnd w:id="767"/>
          <w:p>
            <w:pPr>
              <w:pStyle w:val="0"/>
            </w:pPr>
            <w:r>
              <w:rPr>
                <w:sz w:val="20"/>
              </w:rPr>
              <w:t xml:space="preserve">5.2.3. Представлен перечень мероприятий, планируемых в целях дальнейшего развития практики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09.07.2020 N 368/пр</w:t>
            <w:br/>
            <w:t>"Об утверждении формы конкурсной заявки муниципального образования и метод...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907EDD0979720DAF6616922F538098CBD556805A7D0403D28DE495409837DC53481AFE960DCC05DDC145AB103EE9E27AC8D754C6B924A197AZ9H" TargetMode = "External"/>
	<Relationship Id="rId8" Type="http://schemas.openxmlformats.org/officeDocument/2006/relationships/hyperlink" Target="consultantplus://offline/ref=A907EDD0979720DAF6616922F538098CBA536F0FA3D0403D28DE495409837DC53481AFE960DCC057D1145AB103EE9E27AC8D754C6B924A197AZ9H" TargetMode = "External"/>
	<Relationship Id="rId9" Type="http://schemas.openxmlformats.org/officeDocument/2006/relationships/image" Target="media/image2.wmf"/>
	<Relationship Id="rId10" Type="http://schemas.openxmlformats.org/officeDocument/2006/relationships/image" Target="media/image3.wmf"/>
	<Relationship Id="rId11" Type="http://schemas.openxmlformats.org/officeDocument/2006/relationships/image" Target="media/image4.wmf"/>
	<Relationship Id="rId12" Type="http://schemas.openxmlformats.org/officeDocument/2006/relationships/hyperlink" Target="consultantplus://offline/ref=A907EDD0979720DAF6616922F538098CBD556D04A6D3403D28DE495409837DC52681F7E561D8DE5FDD010CE0457BZ8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09.07.2020 N 368/пр
"Об утверждении формы конкурсной заявки муниципального образования и методики оценки конкурсных заявок муниципальных образований, представляемых для участия в номинации "Модернизация городского хозяйства посредством внедрения цифровых технологий и платформенных решений ("умный город")" Всероссийского конкурса "Лучшая муниципальная практика"
(Зарегистрировано в Минюсте России 07.08.2020 N 59206)</dc:title>
  <dcterms:created xsi:type="dcterms:W3CDTF">2023-04-14T07:25:58Z</dcterms:created>
</cp:coreProperties>
</file>