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09.07.2020 N 368/пр</w:t>
              <w:br/>
              <w:t xml:space="preserve">"Об утверждении формы конкурсной заявки муниципального образования и методики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</w:t>
              <w:br/>
              <w:t xml:space="preserve">(Зарегистрировано в Минюсте России 07.08.2020 N 59206)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августа 2020 г. N 59206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июля 2020 г. N 368/пр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КОНКУРСНОЙ ЗАЯВКИ МУНИЦИПАЛЬНОГО ОБРАЗОВАНИЯ И МЕТОДИКИ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 НОМИНАЦИИ "МОДЕРНИЗАЦИЯ</w:t>
      </w:r>
    </w:p>
    <w:p>
      <w:pPr>
        <w:pStyle w:val="2"/>
        <w:jc w:val="center"/>
      </w:pPr>
      <w:r>
        <w:rPr>
          <w:sz w:val="20"/>
        </w:rPr>
        <w:t xml:space="preserve">ГОРОДСКОГО ХОЗЯЙСТВА ПОСРЕДСТВОМ ВНЕДРЕНИЯ ЦИФРОВЫХ</w:t>
      </w:r>
    </w:p>
    <w:p>
      <w:pPr>
        <w:pStyle w:val="2"/>
        <w:jc w:val="center"/>
      </w:pPr>
      <w:r>
        <w:rPr>
          <w:sz w:val="20"/>
        </w:rPr>
        <w:t xml:space="preserve">ТЕХНОЛОГИЙ И ПЛАТФОРМЕННЫХ РЕШЕНИЙ ("УМНЫЙ ГОРОД")"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"ЛУЧШАЯ МУНИЦИПАЛЬНАЯ ПРАКТИКА"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05.2020 N 786 &quot;О внесении изменений в Положение о Всероссийском конкурсе &quot;Лучшая муниципальная практика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29 мая 2020 г. N 786 "О внесении изменений в Положение о Всероссийском конкурсе "Лучшая муниципальная практика" (Собрание законодательства Российской Федерации, 2020, ст. 3650) приказываю: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утвердить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конкурсной заявки муниципального образования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history="0" w:anchor="P38" w:tooltip="                             Конкурсная заявк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методику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history="0" w:anchor="P565" w:tooltip="МЕТОДИК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июля 2020 г. N 368/пр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1"/>
        <w:jc w:val="both"/>
      </w:pPr>
      <w:r>
        <w:rPr>
          <w:sz w:val="20"/>
        </w:rPr>
        <w:t xml:space="preserve">                             Конкурсная заявка</w:t>
      </w:r>
    </w:p>
    <w:p>
      <w:pPr>
        <w:pStyle w:val="1"/>
        <w:jc w:val="both"/>
      </w:pPr>
      <w:r>
        <w:rPr>
          <w:sz w:val="20"/>
        </w:rPr>
        <w:t xml:space="preserve">            муниципального образования для участия в номинации</w:t>
      </w:r>
    </w:p>
    <w:p>
      <w:pPr>
        <w:pStyle w:val="1"/>
        <w:jc w:val="both"/>
      </w:pPr>
      <w:r>
        <w:rPr>
          <w:sz w:val="20"/>
        </w:rPr>
        <w:t xml:space="preserve">         "Модернизация городского хозяйства посредством внедрения</w:t>
      </w:r>
    </w:p>
    <w:p>
      <w:pPr>
        <w:pStyle w:val="1"/>
        <w:jc w:val="both"/>
      </w:pPr>
      <w:r>
        <w:rPr>
          <w:sz w:val="20"/>
        </w:rPr>
        <w:t xml:space="preserve">                цифровых технологий и платформенных решений</w:t>
      </w:r>
    </w:p>
    <w:p>
      <w:pPr>
        <w:pStyle w:val="1"/>
        <w:jc w:val="both"/>
      </w:pPr>
      <w:r>
        <w:rPr>
          <w:sz w:val="20"/>
        </w:rPr>
        <w:t xml:space="preserve">                 ("умный город")" Всероссийского конкурса</w:t>
      </w:r>
    </w:p>
    <w:p>
      <w:pPr>
        <w:pStyle w:val="1"/>
        <w:jc w:val="both"/>
      </w:pPr>
      <w:r>
        <w:rPr>
          <w:sz w:val="20"/>
        </w:rPr>
        <w:t xml:space="preserve">                      "Лучшая муниципальная практика"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Министерство строительства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рассмотреть   конкурсную   заявку   для   участия  в  номинации</w:t>
      </w:r>
    </w:p>
    <w:p>
      <w:pPr>
        <w:pStyle w:val="1"/>
        <w:jc w:val="both"/>
      </w:pPr>
      <w:r>
        <w:rPr>
          <w:sz w:val="20"/>
        </w:rPr>
        <w:t xml:space="preserve">"Модернизация   городского   хозяйства   посредством   внедрения   цифровых</w:t>
      </w:r>
    </w:p>
    <w:p>
      <w:pPr>
        <w:pStyle w:val="1"/>
        <w:jc w:val="both"/>
      </w:pPr>
      <w:r>
        <w:rPr>
          <w:sz w:val="20"/>
        </w:rPr>
        <w:t xml:space="preserve">технологий и платформенных решений ("умный город")" Всероссийского конкурса</w:t>
      </w:r>
    </w:p>
    <w:p>
      <w:pPr>
        <w:pStyle w:val="1"/>
        <w:jc w:val="both"/>
      </w:pPr>
      <w:r>
        <w:rPr>
          <w:sz w:val="20"/>
        </w:rPr>
        <w:t xml:space="preserve">"Лучшая муниципальная практика"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(городской округ (городской округ с внутригородским делением)</w:t>
      </w:r>
    </w:p>
    <w:p>
      <w:pPr>
        <w:pStyle w:val="1"/>
        <w:jc w:val="both"/>
      </w:pPr>
      <w:r>
        <w:rPr>
          <w:sz w:val="20"/>
        </w:rPr>
        <w:t xml:space="preserve">                 /городское поселение/сельское поселение)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(муниципальный район)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(субъект 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(статус административного центра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в категории: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(I категория - городские округа (городские округа с внутригородским</w:t>
      </w:r>
    </w:p>
    <w:p>
      <w:pPr>
        <w:pStyle w:val="1"/>
        <w:jc w:val="both"/>
      </w:pPr>
      <w:r>
        <w:rPr>
          <w:sz w:val="20"/>
        </w:rPr>
        <w:t xml:space="preserve">    делением) и городские поселения; II категория - сельские поселения)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I. Основные данные по муниципальному образованию</w:t>
      </w:r>
    </w:p>
    <w:p>
      <w:pPr>
        <w:pStyle w:val="1"/>
        <w:jc w:val="both"/>
      </w:pPr>
      <w:r>
        <w:rPr>
          <w:sz w:val="20"/>
        </w:rPr>
        <w:t xml:space="preserve">                        за ____ год (отчетный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(городской округ (городской округ с внутригородским делением)</w:t>
      </w:r>
    </w:p>
    <w:p>
      <w:pPr>
        <w:pStyle w:val="1"/>
        <w:jc w:val="both"/>
      </w:pPr>
      <w:r>
        <w:rPr>
          <w:sz w:val="20"/>
        </w:rPr>
        <w:t xml:space="preserve">                 /городское поселение/сельское поселение)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(муниципальный район)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(субъект Российской Федерации)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1020"/>
        <w:gridCol w:w="1927"/>
        <w:gridCol w:w="1927"/>
      </w:tblGrid>
      <w:tr>
        <w:tc>
          <w:tcPr>
            <w:gridSpan w:val="4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информация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образования (городского округа/городского поселения/сельского поселения)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gridSpan w:val="2"/>
            <w:tcW w:w="38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жителей </w:t>
            </w:r>
            <w:hyperlink w:history="0" w:anchor="P552" w:tooltip="&lt;*&gt; Житель - физическое лицо, зарегистрированное по месту жительства в муниципальном образовани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(городского округа/городского поселения/сельского поселения)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городского округа/городского поселения/сельского поселения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бюджета, предусмотренные за отчетный год на реализацию мероприятий в области модернизации городского хозяйства посредством внедрения цифровых технологий и платформенных решений "умный город" всего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направлениям:</w:t>
            </w:r>
          </w:p>
        </w:tc>
        <w:tc>
          <w:tcPr>
            <w:gridSpan w:val="3"/>
            <w:tcW w:w="48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Городское управление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1.1.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Умное жилищно-коммунальное хозяйство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2.1.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Инновации для городской среды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3.1.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Умный городской транспорт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4.1. Наименование мероприятия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gridSpan w:val="2"/>
            <w:tcW w:w="38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Интеллектуальные системы общественной безопасности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5.1.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 Интеллектуальные системы экологической безопасности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6.1.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 Инфраструктура сетей связи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7.1.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Туризм и сервис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</w:t>
            </w:r>
            <w:hyperlink w:history="0" w:anchor="P553" w:tooltip="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&quot;умный город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января отчетного года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 декабря отчетного года</w:t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8.1.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 которые планируется направление средств дотаций из федерального бюджета в случае премирования муниципальных образований - победителей конкурса, полученных от участия</w:t>
            </w:r>
          </w:p>
        </w:tc>
        <w:tc>
          <w:tcPr>
            <w:gridSpan w:val="3"/>
            <w:tcW w:w="4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а)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gridSpan w:val="2"/>
            <w:tcW w:w="3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б) наименование мероприятия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gridSpan w:val="2"/>
            <w:tcW w:w="3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II. Описание муниципальной практики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Составитель паспорта практики:</w:t>
      </w:r>
    </w:p>
    <w:p>
      <w:pPr>
        <w:pStyle w:val="1"/>
        <w:jc w:val="both"/>
      </w:pPr>
      <w:r>
        <w:rPr>
          <w:sz w:val="20"/>
        </w:rPr>
        <w:t xml:space="preserve">ФИО:</w:t>
      </w:r>
    </w:p>
    <w:p>
      <w:pPr>
        <w:pStyle w:val="1"/>
        <w:jc w:val="both"/>
      </w:pPr>
      <w:r>
        <w:rPr>
          <w:sz w:val="20"/>
        </w:rPr>
        <w:t xml:space="preserve">e-mail:</w:t>
      </w:r>
    </w:p>
    <w:p>
      <w:pPr>
        <w:pStyle w:val="1"/>
        <w:jc w:val="both"/>
      </w:pPr>
      <w:r>
        <w:rPr>
          <w:sz w:val="20"/>
        </w:rPr>
        <w:t xml:space="preserve">тел. (раб., моб.):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Наименование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 Наименование  муниципального  образования  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в котором реализована практика: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30" w:name="P230"/>
    <w:bookmarkEnd w:id="230"/>
    <w:p>
      <w:pPr>
        <w:pStyle w:val="1"/>
        <w:jc w:val="both"/>
      </w:pPr>
      <w:r>
        <w:rPr>
          <w:sz w:val="20"/>
        </w:rPr>
        <w:t xml:space="preserve">    3. Предпосылки реализации.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 Краткое  описание ситуации, обусловившей необходимость реализации</w:t>
      </w:r>
    </w:p>
    <w:p>
      <w:pPr>
        <w:pStyle w:val="1"/>
        <w:jc w:val="both"/>
      </w:pPr>
      <w:r>
        <w:rPr>
          <w:sz w:val="20"/>
        </w:rPr>
        <w:t xml:space="preserve">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Проблемы, на решение которых направлена реализация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8674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проблемы или комплекса проблем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Возможности (ресурсы), которые позволили реализовать практику: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8674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возможностей и ресурсов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Финансовые  возможности  (ресурсы), которые позволили реализовать</w:t>
      </w:r>
    </w:p>
    <w:p>
      <w:pPr>
        <w:pStyle w:val="1"/>
        <w:jc w:val="both"/>
      </w:pPr>
      <w:r>
        <w:rPr>
          <w:sz w:val="20"/>
        </w:rPr>
        <w:t xml:space="preserve">практику   (средства   бюджета   субъекта  Российской  Федерации;  средства</w:t>
      </w:r>
    </w:p>
    <w:p>
      <w:pPr>
        <w:pStyle w:val="1"/>
        <w:jc w:val="both"/>
      </w:pPr>
      <w:r>
        <w:rPr>
          <w:sz w:val="20"/>
        </w:rPr>
        <w:t xml:space="preserve">муниципального бюджета; субсидии из федерального бюджета бюджетам субъектов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на  поддержку государственных программ (подпрограмм)</w:t>
      </w:r>
    </w:p>
    <w:p>
      <w:pPr>
        <w:pStyle w:val="1"/>
        <w:jc w:val="both"/>
      </w:pPr>
      <w:r>
        <w:rPr>
          <w:sz w:val="20"/>
        </w:rPr>
        <w:t xml:space="preserve">субъектов  Российской  Федерации  и муниципальных программ (подпрограмм), в</w:t>
      </w:r>
    </w:p>
    <w:p>
      <w:pPr>
        <w:pStyle w:val="1"/>
        <w:jc w:val="both"/>
      </w:pPr>
      <w:r>
        <w:rPr>
          <w:sz w:val="20"/>
        </w:rPr>
        <w:t xml:space="preserve">том    числе    формирования    современной   городской   среды;   средства</w:t>
      </w:r>
    </w:p>
    <w:p>
      <w:pPr>
        <w:pStyle w:val="1"/>
        <w:jc w:val="both"/>
      </w:pPr>
      <w:r>
        <w:rPr>
          <w:sz w:val="20"/>
        </w:rPr>
        <w:t xml:space="preserve">государственной   поддержки  из  федерального  бюджета  бюджетам  субъектов</w:t>
      </w:r>
    </w:p>
    <w:p>
      <w:pPr>
        <w:pStyle w:val="1"/>
        <w:jc w:val="both"/>
      </w:pPr>
      <w:r>
        <w:rPr>
          <w:sz w:val="20"/>
        </w:rPr>
        <w:t xml:space="preserve">Российской  Федерации для поощрения муниципальных образований - победителей</w:t>
      </w:r>
    </w:p>
    <w:p>
      <w:pPr>
        <w:pStyle w:val="1"/>
        <w:jc w:val="both"/>
      </w:pPr>
      <w:r>
        <w:rPr>
          <w:sz w:val="20"/>
        </w:rPr>
        <w:t xml:space="preserve">Всероссийского  конкурса  лучших  проектов  создания  комфортной  городской</w:t>
      </w:r>
    </w:p>
    <w:p>
      <w:pPr>
        <w:pStyle w:val="1"/>
        <w:jc w:val="both"/>
      </w:pPr>
      <w:r>
        <w:rPr>
          <w:sz w:val="20"/>
        </w:rPr>
        <w:t xml:space="preserve">среды, средства внебюджетных источников, иные источники финансирования):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5726"/>
        <w:gridCol w:w="2948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gridSpan w:val="2"/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Бюджетные источники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фондов местного сообщества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граждан (средства самообложения граждан)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частные инвестиции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жителей как исполнителей работ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right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94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4.2. Информация, используемая для реализации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175"/>
        <w:gridCol w:w="2494"/>
        <w:gridCol w:w="3061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информации, используемой для реализации практики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необходимости использования информации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Результаты практики (достижения) в измеримых величинах: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5102"/>
        <w:gridCol w:w="3572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единица измерения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 Положительные   изменения,   наступившие  в  результате  внедрения</w:t>
      </w:r>
    </w:p>
    <w:p>
      <w:pPr>
        <w:pStyle w:val="1"/>
        <w:jc w:val="both"/>
      </w:pPr>
      <w:r>
        <w:rPr>
          <w:sz w:val="20"/>
        </w:rPr>
        <w:t xml:space="preserve">практики.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 Краткое  описание  экономических  и/или  социальных положительных</w:t>
      </w:r>
    </w:p>
    <w:p>
      <w:pPr>
        <w:pStyle w:val="1"/>
        <w:jc w:val="both"/>
      </w:pPr>
      <w:r>
        <w:rPr>
          <w:sz w:val="20"/>
        </w:rPr>
        <w:t xml:space="preserve">результатов, наступивших от реализации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 Выгодополучатели: муниципальное образование, представители малого</w:t>
      </w:r>
    </w:p>
    <w:p>
      <w:pPr>
        <w:pStyle w:val="1"/>
        <w:jc w:val="both"/>
      </w:pPr>
      <w:r>
        <w:rPr>
          <w:sz w:val="20"/>
        </w:rPr>
        <w:t xml:space="preserve">и среднего предпринимательства, жители муниципального образования: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061"/>
        <w:gridCol w:w="5613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Выгодополучатель/группа выгодополучателей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положительных результатов по итогам применения практики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Участники проекта внедрения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061"/>
        <w:gridCol w:w="5613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а) описание его роли в реализации практики;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в) наименование и реквизиты документа, подтверждающего право собственности и другие вещные права на результаты внедрения практики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Участники финансирования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061"/>
        <w:gridCol w:w="5613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а) описание его роли в реализации практики;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Действия  по реализации практики (перечень выполненных мероприятий):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8.1. в целях реализации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061"/>
        <w:gridCol w:w="5613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мероприятия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8.2. в целях дальнейшего развития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061"/>
        <w:gridCol w:w="5613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мероприятия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8.3.  в  целях  синхронизации  мероприятий  практики  с  мероприятиями,</w:t>
      </w:r>
    </w:p>
    <w:p>
      <w:pPr>
        <w:pStyle w:val="1"/>
        <w:jc w:val="both"/>
      </w:pPr>
      <w:r>
        <w:rPr>
          <w:sz w:val="20"/>
        </w:rPr>
        <w:t xml:space="preserve">реализуемыми    на   территории   муниципального   образования   в   рамках</w:t>
      </w:r>
    </w:p>
    <w:p>
      <w:pPr>
        <w:pStyle w:val="1"/>
        <w:jc w:val="both"/>
      </w:pPr>
      <w:r>
        <w:rPr>
          <w:sz w:val="20"/>
        </w:rPr>
        <w:t xml:space="preserve">национальных,    федеральных    проектов    (программ),    государственных,</w:t>
      </w:r>
    </w:p>
    <w:p>
      <w:pPr>
        <w:pStyle w:val="1"/>
        <w:jc w:val="both"/>
      </w:pPr>
      <w:r>
        <w:rPr>
          <w:sz w:val="20"/>
        </w:rPr>
        <w:t xml:space="preserve">муниципальных проектов (программ):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6520"/>
        <w:gridCol w:w="2154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национальных, федеральных проектов (программ), государственных, муниципальных проектов (программ)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мероприятия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45" w:name="P445"/>
    <w:bookmarkEnd w:id="445"/>
    <w:p>
      <w:pPr>
        <w:pStyle w:val="1"/>
        <w:jc w:val="both"/>
      </w:pPr>
      <w:r>
        <w:rPr>
          <w:sz w:val="20"/>
        </w:rPr>
        <w:t xml:space="preserve">    9. Затраты на реализацию практики: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061"/>
        <w:gridCol w:w="5613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затрат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затрат, тыс. рублей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  Планируемые   мероприятия,   направленные   на  совершенствование</w:t>
      </w:r>
    </w:p>
    <w:p>
      <w:pPr>
        <w:pStyle w:val="1"/>
        <w:jc w:val="both"/>
      </w:pPr>
      <w:r>
        <w:rPr>
          <w:sz w:val="20"/>
        </w:rPr>
        <w:t xml:space="preserve">реализованной  практики,  в  том  числе  информация  о  повторном внедрении</w:t>
      </w:r>
    </w:p>
    <w:p>
      <w:pPr>
        <w:pStyle w:val="1"/>
        <w:jc w:val="both"/>
      </w:pPr>
      <w:r>
        <w:rPr>
          <w:sz w:val="20"/>
        </w:rPr>
        <w:t xml:space="preserve">практики на территории других муниципальных образований: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175"/>
        <w:gridCol w:w="2494"/>
        <w:gridCol w:w="3061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планируемого мероприятия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мероприятия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объем затрат, тыс. рублей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11.  Список  контактов  лиц,  ответственных  за  реализацию  практики в</w:t>
      </w:r>
    </w:p>
    <w:p>
      <w:pPr>
        <w:pStyle w:val="1"/>
        <w:jc w:val="both"/>
      </w:pPr>
      <w:r>
        <w:rPr>
          <w:sz w:val="20"/>
        </w:rPr>
        <w:t xml:space="preserve">муниципальном образовании: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855"/>
        <w:gridCol w:w="4819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лица (фамилия, имя, отчество (последнее - при наличии), должность)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Телефон, электронная почта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12.  Видеоматериалы  (качество видеоматериалов: 1920 на 1080 точек - 25</w:t>
      </w:r>
    </w:p>
    <w:p>
      <w:pPr>
        <w:pStyle w:val="1"/>
        <w:jc w:val="both"/>
      </w:pPr>
      <w:r>
        <w:rPr>
          <w:sz w:val="20"/>
        </w:rPr>
        <w:t xml:space="preserve">кадров (FULL HD), без надписей и логотипов, хронометраж (не более 2 минут),</w:t>
      </w:r>
    </w:p>
    <w:p>
      <w:pPr>
        <w:pStyle w:val="1"/>
        <w:jc w:val="both"/>
      </w:pPr>
      <w:r>
        <w:rPr>
          <w:sz w:val="20"/>
        </w:rPr>
        <w:t xml:space="preserve">в  формате  mp4: должны содержать представление практики, как она работает,</w:t>
      </w:r>
    </w:p>
    <w:p>
      <w:pPr>
        <w:pStyle w:val="1"/>
        <w:jc w:val="both"/>
      </w:pPr>
      <w:r>
        <w:rPr>
          <w:sz w:val="20"/>
        </w:rPr>
        <w:t xml:space="preserve">как  взаимодействуют  все заинтересованные стороны, пользователи; материалы</w:t>
      </w:r>
    </w:p>
    <w:p>
      <w:pPr>
        <w:pStyle w:val="1"/>
        <w:jc w:val="both"/>
      </w:pPr>
      <w:r>
        <w:rPr>
          <w:sz w:val="20"/>
        </w:rPr>
        <w:t xml:space="preserve">предоставляются на флэш-носителе).</w:t>
      </w:r>
    </w:p>
    <w:p>
      <w:pPr>
        <w:pStyle w:val="1"/>
        <w:jc w:val="both"/>
      </w:pPr>
      <w:r>
        <w:rPr>
          <w:sz w:val="20"/>
        </w:rPr>
        <w:t xml:space="preserve">    13.  Фотоматериалы  (качество  фотоматериалов  не менее: jpg, 300 x 300</w:t>
      </w:r>
    </w:p>
    <w:p>
      <w:pPr>
        <w:pStyle w:val="1"/>
        <w:jc w:val="both"/>
      </w:pPr>
      <w:r>
        <w:rPr>
          <w:sz w:val="20"/>
        </w:rPr>
        <w:t xml:space="preserve">dpi,  цветные, без надписей и логотипов, должны содержать полное визуальное</w:t>
      </w:r>
    </w:p>
    <w:p>
      <w:pPr>
        <w:pStyle w:val="1"/>
        <w:jc w:val="both"/>
      </w:pPr>
      <w:r>
        <w:rPr>
          <w:sz w:val="20"/>
        </w:rPr>
        <w:t xml:space="preserve">представление  о  практике,  в  том  числе,  как с решением взаимодействуют</w:t>
      </w:r>
    </w:p>
    <w:p>
      <w:pPr>
        <w:pStyle w:val="1"/>
        <w:jc w:val="both"/>
      </w:pPr>
      <w:r>
        <w:rPr>
          <w:sz w:val="20"/>
        </w:rPr>
        <w:t xml:space="preserve">пользователи; материалы предоставляются на флэш-носителе).</w:t>
      </w:r>
    </w:p>
    <w:p>
      <w:pPr>
        <w:pStyle w:val="1"/>
        <w:jc w:val="both"/>
      </w:pPr>
      <w:r>
        <w:rPr>
          <w:sz w:val="20"/>
        </w:rPr>
        <w:t xml:space="preserve">    14.  Иные  презентационные  материалы  по  выбору участников конкурса -</w:t>
      </w:r>
    </w:p>
    <w:p>
      <w:pPr>
        <w:pStyle w:val="1"/>
        <w:jc w:val="both"/>
      </w:pPr>
      <w:r>
        <w:rPr>
          <w:sz w:val="20"/>
        </w:rPr>
        <w:t xml:space="preserve">иллюстрации, буклеты, фотоальбомы, брошюры, макеты, схемы, расчеты, отзывы,</w:t>
      </w:r>
    </w:p>
    <w:p>
      <w:pPr>
        <w:pStyle w:val="1"/>
        <w:jc w:val="both"/>
      </w:pPr>
      <w:r>
        <w:rPr>
          <w:sz w:val="20"/>
        </w:rPr>
        <w:t xml:space="preserve">документы,  подтверждающие  положительные результаты, достигнутые по итогам</w:t>
      </w:r>
    </w:p>
    <w:p>
      <w:pPr>
        <w:pStyle w:val="1"/>
        <w:jc w:val="both"/>
      </w:pPr>
      <w:r>
        <w:rPr>
          <w:sz w:val="20"/>
        </w:rPr>
        <w:t xml:space="preserve">внедрения  практики,  и  т.д. Размер печатных презентационных материалов не</w:t>
      </w:r>
    </w:p>
    <w:p>
      <w:pPr>
        <w:pStyle w:val="1"/>
        <w:jc w:val="both"/>
      </w:pPr>
      <w:r>
        <w:rPr>
          <w:sz w:val="20"/>
        </w:rPr>
        <w:t xml:space="preserve">должен превышать 40 x 40 см. Презентационные материалы должны быть заверены</w:t>
      </w:r>
    </w:p>
    <w:p>
      <w:pPr>
        <w:pStyle w:val="1"/>
        <w:jc w:val="both"/>
      </w:pPr>
      <w:r>
        <w:rPr>
          <w:sz w:val="20"/>
        </w:rPr>
        <w:t xml:space="preserve">главой  муниципального образования либо лицом, исполняющим его обязанности.</w:t>
      </w:r>
    </w:p>
    <w:p>
      <w:pPr>
        <w:pStyle w:val="1"/>
        <w:jc w:val="both"/>
      </w:pPr>
      <w:r>
        <w:rPr>
          <w:sz w:val="20"/>
        </w:rPr>
        <w:t xml:space="preserve">Предоставляются на флэш-носителе.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5159"/>
        <w:gridCol w:w="3274"/>
      </w:tblGrid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презентационного материала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носителя, количество экземпляров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условиями  проведения  Конкурса и </w:t>
      </w:r>
      <w:hyperlink w:history="0" w:anchor="P565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конкурсной заявки</w:t>
      </w:r>
    </w:p>
    <w:p>
      <w:pPr>
        <w:pStyle w:val="1"/>
        <w:jc w:val="both"/>
      </w:pPr>
      <w:r>
        <w:rPr>
          <w:sz w:val="20"/>
        </w:rPr>
        <w:t xml:space="preserve">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представленной  в  составе  конкурсной заявки информации</w:t>
      </w:r>
    </w:p>
    <w:p>
      <w:pPr>
        <w:pStyle w:val="1"/>
        <w:jc w:val="both"/>
      </w:pPr>
      <w:r>
        <w:rPr>
          <w:sz w:val="20"/>
        </w:rPr>
        <w:t xml:space="preserve">подтверждаю.</w:t>
      </w:r>
    </w:p>
    <w:p>
      <w:pPr>
        <w:pStyle w:val="1"/>
        <w:jc w:val="both"/>
      </w:pPr>
      <w:r>
        <w:rPr>
          <w:sz w:val="20"/>
        </w:rPr>
        <w:t xml:space="preserve">    С   размещением   презентационных   материалов   на  официальном  сайте</w:t>
      </w:r>
    </w:p>
    <w:p>
      <w:pPr>
        <w:pStyle w:val="1"/>
        <w:jc w:val="both"/>
      </w:pPr>
      <w:r>
        <w:rPr>
          <w:sz w:val="20"/>
        </w:rPr>
        <w:t xml:space="preserve">Министерства  строительства  и  жилищно-коммунального  хозяйства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согласен.</w:t>
      </w:r>
    </w:p>
    <w:p>
      <w:pPr>
        <w:pStyle w:val="1"/>
        <w:jc w:val="both"/>
      </w:pPr>
      <w:r>
        <w:rPr>
          <w:sz w:val="20"/>
        </w:rPr>
        <w:t xml:space="preserve">    По вопросам участия прошу взаимодействовать с лицами, ответственными за</w:t>
      </w:r>
    </w:p>
    <w:p>
      <w:pPr>
        <w:pStyle w:val="1"/>
        <w:jc w:val="both"/>
      </w:pPr>
      <w:r>
        <w:rPr>
          <w:sz w:val="20"/>
        </w:rPr>
        <w:t xml:space="preserve">представление муниципального образования на Конкурсе: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  уполномоченного лица, наименование органа, контактный телефон, адрес</w:t>
      </w:r>
    </w:p>
    <w:p>
      <w:pPr>
        <w:pStyle w:val="1"/>
        <w:jc w:val="both"/>
      </w:pPr>
      <w:r>
        <w:rPr>
          <w:sz w:val="20"/>
        </w:rPr>
        <w:t xml:space="preserve">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________________  __________________/__________________________________/</w:t>
      </w:r>
    </w:p>
    <w:p>
      <w:pPr>
        <w:pStyle w:val="1"/>
        <w:jc w:val="both"/>
      </w:pPr>
      <w:r>
        <w:rPr>
          <w:sz w:val="20"/>
        </w:rPr>
        <w:t xml:space="preserve">     (дата)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52" w:name="P552"/>
    <w:bookmarkEnd w:id="5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Житель - физическое лицо, зарегистрированное по месту жительства в муниципальном образовании.</w:t>
      </w:r>
    </w:p>
    <w:bookmarkStart w:id="553" w:name="P553"/>
    <w:bookmarkEnd w:id="5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"умный город".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09.07.2020 г. N 368/пр</w:t>
      </w:r>
    </w:p>
    <w:p>
      <w:pPr>
        <w:pStyle w:val="0"/>
        <w:jc w:val="both"/>
      </w:pPr>
      <w:r>
        <w:rPr>
          <w:sz w:val="20"/>
        </w:rPr>
      </w:r>
    </w:p>
    <w:bookmarkStart w:id="565" w:name="P565"/>
    <w:bookmarkEnd w:id="56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 НОМИНАЦИИ "МОДЕРНИЗАЦИЯ</w:t>
      </w:r>
    </w:p>
    <w:p>
      <w:pPr>
        <w:pStyle w:val="2"/>
        <w:jc w:val="center"/>
      </w:pPr>
      <w:r>
        <w:rPr>
          <w:sz w:val="20"/>
        </w:rPr>
        <w:t xml:space="preserve">ГОРОДСКОГО ХОЗЯЙСТВА ПОСРЕДСТВОМ ВНЕДРЕНИЯ ЦИФРОВЫХ</w:t>
      </w:r>
    </w:p>
    <w:p>
      <w:pPr>
        <w:pStyle w:val="2"/>
        <w:jc w:val="center"/>
      </w:pPr>
      <w:r>
        <w:rPr>
          <w:sz w:val="20"/>
        </w:rPr>
        <w:t xml:space="preserve">ТЕХНОЛОГИЙ И ПЛАТФОРМЕННЫХ РЕШЕНИЙ ("УМНЫЙ ГОРОД")"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"ЛУЧШАЯ МУНИЦИПАЛЬНАЯ ПРАКТИКА"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Настоящей Методикой определяется порядок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(далее - конкурсная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"Модернизация городского хозяйства посредством внедрения цифровых технологий и платформенных решений ("умный город")" (далее - Подкомиссия).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Подкомиссия оценивает конкурсные заявки путем присвоения баллов по </w:t>
      </w:r>
      <w:hyperlink w:history="0" w:anchor="P230" w:tooltip="    3. Предпосылки реализации.">
        <w:r>
          <w:rPr>
            <w:sz w:val="20"/>
            <w:color w:val="0000ff"/>
          </w:rPr>
          <w:t xml:space="preserve">пунктам 3</w:t>
        </w:r>
      </w:hyperlink>
      <w:r>
        <w:rPr>
          <w:sz w:val="20"/>
        </w:rPr>
        <w:t xml:space="preserve"> - </w:t>
      </w:r>
      <w:hyperlink w:history="0" w:anchor="P445" w:tooltip="    9. Затраты на реализацию практики:">
        <w:r>
          <w:rPr>
            <w:sz w:val="20"/>
            <w:color w:val="0000ff"/>
          </w:rPr>
          <w:t xml:space="preserve">9 раздела II</w:t>
        </w:r>
      </w:hyperlink>
      <w:r>
        <w:rPr>
          <w:sz w:val="20"/>
        </w:rPr>
        <w:t xml:space="preserve"> конкурсной заявки на основании показателей, предусмотренных </w:t>
      </w:r>
      <w:hyperlink w:history="0" w:anchor="P608" w:tooltip="КРИТЕРИИ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настоящей Методике (далее - 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Показатели определяются с учетом следующего:</w:t>
      </w:r>
    </w:p>
    <w:bookmarkStart w:id="576" w:name="P576"/>
    <w:bookmarkEnd w:id="5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показателям, предусмотренным </w:t>
      </w:r>
      <w:hyperlink w:history="0" w:anchor="P624" w:tooltip="1.1.1. Практика обеспечила решение задачи или задач развития муниципального образования, определенных планом развития муниципального образования (концепция, стратегия, генеральный план)">
        <w:r>
          <w:rPr>
            <w:sz w:val="20"/>
            <w:color w:val="0000ff"/>
          </w:rPr>
          <w:t xml:space="preserve">пунктами 1.1.1</w:t>
        </w:r>
      </w:hyperlink>
      <w:r>
        <w:rPr>
          <w:sz w:val="20"/>
        </w:rPr>
        <w:t xml:space="preserve"> - </w:t>
      </w:r>
      <w:hyperlink w:history="0" w:anchor="P628" w:tooltip="1.1.3. Практика реализована в целях общего повышения качества жизни на территории муниципального образования">
        <w:r>
          <w:rPr>
            <w:sz w:val="20"/>
            <w:color w:val="0000ff"/>
          </w:rPr>
          <w:t xml:space="preserve">1.1.3</w:t>
        </w:r>
      </w:hyperlink>
      <w:r>
        <w:rPr>
          <w:sz w:val="20"/>
        </w:rPr>
        <w:t xml:space="preserve">, </w:t>
      </w:r>
      <w:hyperlink w:history="0" w:anchor="P636" w:tooltip="1.3.1. Увеличение индекса IQ в муниципальном образовании">
        <w:r>
          <w:rPr>
            <w:sz w:val="20"/>
            <w:color w:val="0000ff"/>
          </w:rPr>
          <w:t xml:space="preserve">1.3.1</w:t>
        </w:r>
      </w:hyperlink>
      <w:r>
        <w:rPr>
          <w:sz w:val="20"/>
        </w:rPr>
        <w:t xml:space="preserve">, </w:t>
      </w:r>
      <w:hyperlink w:history="0" w:anchor="P686" w:tooltip="3.1.7. Реализация практики способствует увеличению числа жителей муниципального образования">
        <w:r>
          <w:rPr>
            <w:sz w:val="20"/>
            <w:color w:val="0000ff"/>
          </w:rPr>
          <w:t xml:space="preserve">3.1.7</w:t>
        </w:r>
      </w:hyperlink>
      <w:r>
        <w:rPr>
          <w:sz w:val="20"/>
        </w:rPr>
        <w:t xml:space="preserve">, </w:t>
      </w:r>
      <w:hyperlink w:history="0" w:anchor="P688" w:tooltip="3.1.8. Практика реализована с привлечением жителей как исполнителей работ">
        <w:r>
          <w:rPr>
            <w:sz w:val="20"/>
            <w:color w:val="0000ff"/>
          </w:rPr>
          <w:t xml:space="preserve">3.1.8</w:t>
        </w:r>
      </w:hyperlink>
      <w:r>
        <w:rPr>
          <w:sz w:val="20"/>
        </w:rPr>
        <w:t xml:space="preserve">, </w:t>
      </w:r>
      <w:hyperlink w:history="0" w:anchor="P724" w:tooltip="3.2.1. Реализация практики способствует экономии средств бюджета муниципального образования">
        <w:r>
          <w:rPr>
            <w:sz w:val="20"/>
            <w:color w:val="0000ff"/>
          </w:rPr>
          <w:t xml:space="preserve">3.2.1</w:t>
        </w:r>
      </w:hyperlink>
      <w:r>
        <w:rPr>
          <w:sz w:val="20"/>
        </w:rPr>
        <w:t xml:space="preserve"> - </w:t>
      </w:r>
      <w:hyperlink w:history="0" w:anchor="P734" w:tooltip="3.2.6. В смете практики отсутствуют расходы на приобретение товаров, работ, услуг, не связанных с реализацией практики">
        <w:r>
          <w:rPr>
            <w:sz w:val="20"/>
            <w:color w:val="0000ff"/>
          </w:rPr>
          <w:t xml:space="preserve">3.2.6</w:t>
        </w:r>
      </w:hyperlink>
      <w:r>
        <w:rPr>
          <w:sz w:val="20"/>
        </w:rPr>
        <w:t xml:space="preserve">, </w:t>
      </w:r>
      <w:hyperlink w:history="0" w:anchor="P747" w:tooltip="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">
        <w:r>
          <w:rPr>
            <w:sz w:val="20"/>
            <w:color w:val="0000ff"/>
          </w:rPr>
          <w:t xml:space="preserve">4.1.1</w:t>
        </w:r>
      </w:hyperlink>
      <w:r>
        <w:rPr>
          <w:sz w:val="20"/>
        </w:rPr>
        <w:t xml:space="preserve"> - </w:t>
      </w:r>
      <w:hyperlink w:history="0" w:anchor="P753" w:tooltip="4.1.4. Прямыми получателями положительных результатов являются все жители муниципального образования">
        <w:r>
          <w:rPr>
            <w:sz w:val="20"/>
            <w:color w:val="0000ff"/>
          </w:rPr>
          <w:t xml:space="preserve">4.1.4</w:t>
        </w:r>
      </w:hyperlink>
      <w:r>
        <w:rPr>
          <w:sz w:val="20"/>
        </w:rPr>
        <w:t xml:space="preserve">, </w:t>
      </w:r>
      <w:hyperlink w:history="0" w:anchor="P763" w:tooltip="5.2.1. Презентационные материалы отличаются наглядностью и высоким качеством">
        <w:r>
          <w:rPr>
            <w:sz w:val="20"/>
            <w:color w:val="0000ff"/>
          </w:rPr>
          <w:t xml:space="preserve">5.2.1</w:t>
        </w:r>
      </w:hyperlink>
      <w:r>
        <w:rPr>
          <w:sz w:val="20"/>
        </w:rPr>
        <w:t xml:space="preserve"> - </w:t>
      </w:r>
      <w:hyperlink w:history="0" w:anchor="P767" w:tooltip="5.2.3. Представлен перечень мероприятий, планируемых в целях дальнейшего развития практики">
        <w:r>
          <w:rPr>
            <w:sz w:val="20"/>
            <w:color w:val="0000ff"/>
          </w:rPr>
          <w:t xml:space="preserve">5.2.3</w:t>
        </w:r>
      </w:hyperlink>
      <w:r>
        <w:rPr>
          <w:sz w:val="20"/>
        </w:rPr>
        <w:t xml:space="preserve"> Приложения, членами Подкомиссии присваиваются баллы в диапазоне, указанном в </w:t>
      </w:r>
      <w:hyperlink w:history="0" w:anchor="P608" w:tooltip="КРИТЕРИИ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, в зависимости от того в какой степени, по мнению члена Подкомиссии, данный показатель применим к оцениваемой практике;</w:t>
      </w:r>
    </w:p>
    <w:bookmarkStart w:id="577" w:name="P577"/>
    <w:bookmarkEnd w:id="5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показателям, предусмотренным </w:t>
      </w:r>
      <w:hyperlink w:history="0" w:anchor="P738" w:tooltip="3.3.1. Практика реализована с использованием грантов благотворительных организаций и/или средств общественных организаций, частных пожертвований">
        <w:r>
          <w:rPr>
            <w:sz w:val="20"/>
            <w:color w:val="0000ff"/>
          </w:rPr>
          <w:t xml:space="preserve">пунктами 3.3.1</w:t>
        </w:r>
      </w:hyperlink>
      <w:r>
        <w:rPr>
          <w:sz w:val="20"/>
        </w:rPr>
        <w:t xml:space="preserve"> - </w:t>
      </w:r>
      <w:hyperlink w:history="0" w:anchor="P742" w:tooltip="3.3.4. Практика реализована с привлечением частных инвестиций">
        <w:r>
          <w:rPr>
            <w:sz w:val="20"/>
            <w:color w:val="0000ff"/>
          </w:rPr>
          <w:t xml:space="preserve">3.3.4</w:t>
        </w:r>
      </w:hyperlink>
      <w:r>
        <w:rPr>
          <w:sz w:val="20"/>
        </w:rPr>
        <w:t xml:space="preserve">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показателям, предусмотренным </w:t>
      </w:r>
      <w:hyperlink w:history="0" w:anchor="P640" w:tooltip="1.4.1. Реализованная практика решает проблему вовлечения жителей в процессы принятия решений в области развития муниципальных образований">
        <w:r>
          <w:rPr>
            <w:sz w:val="20"/>
            <w:color w:val="0000ff"/>
          </w:rPr>
          <w:t xml:space="preserve">пунктами 1.4.1</w:t>
        </w:r>
      </w:hyperlink>
      <w:r>
        <w:rPr>
          <w:sz w:val="20"/>
        </w:rPr>
        <w:t xml:space="preserve">, </w:t>
      </w:r>
      <w:hyperlink w:history="0" w:anchor="P642" w:tooltip="1.4.2. Реализованная практика способствует решению проблем маломобильных групп населения">
        <w:r>
          <w:rPr>
            <w:sz w:val="20"/>
            <w:color w:val="0000ff"/>
          </w:rPr>
          <w:t xml:space="preserve">1.4.2</w:t>
        </w:r>
      </w:hyperlink>
      <w:r>
        <w:rPr>
          <w:sz w:val="20"/>
        </w:rPr>
        <w:t xml:space="preserve">, </w:t>
      </w:r>
      <w:hyperlink w:history="0" w:anchor="P646" w:tooltip="1.4.4. Практика способствует улучшению экологической ситуации на территории муниципального образования">
        <w:r>
          <w:rPr>
            <w:sz w:val="20"/>
            <w:color w:val="0000ff"/>
          </w:rPr>
          <w:t xml:space="preserve">1.4.4</w:t>
        </w:r>
      </w:hyperlink>
      <w:r>
        <w:rPr>
          <w:sz w:val="20"/>
        </w:rPr>
        <w:t xml:space="preserve">, </w:t>
      </w:r>
      <w:hyperlink w:history="0" w:anchor="P654" w:tooltip="2.1.2. Практика реализована на основе анализа информации, полученной посредством сбора, направления официального запроса и/или из открытых источников">
        <w:r>
          <w:rPr>
            <w:sz w:val="20"/>
            <w:color w:val="0000ff"/>
          </w:rPr>
          <w:t xml:space="preserve">2.1.2</w:t>
        </w:r>
      </w:hyperlink>
      <w:r>
        <w:rPr>
          <w:sz w:val="20"/>
        </w:rPr>
        <w:t xml:space="preserve">, </w:t>
      </w:r>
      <w:hyperlink w:history="0" w:anchor="P662" w:tooltip="2.2.3. Практика является уникальной для муниципального образования, субъекта Российской Федерации и учитывает зарубежный и российский опыт по решению аналогичных проблем">
        <w:r>
          <w:rPr>
            <w:sz w:val="20"/>
            <w:color w:val="0000ff"/>
          </w:rPr>
          <w:t xml:space="preserve">2.2.3</w:t>
        </w:r>
      </w:hyperlink>
      <w:r>
        <w:rPr>
          <w:sz w:val="20"/>
        </w:rPr>
        <w:t xml:space="preserve">, </w:t>
      </w:r>
      <w:hyperlink w:history="0" w:anchor="P664" w:tooltip="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">
        <w:r>
          <w:rPr>
            <w:sz w:val="20"/>
            <w:color w:val="0000ff"/>
          </w:rPr>
          <w:t xml:space="preserve">2.2.4</w:t>
        </w:r>
      </w:hyperlink>
      <w:r>
        <w:rPr>
          <w:sz w:val="20"/>
        </w:rPr>
        <w:t xml:space="preserve">, </w:t>
      </w:r>
      <w:hyperlink w:history="0" w:anchor="P684" w:tooltip="3.1.6. Реализация практики позволила сэкономить время жителей муниципального образования">
        <w:r>
          <w:rPr>
            <w:sz w:val="20"/>
            <w:color w:val="0000ff"/>
          </w:rPr>
          <w:t xml:space="preserve">3.1.6</w:t>
        </w:r>
      </w:hyperlink>
      <w:r>
        <w:rPr>
          <w:sz w:val="20"/>
        </w:rPr>
        <w:t xml:space="preserve">, </w:t>
      </w:r>
      <w:hyperlink w:history="0" w:anchor="P690" w:tooltip="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">
        <w:r>
          <w:rPr>
            <w:sz w:val="20"/>
            <w:color w:val="0000ff"/>
          </w:rPr>
          <w:t xml:space="preserve">3.1.9</w:t>
        </w:r>
      </w:hyperlink>
      <w:r>
        <w:rPr>
          <w:sz w:val="20"/>
        </w:rPr>
        <w:t xml:space="preserve">, </w:t>
      </w:r>
      <w:hyperlink w:history="0" w:anchor="P696" w:tooltip="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">
        <w:r>
          <w:rPr>
            <w:sz w:val="20"/>
            <w:color w:val="0000ff"/>
          </w:rPr>
          <w:t xml:space="preserve">3.1.11</w:t>
        </w:r>
      </w:hyperlink>
      <w:r>
        <w:rPr>
          <w:sz w:val="20"/>
        </w:rPr>
        <w:t xml:space="preserve">, </w:t>
      </w:r>
      <w:hyperlink w:history="0" w:anchor="P700" w:tooltip="3.1.13. Реализация практики повлекла сокращение расходов на оплату коммунальных услуг на территории муниципального образования при сохранении качества жизни населения">
        <w:r>
          <w:rPr>
            <w:sz w:val="20"/>
            <w:color w:val="0000ff"/>
          </w:rPr>
          <w:t xml:space="preserve">3.1.13</w:t>
        </w:r>
      </w:hyperlink>
      <w:r>
        <w:rPr>
          <w:sz w:val="20"/>
        </w:rPr>
        <w:t xml:space="preserve"> - </w:t>
      </w:r>
      <w:hyperlink w:history="0" w:anchor="P710" w:tooltip="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дств с приоритетом движения общественного и спецтранспорта, пешеходов, управления парковочным пространством">
        <w:r>
          <w:rPr>
            <w:sz w:val="20"/>
            <w:color w:val="0000ff"/>
          </w:rPr>
          <w:t xml:space="preserve">3.1.17</w:t>
        </w:r>
      </w:hyperlink>
      <w:r>
        <w:rPr>
          <w:sz w:val="20"/>
        </w:rPr>
        <w:t xml:space="preserve">, </w:t>
      </w:r>
      <w:hyperlink w:history="0" w:anchor="P718" w:tooltip="3.1.21. Реализация практики способствует увеличению туристической привлекательности города, повышению интереса к культурным мероприятиям">
        <w:r>
          <w:rPr>
            <w:sz w:val="20"/>
            <w:color w:val="0000ff"/>
          </w:rPr>
          <w:t xml:space="preserve">3.1.21</w:t>
        </w:r>
      </w:hyperlink>
      <w:r>
        <w:rPr>
          <w:sz w:val="20"/>
        </w:rPr>
        <w:t xml:space="preserve"> Приложения, в случае положительного ответа присваивается 5 баллов, в случае отрицательного - 0;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показателям, предусмотренным </w:t>
      </w:r>
      <w:hyperlink w:history="0" w:anchor="P632" w:tooltip="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">
        <w:r>
          <w:rPr>
            <w:sz w:val="20"/>
            <w:color w:val="0000ff"/>
          </w:rPr>
          <w:t xml:space="preserve">пунктами 1.2.1</w:t>
        </w:r>
      </w:hyperlink>
      <w:r>
        <w:rPr>
          <w:sz w:val="20"/>
        </w:rPr>
        <w:t xml:space="preserve">, </w:t>
      </w:r>
      <w:hyperlink w:history="0" w:anchor="P644" w:tooltip="1.4.3. Реализованная практика способствует увеличению уровня безопасности в муниципальном образовании (снижение количества дорожно-транспортных происшествий, повлекших смерть человека, снижение уровня преступности)">
        <w:r>
          <w:rPr>
            <w:sz w:val="20"/>
            <w:color w:val="0000ff"/>
          </w:rPr>
          <w:t xml:space="preserve">1.4.3</w:t>
        </w:r>
      </w:hyperlink>
      <w:r>
        <w:rPr>
          <w:sz w:val="20"/>
        </w:rPr>
        <w:t xml:space="preserve">, </w:t>
      </w:r>
      <w:hyperlink w:history="0" w:anchor="P652" w:tooltip="2.1.1. Практика реализована с использованием цифровых &quot;сквозных&quot; технологий, определенных в соответствии с постановлением Правительства Российской Федерации от 3 мая 2019 г. N 549 &quot;О государственной поддержке компаний - лидеров по разработке продуктов, сервисов и платформенных решений на базе &quot;сквозных&quot; цифровых технологий&quot;">
        <w:r>
          <w:rPr>
            <w:sz w:val="20"/>
            <w:color w:val="0000ff"/>
          </w:rPr>
          <w:t xml:space="preserve">2.1.1</w:t>
        </w:r>
      </w:hyperlink>
      <w:r>
        <w:rPr>
          <w:sz w:val="20"/>
        </w:rPr>
        <w:t xml:space="preserve">, </w:t>
      </w:r>
      <w:hyperlink w:history="0" w:anchor="P658" w:tooltip="2.2.1. Реализованная практика решает проблему доступности информации, необходимой для принятия управленческих и проектных решений">
        <w:r>
          <w:rPr>
            <w:sz w:val="20"/>
            <w:color w:val="0000ff"/>
          </w:rPr>
          <w:t xml:space="preserve">2.2.1</w:t>
        </w:r>
      </w:hyperlink>
      <w:r>
        <w:rPr>
          <w:sz w:val="20"/>
        </w:rPr>
        <w:t xml:space="preserve">, </w:t>
      </w:r>
      <w:hyperlink w:history="0" w:anchor="P666" w:tooltip="2.2.5. Реализованная практика способствует системному анализу результатов внедренных управленческих или проектных решений посредством визуализации и анализа информации">
        <w:r>
          <w:rPr>
            <w:sz w:val="20"/>
            <w:color w:val="0000ff"/>
          </w:rPr>
          <w:t xml:space="preserve">2.2.5</w:t>
        </w:r>
      </w:hyperlink>
      <w:r>
        <w:rPr>
          <w:sz w:val="20"/>
        </w:rPr>
        <w:t xml:space="preserve">, </w:t>
      </w:r>
      <w:hyperlink w:history="0" w:anchor="P668" w:tooltip="2.2.6. Практика способствует развитию цифровых &quot;сквозных&quot; технологий">
        <w:r>
          <w:rPr>
            <w:sz w:val="20"/>
            <w:color w:val="0000ff"/>
          </w:rPr>
          <w:t xml:space="preserve">2.2.6</w:t>
        </w:r>
      </w:hyperlink>
      <w:r>
        <w:rPr>
          <w:sz w:val="20"/>
        </w:rPr>
        <w:t xml:space="preserve">, </w:t>
      </w:r>
      <w:hyperlink w:history="0" w:anchor="P674" w:tooltip="3.1.1. Практика реализована по инициативе жителей, общественных организаций, представителей малого и среднего предпринимательства">
        <w:r>
          <w:rPr>
            <w:sz w:val="20"/>
            <w:color w:val="0000ff"/>
          </w:rPr>
          <w:t xml:space="preserve">3.1.1</w:t>
        </w:r>
      </w:hyperlink>
      <w:r>
        <w:rPr>
          <w:sz w:val="20"/>
        </w:rPr>
        <w:t xml:space="preserve"> - </w:t>
      </w:r>
      <w:hyperlink w:history="0" w:anchor="P682" w:tooltip="3.1.5. Практика реализована при участии студентов и молодых специалистов, обучающихся или закончивших обучение по специальностям, связанным с информационными технологиями">
        <w:r>
          <w:rPr>
            <w:sz w:val="20"/>
            <w:color w:val="0000ff"/>
          </w:rPr>
          <w:t xml:space="preserve">3.1.5</w:t>
        </w:r>
      </w:hyperlink>
      <w:r>
        <w:rPr>
          <w:sz w:val="20"/>
        </w:rPr>
        <w:t xml:space="preserve">, </w:t>
      </w:r>
      <w:hyperlink w:history="0" w:anchor="P694" w:tooltip="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&quot;умный город&quot; (проведена информационная кампания, проект открыт для общественного обсуждения и пр.)">
        <w:r>
          <w:rPr>
            <w:sz w:val="20"/>
            <w:color w:val="0000ff"/>
          </w:rPr>
          <w:t xml:space="preserve">3.1.10</w:t>
        </w:r>
      </w:hyperlink>
      <w:r>
        <w:rPr>
          <w:sz w:val="20"/>
        </w:rPr>
        <w:t xml:space="preserve">, </w:t>
      </w:r>
      <w:hyperlink w:history="0" w:anchor="P698" w:tooltip="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сроков устранения аварий">
        <w:r>
          <w:rPr>
            <w:sz w:val="20"/>
            <w:color w:val="0000ff"/>
          </w:rPr>
          <w:t xml:space="preserve">3.1.12</w:t>
        </w:r>
      </w:hyperlink>
      <w:r>
        <w:rPr>
          <w:sz w:val="20"/>
        </w:rPr>
        <w:t xml:space="preserve">, </w:t>
      </w:r>
      <w:hyperlink w:history="0" w:anchor="P712" w:tooltip="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">
        <w:r>
          <w:rPr>
            <w:sz w:val="20"/>
            <w:color w:val="0000ff"/>
          </w:rPr>
          <w:t xml:space="preserve">3.1.18</w:t>
        </w:r>
      </w:hyperlink>
      <w:r>
        <w:rPr>
          <w:sz w:val="20"/>
        </w:rPr>
        <w:t xml:space="preserve"> - </w:t>
      </w:r>
      <w:hyperlink w:history="0" w:anchor="P716" w:tooltip="3.1.20. Реализация практики, посредством цифровых технологий, повысила уровень экологической безопасности, обеспечила контроль за состоянием качества воды, воздуха, обеспечила бесперебойную работу по вывозу твердых коммунальных отходов">
        <w:r>
          <w:rPr>
            <w:sz w:val="20"/>
            <w:color w:val="0000ff"/>
          </w:rPr>
          <w:t xml:space="preserve">3.1.20</w:t>
        </w:r>
      </w:hyperlink>
      <w:r>
        <w:rPr>
          <w:sz w:val="20"/>
        </w:rPr>
        <w:t xml:space="preserve">, </w:t>
      </w:r>
      <w:hyperlink w:history="0" w:anchor="P720" w:tooltip="3.1.22. Реализация практики способствует упрощению доступа к государственным услугам в сфере жилищно-коммунального хозяйства и городской среды">
        <w:r>
          <w:rPr>
            <w:sz w:val="20"/>
            <w:color w:val="0000ff"/>
          </w:rPr>
          <w:t xml:space="preserve">3.1.22</w:t>
        </w:r>
      </w:hyperlink>
      <w:r>
        <w:rPr>
          <w:sz w:val="20"/>
        </w:rPr>
        <w:t xml:space="preserve">, </w:t>
      </w:r>
      <w:hyperlink w:history="0" w:anchor="P759" w:tooltip="5.1.1. Реализованная практика позволяет решить проблему или комплекс проблем, типичных для муниципального образования, группы муниципальных образований, субъекта Российской Федерации">
        <w:r>
          <w:rPr>
            <w:sz w:val="20"/>
            <w:color w:val="0000ff"/>
          </w:rPr>
          <w:t xml:space="preserve">5.1.1</w:t>
        </w:r>
      </w:hyperlink>
      <w:r>
        <w:rPr>
          <w:sz w:val="20"/>
        </w:rPr>
        <w:t xml:space="preserve"> Приложения, в случае положительного ответа присваивается 10 баллов, в случае отрицательного - 0;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показателю </w:t>
      </w:r>
      <w:hyperlink w:history="0" w:anchor="P660" w:tooltip="2.2.2. Реализованная практика является основой для дальнейшего внедрения других решений &quot;умного города&quot;">
        <w:r>
          <w:rPr>
            <w:sz w:val="20"/>
            <w:color w:val="0000ff"/>
          </w:rPr>
          <w:t xml:space="preserve">2.2.2</w:t>
        </w:r>
      </w:hyperlink>
      <w:r>
        <w:rPr>
          <w:sz w:val="20"/>
        </w:rPr>
        <w:t xml:space="preserve"> присваиваются баллы в соответствии со следующими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практика является системообразующей для внедрения других решений "умного города" и предполагает в дальнейшем интеграцию с ними - 10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практика не является системообразующей для внедрения других решений "умного города", но интегрируется с системообразующими проектами - 8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практика не является системообразующей для внедрения других решений "умного города", не интегрируется с системообразующими проектами, но интегрируется с другими точечными решениями "умного города" - 6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практика не связана с другими решениями "умного города" или материалы заявки не позволяют оценить значение данного критерия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Итоговая сумма баллов по конкурсной заявке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1143000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итоговая сумма баллов по i-ой конкурсной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количество членов подкомиссии, оценивших конкурсную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position w:val="-24"/>
        </w:rPr>
        <w:drawing>
          <wp:inline distT="0" distB="0" distL="0" distR="0">
            <wp:extent cx="4038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history="0" w:anchor="P576" w:tooltip="а) показателям, предусмотренным пунктами 1.1.1 - 1.1.3, 1.3.1, 3.1.7, 3.1.8, 3.2.1 - 3.2.6, 4.1.1 - 4.1.4, 5.2.1 - 5.2.3 Приложения, членами Подкомиссии присваиваются баллы в диапазоне, указанном в Приложении, в зависимости от того в какой степени, по мнению члена Подкомиссии, данный показатель применим к оцениваемой практике;">
        <w:r>
          <w:rPr>
            <w:sz w:val="20"/>
            <w:color w:val="0000ff"/>
          </w:rPr>
          <w:t xml:space="preserve">подпункту "а" пункта 4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3429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history="0" w:anchor="P577" w:tooltip="б) показателям, предусмотренным пунктами 3.3.1 - 3.3.4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">
        <w:r>
          <w:rPr>
            <w:sz w:val="20"/>
            <w:color w:val="0000ff"/>
          </w:rPr>
          <w:t xml:space="preserve">подпунктам "б"</w:t>
        </w:r>
      </w:hyperlink>
      <w:r>
        <w:rPr>
          <w:sz w:val="20"/>
        </w:rPr>
        <w:t xml:space="preserve"> - </w:t>
      </w:r>
      <w:hyperlink w:history="0" w:anchor="P580" w:tooltip="д) показателю 2.2.2 присваиваются баллы в соответствии со следующими требованиями:">
        <w:r>
          <w:rPr>
            <w:sz w:val="20"/>
            <w:color w:val="0000ff"/>
          </w:rPr>
          <w:t xml:space="preserve">"д" пункта 4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 оценки конкурсных заявок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 для участия</w:t>
      </w:r>
    </w:p>
    <w:p>
      <w:pPr>
        <w:pStyle w:val="0"/>
        <w:jc w:val="right"/>
      </w:pPr>
      <w:r>
        <w:rPr>
          <w:sz w:val="20"/>
        </w:rPr>
        <w:t xml:space="preserve">в номинации "Модернизация городского</w:t>
      </w:r>
    </w:p>
    <w:p>
      <w:pPr>
        <w:pStyle w:val="0"/>
        <w:jc w:val="right"/>
      </w:pPr>
      <w:r>
        <w:rPr>
          <w:sz w:val="20"/>
        </w:rPr>
        <w:t xml:space="preserve">хозяйства посредством внедрения цифровых</w:t>
      </w:r>
    </w:p>
    <w:p>
      <w:pPr>
        <w:pStyle w:val="0"/>
        <w:jc w:val="right"/>
      </w:pPr>
      <w:r>
        <w:rPr>
          <w:sz w:val="20"/>
        </w:rPr>
        <w:t xml:space="preserve">технологий и платформенных решений</w:t>
      </w:r>
    </w:p>
    <w:p>
      <w:pPr>
        <w:pStyle w:val="0"/>
        <w:jc w:val="right"/>
      </w:pPr>
      <w:r>
        <w:rPr>
          <w:sz w:val="20"/>
        </w:rPr>
        <w:t xml:space="preserve">("умный город")"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"Лучшая муниципальная практика"</w:t>
      </w:r>
    </w:p>
    <w:p>
      <w:pPr>
        <w:pStyle w:val="0"/>
        <w:jc w:val="both"/>
      </w:pPr>
      <w:r>
        <w:rPr>
          <w:sz w:val="20"/>
        </w:rPr>
      </w:r>
    </w:p>
    <w:bookmarkStart w:id="608" w:name="P608"/>
    <w:bookmarkEnd w:id="608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 НОМИНАЦИИ "МОДЕРНИЗАЦИЯ</w:t>
      </w:r>
    </w:p>
    <w:p>
      <w:pPr>
        <w:pStyle w:val="2"/>
        <w:jc w:val="center"/>
      </w:pPr>
      <w:r>
        <w:rPr>
          <w:sz w:val="20"/>
        </w:rPr>
        <w:t xml:space="preserve">ГОРОДСКОГО ХОЗЯЙСТВА ПОСРЕДСТВОМ ВНЕДРЕНИЯ ЦИФРОВЫХ</w:t>
      </w:r>
    </w:p>
    <w:p>
      <w:pPr>
        <w:pStyle w:val="2"/>
        <w:jc w:val="center"/>
      </w:pPr>
      <w:r>
        <w:rPr>
          <w:sz w:val="20"/>
        </w:rPr>
        <w:t xml:space="preserve">ТЕХНОЛОГИЙ И ПЛАТФОРМЕННЫХ РЕШЕНИЙ ("УМНЫЙ ГОРОД")"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"ЛУЧШАЯ МУНИЦИПАЛЬНАЯ ПРАКТИКА"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4648"/>
        <w:gridCol w:w="90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7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Комплексность практики, обоснованность выбора проблемы с точки зрения стратегического развития муниципального образования, синхронизация практики и мероприятий национальных проектов (программ)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задачам развития муниципального образования</w:t>
            </w:r>
          </w:p>
        </w:tc>
        <w:tc>
          <w:tcPr>
            <w:tcW w:w="4648" w:type="dxa"/>
          </w:tcPr>
          <w:bookmarkStart w:id="624" w:name="P624"/>
          <w:bookmarkEnd w:id="624"/>
          <w:p>
            <w:pPr>
              <w:pStyle w:val="0"/>
            </w:pPr>
            <w:r>
              <w:rPr>
                <w:sz w:val="20"/>
              </w:rPr>
              <w:t xml:space="preserve">1.1.1. Практика обеспечила решение задачи или задач развития муниципального образования, определенных планом развития муниципального образования (концепция, стратегия, генеральный план)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1.1.2. Практика реализована в связи с необходимостью решения актуальной проблемы в области модернизации городского хозяйства посредством внедрения цифровых технологий и платформенных решений "умный город", развития и эффективного управления жилищно-коммунальным хозяйством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28" w:name="P628"/>
          <w:bookmarkEnd w:id="628"/>
          <w:p>
            <w:pPr>
              <w:pStyle w:val="0"/>
            </w:pPr>
            <w:r>
              <w:rPr>
                <w:sz w:val="20"/>
              </w:rPr>
              <w:t xml:space="preserve">1.1.3. Практика реализована в целях общего повышения качества жизни на территории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Синхронизация мероприятий, связанных с реализацией практики, с мероприятиями, реализуемыми на территории муниципального образования в рамках национальных проектов (программ), государственных и муниципальных проектов (программ) и иных проектов (программ)</w:t>
            </w:r>
          </w:p>
        </w:tc>
        <w:tc>
          <w:tcPr>
            <w:tcW w:w="4648" w:type="dxa"/>
          </w:tcPr>
          <w:bookmarkStart w:id="632" w:name="P632"/>
          <w:bookmarkEnd w:id="632"/>
          <w:p>
            <w:pPr>
              <w:pStyle w:val="0"/>
            </w:pPr>
            <w:r>
              <w:rPr>
                <w:sz w:val="20"/>
              </w:rPr>
              <w:t xml:space="preserve">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Влияние на индекс IQ городов</w:t>
            </w:r>
          </w:p>
        </w:tc>
        <w:tc>
          <w:tcPr>
            <w:tcW w:w="4648" w:type="dxa"/>
          </w:tcPr>
          <w:bookmarkStart w:id="636" w:name="P636"/>
          <w:bookmarkEnd w:id="636"/>
          <w:p>
            <w:pPr>
              <w:pStyle w:val="0"/>
            </w:pPr>
            <w:r>
              <w:rPr>
                <w:sz w:val="20"/>
              </w:rPr>
              <w:t xml:space="preserve">1.3.1. Увеличение индекса IQ в муниципальном образовании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Влияние практики на решение приоритетных социальных проблем</w:t>
            </w:r>
          </w:p>
        </w:tc>
        <w:tc>
          <w:tcPr>
            <w:tcW w:w="4648" w:type="dxa"/>
          </w:tcPr>
          <w:bookmarkStart w:id="640" w:name="P640"/>
          <w:bookmarkEnd w:id="640"/>
          <w:p>
            <w:pPr>
              <w:pStyle w:val="0"/>
            </w:pPr>
            <w:r>
              <w:rPr>
                <w:sz w:val="20"/>
              </w:rPr>
              <w:t xml:space="preserve">1.4.1. Реализованная практика решает проблему вовлечения жителей в процессы принятия решений в области развития муниципальных образований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42" w:name="P642"/>
          <w:bookmarkEnd w:id="642"/>
          <w:p>
            <w:pPr>
              <w:pStyle w:val="0"/>
            </w:pPr>
            <w:r>
              <w:rPr>
                <w:sz w:val="20"/>
              </w:rPr>
              <w:t xml:space="preserve">1.4.2. Реализованная практика способствует решению проблем маломобильных групп населения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44" w:name="P644"/>
          <w:bookmarkEnd w:id="644"/>
          <w:p>
            <w:pPr>
              <w:pStyle w:val="0"/>
            </w:pPr>
            <w:r>
              <w:rPr>
                <w:sz w:val="20"/>
              </w:rPr>
              <w:t xml:space="preserve">1.4.3. Реализованная практика способствует увеличению уровня безопасности в муниципальном образовании (снижение количества дорожно-транспортных происшествий, повлекших смерть человека, снижение уровня преступности)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46" w:name="P646"/>
          <w:bookmarkEnd w:id="646"/>
          <w:p>
            <w:pPr>
              <w:pStyle w:val="0"/>
            </w:pPr>
            <w:r>
              <w:rPr>
                <w:sz w:val="20"/>
              </w:rPr>
              <w:t xml:space="preserve">1.4.4. Практика способствует улучшению экологической ситуации на территории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и инновационность решений в рамках реализации практики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Качество предлагаемых решений</w:t>
            </w:r>
          </w:p>
        </w:tc>
        <w:tc>
          <w:tcPr>
            <w:tcW w:w="4648" w:type="dxa"/>
          </w:tcPr>
          <w:bookmarkStart w:id="652" w:name="P652"/>
          <w:bookmarkEnd w:id="652"/>
          <w:p>
            <w:pPr>
              <w:pStyle w:val="0"/>
            </w:pPr>
            <w:r>
              <w:rPr>
                <w:sz w:val="20"/>
              </w:rPr>
              <w:t xml:space="preserve">2.1.1. Практика реализована с использованием цифровых "сквозных" технологий, определенных в соответствии с </w:t>
            </w:r>
            <w:hyperlink w:history="0" r:id="rId12" w:tooltip="Постановление Правительства РФ от 03.05.2019 N 549 (ред. от 02.07.2020) &quot;О государственной поддержке компаний-лидеров, разрабатывающих и обеспечивающих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 в рамках реализации дорожных карт по направлениям развития &quot;сквозных&quot; цифровых технологий&quot; (вместе с &quot;Правилами предоставления субсидий из федерального бюджета на госуда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 мая 2019 г. N 549 "О государственной поддержке компаний - лидеров по разработке продуктов, сервисов и платформенных решений на базе "сквозных" цифровых технологий"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54" w:name="P654"/>
          <w:bookmarkEnd w:id="654"/>
          <w:p>
            <w:pPr>
              <w:pStyle w:val="0"/>
            </w:pPr>
            <w:r>
              <w:rPr>
                <w:sz w:val="20"/>
              </w:rPr>
              <w:t xml:space="preserve">2.1.2. Практика реализована на основе анализа информации, полученной посредством сбора, направления официального запроса и/или из открытых источников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</w:t>
            </w:r>
          </w:p>
        </w:tc>
        <w:tc>
          <w:tcPr>
            <w:tcW w:w="4648" w:type="dxa"/>
          </w:tcPr>
          <w:bookmarkStart w:id="658" w:name="P658"/>
          <w:bookmarkEnd w:id="658"/>
          <w:p>
            <w:pPr>
              <w:pStyle w:val="0"/>
            </w:pPr>
            <w:r>
              <w:rPr>
                <w:sz w:val="20"/>
              </w:rPr>
              <w:t xml:space="preserve">2.2.1. Реализованная практика решает проблему доступности информации, необходимой для принятия управленческих и проектных решений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60" w:name="P660"/>
          <w:bookmarkEnd w:id="660"/>
          <w:p>
            <w:pPr>
              <w:pStyle w:val="0"/>
            </w:pPr>
            <w:r>
              <w:rPr>
                <w:sz w:val="20"/>
              </w:rPr>
              <w:t xml:space="preserve">2.2.2. Реализованная практика является основой для дальнейшего внедрения других решений "умного города"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62" w:name="P662"/>
          <w:bookmarkEnd w:id="662"/>
          <w:p>
            <w:pPr>
              <w:pStyle w:val="0"/>
            </w:pPr>
            <w:r>
              <w:rPr>
                <w:sz w:val="20"/>
              </w:rPr>
              <w:t xml:space="preserve">2.2.3. Практика является уникальной для муниципального образования, субъекта Российской Федерации и учитывает зарубежный и российский опыт по решению аналогичных проблем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64" w:name="P664"/>
          <w:bookmarkEnd w:id="664"/>
          <w:p>
            <w:pPr>
              <w:pStyle w:val="0"/>
            </w:pPr>
            <w:r>
              <w:rPr>
                <w:sz w:val="20"/>
              </w:rPr>
              <w:t xml:space="preserve">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66" w:name="P666"/>
          <w:bookmarkEnd w:id="666"/>
          <w:p>
            <w:pPr>
              <w:pStyle w:val="0"/>
            </w:pPr>
            <w:r>
              <w:rPr>
                <w:sz w:val="20"/>
              </w:rPr>
              <w:t xml:space="preserve">2.2.5. Реализованная практика способствует системному анализу результатов внедренных управленческих или проектных решений посредством визуализации и анализа информации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668" w:name="P668"/>
          <w:bookmarkEnd w:id="668"/>
          <w:p>
            <w:pPr>
              <w:pStyle w:val="0"/>
            </w:pPr>
            <w:r>
              <w:rPr>
                <w:sz w:val="20"/>
              </w:rPr>
              <w:t xml:space="preserve">2.2.6. Практика способствует развитию цифровых "сквозных" технологий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высокого социального и экономического результатов от реализации практики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Социальные положительные результаты реализации практики</w:t>
            </w:r>
          </w:p>
        </w:tc>
        <w:tc>
          <w:tcPr>
            <w:tcW w:w="4648" w:type="dxa"/>
          </w:tcPr>
          <w:bookmarkStart w:id="674" w:name="P674"/>
          <w:bookmarkEnd w:id="674"/>
          <w:p>
            <w:pPr>
              <w:pStyle w:val="0"/>
            </w:pPr>
            <w:r>
              <w:rPr>
                <w:sz w:val="20"/>
              </w:rPr>
              <w:t xml:space="preserve">3.1.1. Практика реализована по инициативе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3.1.2. Практика реализована при участии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3.1.3. Жители, представители общественных организаций, представители малого и среднего предпринимательства принимали участие в разработке конкретных проектных решений или выборе вариантов проектных решений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3.1.4. Жители, представители общественных организаций, представители малого и среднего предпринимательства принимали участие во внедрении практики, ее реализации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82" w:name="P682"/>
          <w:bookmarkEnd w:id="682"/>
          <w:p>
            <w:pPr>
              <w:pStyle w:val="0"/>
            </w:pPr>
            <w:r>
              <w:rPr>
                <w:sz w:val="20"/>
              </w:rPr>
              <w:t xml:space="preserve">3.1.5. Практика реализована при участии студентов и молодых специалистов, обучающихся или закончивших обучение по специальностям, связанным с информационными технологиями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84" w:name="P684"/>
          <w:bookmarkEnd w:id="684"/>
          <w:p>
            <w:pPr>
              <w:pStyle w:val="0"/>
            </w:pPr>
            <w:r>
              <w:rPr>
                <w:sz w:val="20"/>
              </w:rPr>
              <w:t xml:space="preserve">3.1.6. Реализация практики позволила сэкономить время жителей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86" w:name="P686"/>
          <w:bookmarkEnd w:id="686"/>
          <w:p>
            <w:pPr>
              <w:pStyle w:val="0"/>
            </w:pPr>
            <w:r>
              <w:rPr>
                <w:sz w:val="20"/>
              </w:rPr>
              <w:t xml:space="preserve">3.1.7. Реализация практики способствует увеличению числа жителей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88" w:name="P688"/>
          <w:bookmarkEnd w:id="688"/>
          <w:p>
            <w:pPr>
              <w:pStyle w:val="0"/>
            </w:pPr>
            <w:r>
              <w:rPr>
                <w:sz w:val="20"/>
              </w:rPr>
              <w:t xml:space="preserve">3.1.8. Практика реализована с привлечением жителей как исполнителей работ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90" w:name="P690"/>
          <w:bookmarkEnd w:id="690"/>
          <w:p>
            <w:pPr>
              <w:pStyle w:val="0"/>
            </w:pPr>
            <w:r>
              <w:rPr>
                <w:sz w:val="20"/>
              </w:rPr>
              <w:t xml:space="preserve">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8" w:type="dxa"/>
          </w:tcPr>
          <w:bookmarkStart w:id="694" w:name="P694"/>
          <w:bookmarkEnd w:id="694"/>
          <w:p>
            <w:pPr>
              <w:pStyle w:val="0"/>
            </w:pPr>
            <w:r>
              <w:rPr>
                <w:sz w:val="20"/>
              </w:rPr>
              <w:t xml:space="preserve">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"умный город" (проведена информационная кампания, проект открыт для общественного обсуждения и пр.)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96" w:name="P696"/>
          <w:bookmarkEnd w:id="696"/>
          <w:p>
            <w:pPr>
              <w:pStyle w:val="0"/>
            </w:pPr>
            <w:r>
              <w:rPr>
                <w:sz w:val="20"/>
              </w:rPr>
              <w:t xml:space="preserve">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698" w:name="P698"/>
          <w:bookmarkEnd w:id="698"/>
          <w:p>
            <w:pPr>
              <w:pStyle w:val="0"/>
            </w:pPr>
            <w:r>
              <w:rPr>
                <w:sz w:val="20"/>
              </w:rPr>
              <w:t xml:space="preserve">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сроков устранения аварий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8" w:type="dxa"/>
          </w:tcPr>
          <w:bookmarkStart w:id="700" w:name="P700"/>
          <w:bookmarkEnd w:id="700"/>
          <w:p>
            <w:pPr>
              <w:pStyle w:val="0"/>
            </w:pPr>
            <w:r>
              <w:rPr>
                <w:sz w:val="20"/>
              </w:rPr>
              <w:t xml:space="preserve">3.1.13. Реализация практики повлекла сокращение расходов на оплату коммунальных услуг на территории муниципального образования при сохранении качества жизни населения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3.1.14. Реализация практики повлекла увеличение влияния жителей на принятие решений в сфере городского хозяйства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3.1.15. Реализация практики обеспечила оперативное реагирование по устранению последствий аварийных ситуаций, в том числе связанных с неблагоприятными погодными условиями, увеличение качества работ, выполненных дорожной и коммунальной техникой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3.1.16. Практика стимулирует повышение заинтересованности жителей в использовании, развитии и благоустройстве общественных пространств при помощи цифровых сервисов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8" w:type="dxa"/>
          </w:tcPr>
          <w:bookmarkStart w:id="710" w:name="P710"/>
          <w:bookmarkEnd w:id="710"/>
          <w:p>
            <w:pPr>
              <w:pStyle w:val="0"/>
            </w:pPr>
            <w:r>
              <w:rPr>
                <w:sz w:val="20"/>
              </w:rPr>
              <w:t xml:space="preserve">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средств с приоритетом движения общественного и спецтранспорта, пешеходов, управления парковочным пространством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648" w:type="dxa"/>
          </w:tcPr>
          <w:bookmarkStart w:id="712" w:name="P712"/>
          <w:bookmarkEnd w:id="712"/>
          <w:p>
            <w:pPr>
              <w:pStyle w:val="0"/>
            </w:pPr>
            <w:r>
              <w:rPr>
                <w:sz w:val="20"/>
              </w:rPr>
              <w:t xml:space="preserve">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3.1.19. Реализация практики, посредством цифровых технологий, повысила уровень безопасности жителей, уровень раскрываемости преступлений, оперативности реагирования правоохранительных органов и городских служб экстренной помощи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648" w:type="dxa"/>
          </w:tcPr>
          <w:bookmarkStart w:id="716" w:name="P716"/>
          <w:bookmarkEnd w:id="716"/>
          <w:p>
            <w:pPr>
              <w:pStyle w:val="0"/>
            </w:pPr>
            <w:r>
              <w:rPr>
                <w:sz w:val="20"/>
              </w:rPr>
              <w:t xml:space="preserve">3.1.20. Реализация практики, посредством цифровых технологий, повысила уровень экологической безопасности, обеспечила контроль за состоянием качества воды, воздуха, обеспечила бесперебойную работу по вывозу твердых коммунальных отходов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648" w:type="dxa"/>
          </w:tcPr>
          <w:bookmarkStart w:id="718" w:name="P718"/>
          <w:bookmarkEnd w:id="718"/>
          <w:p>
            <w:pPr>
              <w:pStyle w:val="0"/>
            </w:pPr>
            <w:r>
              <w:rPr>
                <w:sz w:val="20"/>
              </w:rPr>
              <w:t xml:space="preserve">3.1.21. Реализация практики способствует увеличению туристической привлекательности города, повышению интереса к культурным мероприятиям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4648" w:type="dxa"/>
          </w:tcPr>
          <w:bookmarkStart w:id="720" w:name="P720"/>
          <w:bookmarkEnd w:id="720"/>
          <w:p>
            <w:pPr>
              <w:pStyle w:val="0"/>
            </w:pPr>
            <w:r>
              <w:rPr>
                <w:sz w:val="20"/>
              </w:rPr>
              <w:t xml:space="preserve">3.1.22. Реализация практики способствует упрощению доступа к государственным услугам в сфере жилищно-коммунального хозяйства и городской среды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Эффективность практики для бюджета муниципального образования</w:t>
            </w:r>
          </w:p>
        </w:tc>
        <w:tc>
          <w:tcPr>
            <w:tcW w:w="4648" w:type="dxa"/>
          </w:tcPr>
          <w:bookmarkStart w:id="724" w:name="P724"/>
          <w:bookmarkEnd w:id="724"/>
          <w:p>
            <w:pPr>
              <w:pStyle w:val="0"/>
            </w:pPr>
            <w:r>
              <w:rPr>
                <w:sz w:val="20"/>
              </w:rPr>
              <w:t xml:space="preserve">3.2.1. Реализация практики способствует экономии средств бюджета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3.2.2. Реализация практики способствует увеличению доходов местного бюджета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3.2.3. Реализованная практика повысила эффективность сбора местных налогов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3.2.4. Результат практики стимулирует создание новых предприятий внебюджетного сектора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3.2.5. Прибыль исполнителя не превысила 5% от общего бюджета практики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734" w:name="P734"/>
          <w:bookmarkEnd w:id="734"/>
          <w:p>
            <w:pPr>
              <w:pStyle w:val="0"/>
            </w:pPr>
            <w:r>
              <w:rPr>
                <w:sz w:val="20"/>
              </w:rPr>
              <w:t xml:space="preserve">3.2.6. В смете практики отсутствуют расходы на приобретение товаров, работ, услуг, не связанных с реализацией практики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внебюджетного финансирования</w:t>
            </w:r>
          </w:p>
        </w:tc>
        <w:tc>
          <w:tcPr>
            <w:tcW w:w="4648" w:type="dxa"/>
          </w:tcPr>
          <w:bookmarkStart w:id="738" w:name="P738"/>
          <w:bookmarkEnd w:id="738"/>
          <w:p>
            <w:pPr>
              <w:pStyle w:val="0"/>
            </w:pPr>
            <w:r>
              <w:rPr>
                <w:sz w:val="20"/>
              </w:rPr>
              <w:t xml:space="preserve">3.3.1. 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3.3.2. Практика реализована с использованием средств фондов местного сообщества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3.3.3. Практика реализована с привлечением средств граждан (средства самообложения граждан)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742" w:name="P742"/>
          <w:bookmarkEnd w:id="742"/>
          <w:p>
            <w:pPr>
              <w:pStyle w:val="0"/>
            </w:pPr>
            <w:r>
              <w:rPr>
                <w:sz w:val="20"/>
              </w:rPr>
              <w:t xml:space="preserve">3.3.4. Практика реализована с привлечением частных инвестиций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Выгодополучатели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Прямые получатели положительных результатов</w:t>
            </w:r>
          </w:p>
        </w:tc>
        <w:tc>
          <w:tcPr>
            <w:tcW w:w="4648" w:type="dxa"/>
          </w:tcPr>
          <w:bookmarkStart w:id="747" w:name="P747"/>
          <w:bookmarkEnd w:id="747"/>
          <w:p>
            <w:pPr>
              <w:pStyle w:val="0"/>
            </w:pPr>
            <w:r>
              <w:rPr>
                <w:sz w:val="20"/>
              </w:rPr>
              <w:t xml:space="preserve">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4.1.2. Прямыми получателями положительных результатов от реализации практики являются представители малого и среднего предпринимательства в области предоставления услуг населению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4.1.3. Прямым получателем положительных результатов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753" w:name="P753"/>
          <w:bookmarkEnd w:id="753"/>
          <w:p>
            <w:pPr>
              <w:pStyle w:val="0"/>
            </w:pPr>
            <w:r>
              <w:rPr>
                <w:sz w:val="20"/>
              </w:rPr>
              <w:t xml:space="preserve">4.1.4. Прямыми получателями положительных результатов являются все жители муниципального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3"/>
            <w:tcW w:w="8503" w:type="dxa"/>
          </w:tcPr>
          <w:p>
            <w:pPr>
              <w:pStyle w:val="0"/>
            </w:pPr>
            <w:r>
              <w:rPr>
                <w:sz w:val="20"/>
              </w:rPr>
              <w:t xml:space="preserve">Тиражируемость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Востребованность</w:t>
            </w:r>
          </w:p>
        </w:tc>
        <w:tc>
          <w:tcPr>
            <w:tcW w:w="4648" w:type="dxa"/>
          </w:tcPr>
          <w:bookmarkStart w:id="759" w:name="P759"/>
          <w:bookmarkEnd w:id="759"/>
          <w:p>
            <w:pPr>
              <w:pStyle w:val="0"/>
            </w:pPr>
            <w:r>
              <w:rPr>
                <w:sz w:val="20"/>
              </w:rPr>
              <w:t xml:space="preserve">5.1.1. Реализованная практика позволяет решить проблему или комплекс проблем, типичных для муниципального образования, группы муниципальных образований, субъекта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Подготовленность практики к тиражированию</w:t>
            </w:r>
          </w:p>
        </w:tc>
        <w:tc>
          <w:tcPr>
            <w:tcW w:w="4648" w:type="dxa"/>
          </w:tcPr>
          <w:bookmarkStart w:id="763" w:name="P763"/>
          <w:bookmarkEnd w:id="763"/>
          <w:p>
            <w:pPr>
              <w:pStyle w:val="0"/>
            </w:pPr>
            <w:r>
              <w:rPr>
                <w:sz w:val="20"/>
              </w:rPr>
              <w:t xml:space="preserve">5.2.1. Презентационные материалы отличаются наглядностью и высоким качеством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p>
            <w:pPr>
              <w:pStyle w:val="0"/>
            </w:pPr>
            <w:r>
              <w:rPr>
                <w:sz w:val="20"/>
              </w:rPr>
              <w:t xml:space="preserve">5.2.2. Представлен перечень мероприятий, реализованных для внедрения практики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8" w:type="dxa"/>
          </w:tcPr>
          <w:bookmarkStart w:id="767" w:name="P767"/>
          <w:bookmarkEnd w:id="767"/>
          <w:p>
            <w:pPr>
              <w:pStyle w:val="0"/>
            </w:pPr>
            <w:r>
              <w:rPr>
                <w:sz w:val="20"/>
              </w:rPr>
              <w:t xml:space="preserve">5.2.3. Представлен перечень мероприятий, планируемых в целях дальнейшего развития практики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09.07.2020 N 368/пр</w:t>
            <w:br/>
            <w:t>"Об утверждении формы конкурсной заявки муниципального образования и метод...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07EDD0979720DAF6616922F538098CBD556805A7D0403D28DE495409837DC53481AFE960DCC05DDC145AB103EE9E27AC8D754C6B924A197AZ9H" TargetMode = "External"/>
	<Relationship Id="rId8" Type="http://schemas.openxmlformats.org/officeDocument/2006/relationships/hyperlink" Target="consultantplus://offline/ref=A907EDD0979720DAF6616922F538098CBA536F0FA3D0403D28DE495409837DC53481AFE960DCC057D1145AB103EE9E27AC8D754C6B924A197AZ9H" TargetMode = "External"/>
	<Relationship Id="rId9" Type="http://schemas.openxmlformats.org/officeDocument/2006/relationships/image" Target="media/image2.wmf"/>
	<Relationship Id="rId10" Type="http://schemas.openxmlformats.org/officeDocument/2006/relationships/image" Target="media/image3.wmf"/>
	<Relationship Id="rId11" Type="http://schemas.openxmlformats.org/officeDocument/2006/relationships/image" Target="media/image4.wmf"/>
	<Relationship Id="rId12" Type="http://schemas.openxmlformats.org/officeDocument/2006/relationships/hyperlink" Target="consultantplus://offline/ref=A907EDD0979720DAF6616922F538098CBD556D04A6D3403D28DE495409837DC52681F7E561D8DE5FDD010CE0457BZ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09.07.2020 N 368/пр
"Об утверждении формы конкурсной заявки муниципального образования и методики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
(Зарегистрировано в Минюсте России 07.08.2020 N 59206)</dc:title>
  <dcterms:created xsi:type="dcterms:W3CDTF">2023-04-14T07:25:58Z</dcterms:created>
</cp:coreProperties>
</file>